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EB33" w14:textId="56A8289F" w:rsidR="00D574CA" w:rsidRPr="00B777AF" w:rsidRDefault="00230FE4" w:rsidP="00D574CA">
      <w:pPr>
        <w:pStyle w:val="PolicyMainHead"/>
        <w:tabs>
          <w:tab w:val="left" w:pos="360"/>
        </w:tabs>
        <w:spacing w:after="0" w:line="240" w:lineRule="auto"/>
        <w:rPr>
          <w:rFonts w:ascii="Times New Roman" w:hAnsi="Times New Roman"/>
          <w:color w:val="00548C"/>
          <w:sz w:val="36"/>
        </w:rPr>
      </w:pPr>
      <w:r>
        <w:rPr>
          <w:rFonts w:ascii="Times New Roman" w:hAnsi="Times New Roman"/>
          <w:color w:val="00548C"/>
          <w:sz w:val="36"/>
        </w:rPr>
        <w:t xml:space="preserve">Clinical Policy: </w:t>
      </w:r>
      <w:r w:rsidR="002F15E2">
        <w:rPr>
          <w:rFonts w:ascii="Times New Roman" w:hAnsi="Times New Roman"/>
          <w:color w:val="00548C"/>
          <w:sz w:val="36"/>
        </w:rPr>
        <w:t>Clinical Trials</w:t>
      </w:r>
    </w:p>
    <w:p w14:paraId="12B03EE6" w14:textId="77777777" w:rsidR="00B777AF" w:rsidRDefault="00B777AF" w:rsidP="00D574CA">
      <w:pPr>
        <w:pStyle w:val="PolicyMainHead"/>
        <w:tabs>
          <w:tab w:val="left" w:pos="360"/>
        </w:tabs>
        <w:spacing w:after="0" w:line="240" w:lineRule="auto"/>
        <w:rPr>
          <w:color w:val="00548C"/>
          <w:sz w:val="24"/>
        </w:rPr>
        <w:sectPr w:rsidR="00B777AF" w:rsidSect="00B777AF">
          <w:headerReference w:type="even" r:id="rId10"/>
          <w:headerReference w:type="default" r:id="rId11"/>
          <w:footerReference w:type="even" r:id="rId12"/>
          <w:footerReference w:type="default" r:id="rId13"/>
          <w:headerReference w:type="first" r:id="rId14"/>
          <w:footerReference w:type="first" r:id="rId15"/>
          <w:pgSz w:w="12240" w:h="15840" w:code="1"/>
          <w:pgMar w:top="1440" w:right="907" w:bottom="1152" w:left="1440" w:header="576" w:footer="288" w:gutter="0"/>
          <w:cols w:space="720"/>
          <w:titlePg/>
          <w:docGrid w:linePitch="360"/>
        </w:sectPr>
      </w:pPr>
    </w:p>
    <w:p w14:paraId="0E69B634" w14:textId="77777777" w:rsidR="00B777AF" w:rsidRPr="003D7BE7" w:rsidRDefault="00D574CA" w:rsidP="00480C09">
      <w:pPr>
        <w:pStyle w:val="PolicyMainHead"/>
        <w:spacing w:after="0" w:line="240" w:lineRule="auto"/>
        <w:ind w:left="360"/>
        <w:rPr>
          <w:rFonts w:ascii="Times New Roman" w:hAnsi="Times New Roman"/>
          <w:color w:val="00548C"/>
          <w:sz w:val="24"/>
          <w:szCs w:val="24"/>
        </w:rPr>
        <w:sectPr w:rsidR="00B777AF" w:rsidRPr="003D7BE7" w:rsidSect="00480C09">
          <w:type w:val="continuous"/>
          <w:pgSz w:w="12240" w:h="15840" w:code="1"/>
          <w:pgMar w:top="1440" w:right="1080" w:bottom="1440" w:left="108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2F15E2">
        <w:rPr>
          <w:rFonts w:ascii="Times New Roman" w:hAnsi="Times New Roman"/>
          <w:color w:val="00548C"/>
          <w:sz w:val="24"/>
          <w:szCs w:val="24"/>
        </w:rPr>
        <w:t>94</w:t>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p>
    <w:p w14:paraId="087FA8A9" w14:textId="474F26DC" w:rsidR="00A20261" w:rsidRDefault="00A635C2" w:rsidP="00A20261">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A20261" w:rsidRPr="003D7BE7">
        <w:rPr>
          <w:rFonts w:ascii="Times New Roman" w:hAnsi="Times New Roman"/>
          <w:color w:val="00548C"/>
          <w:sz w:val="24"/>
          <w:szCs w:val="24"/>
        </w:rPr>
        <w:t xml:space="preserve">: </w:t>
      </w:r>
      <w:r w:rsidR="002350CA">
        <w:rPr>
          <w:rFonts w:ascii="Times New Roman" w:hAnsi="Times New Roman"/>
          <w:color w:val="00548C"/>
          <w:sz w:val="24"/>
          <w:szCs w:val="24"/>
        </w:rPr>
        <w:t>06/2</w:t>
      </w:r>
      <w:r w:rsidR="008C1C3F">
        <w:rPr>
          <w:rFonts w:ascii="Times New Roman" w:hAnsi="Times New Roman"/>
          <w:color w:val="00548C"/>
          <w:sz w:val="24"/>
          <w:szCs w:val="24"/>
        </w:rPr>
        <w:t>5</w:t>
      </w:r>
    </w:p>
    <w:p w14:paraId="2475FE9D" w14:textId="77777777" w:rsidR="00A20261" w:rsidRDefault="00A20261" w:rsidP="00A20261">
      <w:pPr>
        <w:pStyle w:val="PolicyMainHead"/>
        <w:tabs>
          <w:tab w:val="left" w:pos="360"/>
        </w:tabs>
        <w:spacing w:after="0" w:line="240" w:lineRule="auto"/>
        <w:jc w:val="right"/>
        <w:rPr>
          <w:rStyle w:val="Strong"/>
          <w:rFonts w:ascii="Times New Roman" w:hAnsi="Times New Roman"/>
          <w:b w:val="0"/>
          <w:bCs w:val="0"/>
          <w:u w:val="single"/>
        </w:rPr>
        <w:sectPr w:rsidR="00A20261" w:rsidSect="00875924">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p>
    <w:p w14:paraId="5DB58EBF" w14:textId="77777777" w:rsidR="00480C09" w:rsidRPr="003D7BE7" w:rsidRDefault="00480C09" w:rsidP="00C724E3">
      <w:pPr>
        <w:pStyle w:val="PolicyMainHead"/>
        <w:tabs>
          <w:tab w:val="left" w:pos="360"/>
        </w:tabs>
        <w:spacing w:after="0" w:line="240" w:lineRule="auto"/>
        <w:rPr>
          <w:rFonts w:ascii="Times New Roman" w:hAnsi="Times New Roman"/>
          <w:color w:val="00548C"/>
          <w:sz w:val="24"/>
          <w:szCs w:val="24"/>
        </w:rPr>
        <w:sectPr w:rsidR="00480C09" w:rsidRPr="003D7BE7" w:rsidSect="00480C09">
          <w:type w:val="continuous"/>
          <w:pgSz w:w="12240" w:h="15840" w:code="1"/>
          <w:pgMar w:top="1440" w:right="1170" w:bottom="1152" w:left="1440" w:header="576" w:footer="288" w:gutter="0"/>
          <w:cols w:num="2" w:space="720"/>
          <w:titlePg/>
          <w:docGrid w:linePitch="360"/>
        </w:sectPr>
      </w:pPr>
    </w:p>
    <w:p w14:paraId="19321AB1" w14:textId="45D71506" w:rsidR="00F03DC0" w:rsidRDefault="00934580" w:rsidP="00F03DC0">
      <w:pPr>
        <w:autoSpaceDE w:val="0"/>
        <w:autoSpaceDN w:val="0"/>
        <w:adjustRightInd w:val="0"/>
        <w:rPr>
          <w:b/>
          <w:color w:val="00548C"/>
        </w:rPr>
      </w:pPr>
      <w:r w:rsidRPr="005D7B81">
        <w:rPr>
          <w:b/>
          <w:color w:val="00548C"/>
        </w:rPr>
        <w:t xml:space="preserve">See </w:t>
      </w:r>
      <w:hyperlink w:anchor="Important_Reminder" w:history="1">
        <w:r w:rsidRPr="005D7B81">
          <w:rPr>
            <w:rStyle w:val="Hyperlink"/>
            <w:noProof/>
          </w:rPr>
          <w:t>Important Reminder</w:t>
        </w:r>
      </w:hyperlink>
      <w:r w:rsidRPr="005D7B81">
        <w:rPr>
          <w:b/>
          <w:color w:val="00548C"/>
        </w:rPr>
        <w:t xml:space="preserve"> at the end of th</w:t>
      </w:r>
      <w:r>
        <w:rPr>
          <w:b/>
          <w:color w:val="00548C"/>
        </w:rPr>
        <w:t>is</w:t>
      </w:r>
      <w:r w:rsidRPr="005D7B81">
        <w:rPr>
          <w:b/>
          <w:color w:val="00548C"/>
        </w:rPr>
        <w:t xml:space="preserve"> policy for</w:t>
      </w:r>
      <w:r>
        <w:rPr>
          <w:b/>
          <w:color w:val="00548C"/>
        </w:rPr>
        <w:t xml:space="preserve"> important</w:t>
      </w:r>
      <w:r w:rsidRPr="005D7B81">
        <w:rPr>
          <w:b/>
          <w:color w:val="00548C"/>
        </w:rPr>
        <w:t xml:space="preserve"> regulatory and legal information</w:t>
      </w:r>
      <w:r>
        <w:rPr>
          <w:b/>
          <w:color w:val="00548C"/>
        </w:rPr>
        <w:t>.</w:t>
      </w:r>
    </w:p>
    <w:p w14:paraId="3236C1F5" w14:textId="77777777" w:rsidR="00C73CF5" w:rsidRDefault="00C73CF5" w:rsidP="00420673">
      <w:pPr>
        <w:pStyle w:val="NormalWeb"/>
        <w:spacing w:before="0" w:beforeAutospacing="0" w:after="0" w:afterAutospacing="0"/>
        <w:rPr>
          <w:rStyle w:val="Strong"/>
          <w:rFonts w:ascii="Times New Roman" w:hAnsi="Times New Roman" w:cs="Times New Roman"/>
          <w:b w:val="0"/>
          <w:bCs w:val="0"/>
          <w:u w:val="single"/>
        </w:rPr>
      </w:pPr>
    </w:p>
    <w:p w14:paraId="79BB9CAE" w14:textId="77777777" w:rsidR="00583376" w:rsidRPr="00B777AF" w:rsidRDefault="00583376" w:rsidP="00CE0E02">
      <w:pPr>
        <w:pStyle w:val="Heading1"/>
      </w:pPr>
      <w:r w:rsidRPr="00CE0E02">
        <w:rPr>
          <w:sz w:val="22"/>
        </w:rPr>
        <w:t>Description</w:t>
      </w:r>
      <w:r w:rsidRPr="00B777AF">
        <w:t xml:space="preserve"> </w:t>
      </w:r>
    </w:p>
    <w:p w14:paraId="2D76C6C2" w14:textId="77777777" w:rsidR="00ED0A0D" w:rsidRDefault="002F15E2" w:rsidP="00196935">
      <w:r>
        <w:t>Medical necessity guidelines for routine costs of clinical trials in accordance with Centers for Medicare &amp; Medicaid (CMS) and the Patient Protection and Affordable Care Act (PPACA) requirements</w:t>
      </w:r>
      <w:r w:rsidR="00777575">
        <w:t>.</w:t>
      </w:r>
    </w:p>
    <w:p w14:paraId="07C36623" w14:textId="77777777" w:rsidR="00B97BB8" w:rsidRDefault="00B97BB8" w:rsidP="00196935"/>
    <w:p w14:paraId="6C24D08E" w14:textId="0E4C998C" w:rsidR="003B39CD" w:rsidRDefault="003B39CD" w:rsidP="00196935">
      <w:r w:rsidRPr="003B39CD">
        <w:rPr>
          <w:b/>
        </w:rPr>
        <w:t>Note:</w:t>
      </w:r>
      <w:r w:rsidRPr="0018416E">
        <w:rPr>
          <w:i/>
        </w:rPr>
        <w:t xml:space="preserve"> </w:t>
      </w:r>
      <w:r w:rsidRPr="003B39CD">
        <w:t xml:space="preserve">For experimental technologies, refer to </w:t>
      </w:r>
      <w:r w:rsidRPr="0018416E">
        <w:rPr>
          <w:i/>
        </w:rPr>
        <w:t>CP.MP.</w:t>
      </w:r>
      <w:r>
        <w:rPr>
          <w:i/>
        </w:rPr>
        <w:t>36 Experimental Technologies</w:t>
      </w:r>
      <w:r w:rsidR="00F44CB5">
        <w:rPr>
          <w:i/>
        </w:rPr>
        <w:t>.</w:t>
      </w:r>
    </w:p>
    <w:p w14:paraId="14F94348" w14:textId="77777777" w:rsidR="00232ACF" w:rsidRDefault="00232ACF" w:rsidP="00232ACF"/>
    <w:p w14:paraId="4C6F8241" w14:textId="77777777" w:rsidR="00583376" w:rsidRPr="00B777AF" w:rsidRDefault="00583376">
      <w:pPr>
        <w:pStyle w:val="Heading2"/>
        <w:rPr>
          <w:u w:val="none"/>
        </w:rPr>
      </w:pPr>
      <w:r w:rsidRPr="00B777AF">
        <w:rPr>
          <w:u w:val="none"/>
        </w:rPr>
        <w:t>Policy/Criteria</w:t>
      </w:r>
    </w:p>
    <w:p w14:paraId="2468FC9A" w14:textId="30320DD2" w:rsidR="002F15E2" w:rsidRPr="00076A52" w:rsidRDefault="002F15E2" w:rsidP="00420673">
      <w:pPr>
        <w:numPr>
          <w:ilvl w:val="0"/>
          <w:numId w:val="27"/>
        </w:numPr>
        <w:rPr>
          <w:bCs/>
          <w:color w:val="000000"/>
        </w:rPr>
      </w:pPr>
      <w:r w:rsidRPr="00076A52">
        <w:rPr>
          <w:bCs/>
          <w:color w:val="000000"/>
        </w:rPr>
        <w:t>It is the policy of health plans affiliated with Centene Corporation</w:t>
      </w:r>
      <w:r w:rsidRPr="00076A52">
        <w:rPr>
          <w:bCs/>
          <w:color w:val="000000"/>
          <w:vertAlign w:val="superscript"/>
        </w:rPr>
        <w:t>®</w:t>
      </w:r>
      <w:r w:rsidRPr="00076A52">
        <w:rPr>
          <w:bCs/>
          <w:color w:val="000000"/>
        </w:rPr>
        <w:t xml:space="preserve"> </w:t>
      </w:r>
      <w:r w:rsidR="001949B2" w:rsidRPr="00076A52">
        <w:rPr>
          <w:bCs/>
          <w:color w:val="000000"/>
        </w:rPr>
        <w:t xml:space="preserve">and Centene Advanced Behavioral Health </w:t>
      </w:r>
      <w:r w:rsidRPr="00076A52">
        <w:rPr>
          <w:bCs/>
          <w:color w:val="000000"/>
        </w:rPr>
        <w:t xml:space="preserve">that routine costs of a qualifying clinical trial and services used to diagnose and treat complications arising from participating in a qualifying clinical trial are </w:t>
      </w:r>
      <w:r w:rsidRPr="00076A52">
        <w:rPr>
          <w:b/>
          <w:color w:val="000000"/>
        </w:rPr>
        <w:t>medically necessary</w:t>
      </w:r>
      <w:r w:rsidRPr="00076A52">
        <w:rPr>
          <w:bCs/>
          <w:color w:val="000000"/>
        </w:rPr>
        <w:t xml:space="preserve"> based </w:t>
      </w:r>
      <w:r w:rsidR="00CD10E8" w:rsidRPr="00076A52">
        <w:rPr>
          <w:bCs/>
          <w:color w:val="000000"/>
        </w:rPr>
        <w:t>up</w:t>
      </w:r>
      <w:r w:rsidRPr="00076A52">
        <w:rPr>
          <w:bCs/>
          <w:color w:val="000000"/>
        </w:rPr>
        <w:t>on the following guidelines and limitations</w:t>
      </w:r>
      <w:r w:rsidR="00BB0068" w:rsidRPr="00076A52">
        <w:rPr>
          <w:bCs/>
          <w:color w:val="000000"/>
        </w:rPr>
        <w:t>.</w:t>
      </w:r>
      <w:r w:rsidR="00746766" w:rsidRPr="00076A52">
        <w:rPr>
          <w:bCs/>
          <w:color w:val="000000"/>
          <w:vertAlign w:val="superscript"/>
        </w:rPr>
        <w:t>1</w:t>
      </w:r>
      <w:r w:rsidR="00BB0068" w:rsidRPr="00076A52">
        <w:rPr>
          <w:bCs/>
          <w:color w:val="000000"/>
          <w:vertAlign w:val="superscript"/>
        </w:rPr>
        <w:t>,</w:t>
      </w:r>
      <w:r w:rsidR="00746766" w:rsidRPr="00076A52">
        <w:rPr>
          <w:bCs/>
          <w:color w:val="000000"/>
          <w:vertAlign w:val="superscript"/>
        </w:rPr>
        <w:t>2</w:t>
      </w:r>
    </w:p>
    <w:p w14:paraId="6AAF767C" w14:textId="50ED3B6A" w:rsidR="002F15E2" w:rsidRPr="00234955" w:rsidRDefault="002F15E2" w:rsidP="00420673">
      <w:pPr>
        <w:pStyle w:val="ListParagraph"/>
        <w:numPr>
          <w:ilvl w:val="0"/>
          <w:numId w:val="37"/>
        </w:numPr>
      </w:pPr>
      <w:r w:rsidRPr="00234955">
        <w:t xml:space="preserve">Routine costs in a clinical trial include all items and services generally considered medically necessary and a covered benefit to Plan </w:t>
      </w:r>
      <w:r w:rsidR="009A704B" w:rsidRPr="00234955">
        <w:t>member</w:t>
      </w:r>
      <w:r w:rsidR="00F81CED" w:rsidRPr="00234955">
        <w:t>s</w:t>
      </w:r>
      <w:r w:rsidR="009A704B" w:rsidRPr="00234955">
        <w:t>/enrollee</w:t>
      </w:r>
      <w:r w:rsidRPr="00234955">
        <w:t xml:space="preserve">s that are provided in either the experimental or control arms and include: </w:t>
      </w:r>
    </w:p>
    <w:p w14:paraId="68616B61" w14:textId="2E3C8F3E" w:rsidR="002F15E2" w:rsidRPr="00234955" w:rsidRDefault="002F15E2" w:rsidP="00420673">
      <w:pPr>
        <w:pStyle w:val="ListParagraph"/>
        <w:numPr>
          <w:ilvl w:val="0"/>
          <w:numId w:val="38"/>
        </w:numPr>
      </w:pPr>
      <w:r w:rsidRPr="00234955">
        <w:t xml:space="preserve">Items or services that are typically provided </w:t>
      </w:r>
      <w:proofErr w:type="gramStart"/>
      <w:r w:rsidRPr="00234955">
        <w:t>absent</w:t>
      </w:r>
      <w:proofErr w:type="gramEnd"/>
      <w:r w:rsidRPr="00234955">
        <w:t xml:space="preserve"> a clinical trial</w:t>
      </w:r>
      <w:r w:rsidR="00E005AD" w:rsidRPr="00234955">
        <w:t>;</w:t>
      </w:r>
    </w:p>
    <w:p w14:paraId="7C615D7F" w14:textId="45746B88" w:rsidR="002F15E2" w:rsidRPr="00234955" w:rsidRDefault="002F15E2" w:rsidP="00420673">
      <w:pPr>
        <w:pStyle w:val="ListParagraph"/>
        <w:numPr>
          <w:ilvl w:val="0"/>
          <w:numId w:val="38"/>
        </w:numPr>
      </w:pPr>
      <w:r w:rsidRPr="00234955">
        <w:t>Items or services required solely for the provision of the investigational item or service (</w:t>
      </w:r>
      <w:r w:rsidR="00CD10E8" w:rsidRPr="00234955">
        <w:t>e.g</w:t>
      </w:r>
      <w:r w:rsidRPr="00234955">
        <w:t>.</w:t>
      </w:r>
      <w:r w:rsidR="00CD10E8" w:rsidRPr="00234955">
        <w:t>,</w:t>
      </w:r>
      <w:r w:rsidRPr="00234955">
        <w:t xml:space="preserve"> administration of a non-covered chemotherapy agent), the clinically appropriate monitoring of the effects of the item or service, or the prevention of complications;</w:t>
      </w:r>
    </w:p>
    <w:p w14:paraId="25919690" w14:textId="7E41AB01" w:rsidR="002F15E2" w:rsidRPr="00234955" w:rsidRDefault="002F15E2" w:rsidP="002A00C8">
      <w:pPr>
        <w:pStyle w:val="ListParagraph"/>
        <w:numPr>
          <w:ilvl w:val="0"/>
          <w:numId w:val="38"/>
        </w:numPr>
        <w:rPr>
          <w:b/>
          <w:bCs/>
        </w:rPr>
      </w:pPr>
      <w:r w:rsidRPr="00234955">
        <w:t>Items or services needed for reasonable and necessary care arising from the provision of an investigational item or service – in particular, for the diagnosis or treatment of complications</w:t>
      </w:r>
      <w:r w:rsidRPr="00234955">
        <w:rPr>
          <w:strike/>
          <w:color w:val="FF0000"/>
        </w:rPr>
        <w:t>.</w:t>
      </w:r>
      <w:r w:rsidR="0077159F" w:rsidRPr="00234955">
        <w:rPr>
          <w:color w:val="FF0000"/>
        </w:rPr>
        <w:t>;</w:t>
      </w:r>
      <w:r w:rsidRPr="00234955">
        <w:t xml:space="preserve">  </w:t>
      </w:r>
    </w:p>
    <w:p w14:paraId="5D49D034" w14:textId="5839AEC7" w:rsidR="002F15E2" w:rsidRPr="00234955" w:rsidRDefault="002F15E2" w:rsidP="00420673">
      <w:pPr>
        <w:pStyle w:val="ListParagraph"/>
        <w:numPr>
          <w:ilvl w:val="0"/>
          <w:numId w:val="37"/>
        </w:numPr>
      </w:pPr>
      <w:r w:rsidRPr="00234955">
        <w:t>Excluded costs/services</w:t>
      </w:r>
      <w:r w:rsidR="00CB3ED3" w:rsidRPr="00234955">
        <w:t>:</w:t>
      </w:r>
    </w:p>
    <w:p w14:paraId="73C53613" w14:textId="577411A8" w:rsidR="002F15E2" w:rsidRPr="00234955" w:rsidRDefault="002F15E2" w:rsidP="00420673">
      <w:pPr>
        <w:pStyle w:val="ListParagraph"/>
        <w:numPr>
          <w:ilvl w:val="0"/>
          <w:numId w:val="39"/>
        </w:numPr>
      </w:pPr>
      <w:r w:rsidRPr="00234955">
        <w:t>The investigational item or service itself</w:t>
      </w:r>
      <w:r w:rsidR="009955BC" w:rsidRPr="00234955">
        <w:t>;</w:t>
      </w:r>
    </w:p>
    <w:p w14:paraId="6FB87946" w14:textId="59A11C4F" w:rsidR="002F15E2" w:rsidRPr="00234955" w:rsidRDefault="002F15E2" w:rsidP="00420673">
      <w:pPr>
        <w:pStyle w:val="ListParagraph"/>
        <w:numPr>
          <w:ilvl w:val="0"/>
          <w:numId w:val="39"/>
        </w:numPr>
      </w:pPr>
      <w:r w:rsidRPr="00234955">
        <w:t>Items and services provided solely to satisfy data collection and analysis needs and that are not used in the direct clinical management of the patient (</w:t>
      </w:r>
      <w:r w:rsidR="00CD10E8" w:rsidRPr="00234955">
        <w:t>e.g</w:t>
      </w:r>
      <w:r w:rsidRPr="00234955">
        <w:t>.</w:t>
      </w:r>
      <w:r w:rsidR="00CD10E8" w:rsidRPr="00234955">
        <w:t>,</w:t>
      </w:r>
      <w:r w:rsidRPr="00234955">
        <w:t xml:space="preserve"> monthly CT scans for a condition usually requiring only a single scan);</w:t>
      </w:r>
    </w:p>
    <w:p w14:paraId="1FB7FEFB" w14:textId="3C9CC7FF" w:rsidR="002F15E2" w:rsidRPr="00234955" w:rsidRDefault="002F15E2" w:rsidP="002A00C8">
      <w:pPr>
        <w:pStyle w:val="ListParagraph"/>
        <w:numPr>
          <w:ilvl w:val="0"/>
          <w:numId w:val="39"/>
        </w:numPr>
        <w:rPr>
          <w:bCs/>
        </w:rPr>
      </w:pPr>
      <w:r w:rsidRPr="00234955">
        <w:t xml:space="preserve">Items and services customarily provided by the research sponsors free of charge for any enrollee in the </w:t>
      </w:r>
      <w:r w:rsidRPr="00234955">
        <w:rPr>
          <w:color w:val="000000" w:themeColor="text1"/>
        </w:rPr>
        <w:t>trial</w:t>
      </w:r>
      <w:r w:rsidR="00023A68" w:rsidRPr="00234955">
        <w:rPr>
          <w:color w:val="000000" w:themeColor="text1"/>
        </w:rPr>
        <w:t>;</w:t>
      </w:r>
    </w:p>
    <w:p w14:paraId="70BD9CE0" w14:textId="40480073" w:rsidR="002F15E2" w:rsidRPr="00420673" w:rsidRDefault="002F15E2" w:rsidP="00420673">
      <w:pPr>
        <w:pStyle w:val="ListParagraph"/>
        <w:numPr>
          <w:ilvl w:val="0"/>
          <w:numId w:val="37"/>
        </w:numPr>
      </w:pPr>
      <w:r w:rsidRPr="00420673">
        <w:t>Administrative limitations</w:t>
      </w:r>
      <w:r w:rsidR="00CB3ED3">
        <w:t>:</w:t>
      </w:r>
    </w:p>
    <w:p w14:paraId="35383855" w14:textId="28D65091" w:rsidR="002F15E2" w:rsidRPr="00C72BB1" w:rsidRDefault="002F15E2" w:rsidP="00420673">
      <w:pPr>
        <w:pStyle w:val="ListParagraph"/>
        <w:numPr>
          <w:ilvl w:val="0"/>
          <w:numId w:val="40"/>
        </w:numPr>
      </w:pPr>
      <w:r w:rsidRPr="00C72BB1">
        <w:t xml:space="preserve">All applicable Plan limitations for coverage of out-of-network care applies to routine costs in a clinical trial; </w:t>
      </w:r>
    </w:p>
    <w:p w14:paraId="52A1159A" w14:textId="6F523AA6" w:rsidR="002F15E2" w:rsidRPr="00F314C2" w:rsidRDefault="002F15E2" w:rsidP="002A00C8">
      <w:pPr>
        <w:pStyle w:val="ListParagraph"/>
        <w:numPr>
          <w:ilvl w:val="0"/>
          <w:numId w:val="40"/>
        </w:numPr>
        <w:rPr>
          <w:bCs/>
        </w:rPr>
      </w:pPr>
      <w:r w:rsidRPr="00C72BB1">
        <w:t xml:space="preserve">All existing utilization management guidelines apply to routine care for </w:t>
      </w:r>
      <w:r w:rsidR="009A704B" w:rsidRPr="00C72BB1">
        <w:t>member</w:t>
      </w:r>
      <w:r w:rsidR="00F81CED" w:rsidRPr="00C72BB1">
        <w:t>s</w:t>
      </w:r>
      <w:r w:rsidR="009A704B" w:rsidRPr="00C72BB1">
        <w:t>/enrollee</w:t>
      </w:r>
      <w:r w:rsidRPr="00C72BB1">
        <w:t>s in clinical trials, including prior-authorization and notification requirements</w:t>
      </w:r>
      <w:r w:rsidR="009955BC" w:rsidRPr="00C72BB1">
        <w:t>.</w:t>
      </w:r>
    </w:p>
    <w:p w14:paraId="08C68B31" w14:textId="77777777" w:rsidR="002F15E2" w:rsidRPr="00420673" w:rsidRDefault="002F15E2" w:rsidP="00420673">
      <w:pPr>
        <w:pStyle w:val="ListParagraph"/>
        <w:numPr>
          <w:ilvl w:val="0"/>
          <w:numId w:val="37"/>
        </w:numPr>
      </w:pPr>
      <w:r w:rsidRPr="00420673">
        <w:t>Qualifying clinical trials must meet the following:</w:t>
      </w:r>
    </w:p>
    <w:p w14:paraId="43D68CE6" w14:textId="112B5712" w:rsidR="002F15E2" w:rsidRPr="00B24151" w:rsidRDefault="002F15E2" w:rsidP="00420673">
      <w:pPr>
        <w:pStyle w:val="ListParagraph"/>
        <w:numPr>
          <w:ilvl w:val="0"/>
          <w:numId w:val="41"/>
        </w:numPr>
      </w:pPr>
      <w:r w:rsidRPr="00B24151">
        <w:t xml:space="preserve">The clinical trial must have a written protocol that describes a scientifically sound study and be approved by all relevant institutional review boards (IRBs); </w:t>
      </w:r>
    </w:p>
    <w:p w14:paraId="18E832F1" w14:textId="3E3EC240" w:rsidR="002F15E2" w:rsidRPr="00B24151" w:rsidRDefault="002F15E2" w:rsidP="00420673">
      <w:pPr>
        <w:pStyle w:val="ListParagraph"/>
        <w:numPr>
          <w:ilvl w:val="0"/>
          <w:numId w:val="41"/>
        </w:numPr>
      </w:pPr>
      <w:r w:rsidRPr="00B24151">
        <w:lastRenderedPageBreak/>
        <w:t>The subject or purpose of the trial must be the evaluation of an item or service that falls within a covered benefit category (</w:t>
      </w:r>
      <w:r w:rsidR="007439B7" w:rsidRPr="00B24151">
        <w:t>i.e.,</w:t>
      </w:r>
      <w:r w:rsidRPr="00B24151">
        <w:t xml:space="preserve"> physician’s service, durable medical equipment, diagnostic test</w:t>
      </w:r>
      <w:r w:rsidR="00CD10E8" w:rsidRPr="00B24151">
        <w:t>, et</w:t>
      </w:r>
      <w:r w:rsidR="009955BC" w:rsidRPr="00B24151">
        <w:t>c.</w:t>
      </w:r>
      <w:r w:rsidRPr="00B24151">
        <w:t xml:space="preserve">); </w:t>
      </w:r>
    </w:p>
    <w:p w14:paraId="1EF703CC" w14:textId="111B5088" w:rsidR="002F15E2" w:rsidRPr="00B24151" w:rsidRDefault="002F15E2" w:rsidP="00420673">
      <w:pPr>
        <w:pStyle w:val="ListParagraph"/>
        <w:numPr>
          <w:ilvl w:val="0"/>
          <w:numId w:val="41"/>
        </w:numPr>
      </w:pPr>
      <w:r w:rsidRPr="00B24151">
        <w:t xml:space="preserve">The trial must have therapeutic intent and not solely designed to test toxicity or disease pathophysiology; </w:t>
      </w:r>
    </w:p>
    <w:p w14:paraId="05595E16" w14:textId="26CC8DDD" w:rsidR="002F15E2" w:rsidRPr="00AB3046" w:rsidRDefault="002F15E2" w:rsidP="00420673">
      <w:pPr>
        <w:pStyle w:val="ListParagraph"/>
        <w:numPr>
          <w:ilvl w:val="0"/>
          <w:numId w:val="41"/>
        </w:numPr>
      </w:pPr>
      <w:r w:rsidRPr="00B24151">
        <w:t xml:space="preserve">Trials of therapeutic interventions must enroll patients with the diagnosed disease </w:t>
      </w:r>
      <w:r w:rsidR="009955BC" w:rsidRPr="00B24151">
        <w:t>(</w:t>
      </w:r>
      <w:r w:rsidRPr="00B24151">
        <w:t xml:space="preserve">trials </w:t>
      </w:r>
      <w:r w:rsidRPr="00AB3046">
        <w:t xml:space="preserve">of diagnostic interventions may enroll healthy patients </w:t>
      </w:r>
      <w:proofErr w:type="gramStart"/>
      <w:r w:rsidRPr="00AB3046">
        <w:t>in order to</w:t>
      </w:r>
      <w:proofErr w:type="gramEnd"/>
      <w:r w:rsidRPr="00AB3046">
        <w:t xml:space="preserve"> have a proper control group</w:t>
      </w:r>
      <w:r w:rsidR="009955BC" w:rsidRPr="00AB3046">
        <w:t>);</w:t>
      </w:r>
    </w:p>
    <w:p w14:paraId="507B3594" w14:textId="77777777" w:rsidR="002F15E2" w:rsidRPr="00234955" w:rsidRDefault="002F15E2" w:rsidP="00420673">
      <w:pPr>
        <w:pStyle w:val="ListParagraph"/>
        <w:numPr>
          <w:ilvl w:val="0"/>
          <w:numId w:val="41"/>
        </w:numPr>
      </w:pPr>
      <w:r w:rsidRPr="00234955">
        <w:t xml:space="preserve">Trials must be </w:t>
      </w:r>
      <w:proofErr w:type="gramStart"/>
      <w:r w:rsidR="00CD10E8" w:rsidRPr="00234955">
        <w:t>federally-</w:t>
      </w:r>
      <w:r w:rsidRPr="00234955">
        <w:t>funded</w:t>
      </w:r>
      <w:proofErr w:type="gramEnd"/>
      <w:r w:rsidRPr="00234955">
        <w:t xml:space="preserve"> or approved by one of the following groups: </w:t>
      </w:r>
    </w:p>
    <w:p w14:paraId="21C34276" w14:textId="7390D2A4" w:rsidR="002F15E2" w:rsidRPr="00234955" w:rsidRDefault="002F15E2" w:rsidP="00420673">
      <w:pPr>
        <w:numPr>
          <w:ilvl w:val="0"/>
          <w:numId w:val="42"/>
        </w:numPr>
      </w:pPr>
      <w:r w:rsidRPr="00234955">
        <w:t>Agency for Healthcare Research and Quality (AHRQ)</w:t>
      </w:r>
      <w:r w:rsidR="009B0098" w:rsidRPr="00234955">
        <w:t>;</w:t>
      </w:r>
    </w:p>
    <w:p w14:paraId="5AD97E95" w14:textId="360BFA59" w:rsidR="002F15E2" w:rsidRPr="00234955" w:rsidRDefault="002F15E2" w:rsidP="00420673">
      <w:pPr>
        <w:numPr>
          <w:ilvl w:val="0"/>
          <w:numId w:val="42"/>
        </w:numPr>
      </w:pPr>
      <w:r w:rsidRPr="00234955">
        <w:t>Centers for Disease Control and Prevention (CDC)</w:t>
      </w:r>
      <w:r w:rsidR="009B0098" w:rsidRPr="00234955">
        <w:t>;</w:t>
      </w:r>
    </w:p>
    <w:p w14:paraId="64DA1289" w14:textId="610EB0FE" w:rsidR="002F15E2" w:rsidRPr="00234955" w:rsidRDefault="002F15E2" w:rsidP="00420673">
      <w:pPr>
        <w:numPr>
          <w:ilvl w:val="0"/>
          <w:numId w:val="42"/>
        </w:numPr>
      </w:pPr>
      <w:r w:rsidRPr="00234955">
        <w:t>Centers for Medicare and Medicaid Services (CMS)</w:t>
      </w:r>
      <w:r w:rsidR="009B0098" w:rsidRPr="00234955">
        <w:t>;</w:t>
      </w:r>
    </w:p>
    <w:p w14:paraId="1D060E01" w14:textId="238DB433" w:rsidR="002F15E2" w:rsidRPr="00234955" w:rsidRDefault="002F15E2" w:rsidP="00420673">
      <w:pPr>
        <w:numPr>
          <w:ilvl w:val="0"/>
          <w:numId w:val="42"/>
        </w:numPr>
      </w:pPr>
      <w:r w:rsidRPr="00234955">
        <w:t>National Institutes of Health (NIH)</w:t>
      </w:r>
      <w:r w:rsidR="009B0098" w:rsidRPr="00234955">
        <w:t>;</w:t>
      </w:r>
    </w:p>
    <w:p w14:paraId="0C53F5FD" w14:textId="5C8E8BC9" w:rsidR="002F15E2" w:rsidRPr="00234955" w:rsidRDefault="002F15E2" w:rsidP="00420673">
      <w:pPr>
        <w:numPr>
          <w:ilvl w:val="0"/>
          <w:numId w:val="42"/>
        </w:numPr>
      </w:pPr>
      <w:r w:rsidRPr="00234955">
        <w:t>A cooperative group or center of any of the above listed entities or the Department of Defense (DoD) or Department of Veterans Affairs (VA);</w:t>
      </w:r>
    </w:p>
    <w:p w14:paraId="0C10922D" w14:textId="54F59A25" w:rsidR="002F15E2" w:rsidRPr="00B1224A" w:rsidRDefault="002F15E2" w:rsidP="00420673">
      <w:pPr>
        <w:numPr>
          <w:ilvl w:val="0"/>
          <w:numId w:val="42"/>
        </w:numPr>
      </w:pPr>
      <w:r w:rsidRPr="00B1224A">
        <w:t xml:space="preserve">A qualified nongovernmental </w:t>
      </w:r>
      <w:r w:rsidR="00C25DDE" w:rsidRPr="00B1224A">
        <w:t>research entity identified in the guidelines issued by the NIH for center support grants;</w:t>
      </w:r>
    </w:p>
    <w:p w14:paraId="72C482B7" w14:textId="6CC57DBD" w:rsidR="007B116C" w:rsidRPr="00B1224A" w:rsidRDefault="002F15E2" w:rsidP="00420673">
      <w:pPr>
        <w:numPr>
          <w:ilvl w:val="0"/>
          <w:numId w:val="42"/>
        </w:numPr>
      </w:pPr>
      <w:r w:rsidRPr="00B1224A">
        <w:t>The Departments of VA, DoD</w:t>
      </w:r>
      <w:r w:rsidR="00CD10E8" w:rsidRPr="00B1224A">
        <w:t>,</w:t>
      </w:r>
      <w:r w:rsidRPr="00B1224A">
        <w:t xml:space="preserve"> or </w:t>
      </w:r>
      <w:r w:rsidR="009955BC" w:rsidRPr="00B1224A">
        <w:t xml:space="preserve">Department of </w:t>
      </w:r>
      <w:r w:rsidRPr="00B1224A">
        <w:t>Energy (DoE) if the trial has been reviewed and approved through a system of peer review comparable to the system used by the NIH and that ensures unbiased review of the highest scientific standards by qualified individuals who have no interest in the outcome of the review;</w:t>
      </w:r>
    </w:p>
    <w:p w14:paraId="77D7936C" w14:textId="61125A14" w:rsidR="002F15E2" w:rsidRPr="00234955" w:rsidRDefault="002F15E2" w:rsidP="00420673">
      <w:pPr>
        <w:numPr>
          <w:ilvl w:val="0"/>
          <w:numId w:val="42"/>
        </w:numPr>
      </w:pPr>
      <w:r w:rsidRPr="00234955">
        <w:t xml:space="preserve">The study or investigation is conducted under an </w:t>
      </w:r>
      <w:proofErr w:type="gramStart"/>
      <w:r w:rsidRPr="00234955">
        <w:t>investigational</w:t>
      </w:r>
      <w:proofErr w:type="gramEnd"/>
      <w:r w:rsidRPr="00234955">
        <w:t xml:space="preserve"> new drug application reviewed by the Food and Drug Administration (FDA);</w:t>
      </w:r>
    </w:p>
    <w:p w14:paraId="243F9AA2" w14:textId="5B38A8C7" w:rsidR="00C96847" w:rsidRPr="00234955" w:rsidRDefault="002F15E2" w:rsidP="00420673">
      <w:pPr>
        <w:numPr>
          <w:ilvl w:val="0"/>
          <w:numId w:val="42"/>
        </w:numPr>
      </w:pPr>
      <w:r w:rsidRPr="00234955">
        <w:t>The study or investigation is a drug trial that is exempt from having such an investigational new drug application.</w:t>
      </w:r>
    </w:p>
    <w:p w14:paraId="371C1131" w14:textId="77777777" w:rsidR="00FB139B" w:rsidRDefault="00FB139B" w:rsidP="00420673">
      <w:pPr>
        <w:ind w:left="720"/>
        <w:rPr>
          <w:bCs/>
          <w:color w:val="000000"/>
        </w:rPr>
      </w:pPr>
    </w:p>
    <w:p w14:paraId="4ACC648F" w14:textId="77777777" w:rsidR="00FB0592" w:rsidRDefault="00FB0592" w:rsidP="00FB0592">
      <w:pPr>
        <w:pStyle w:val="Heading2"/>
        <w:rPr>
          <w:u w:val="none"/>
        </w:rPr>
      </w:pPr>
      <w:r w:rsidRPr="00B777AF">
        <w:rPr>
          <w:u w:val="none"/>
        </w:rPr>
        <w:t>Background</w:t>
      </w:r>
    </w:p>
    <w:p w14:paraId="1E3AA109" w14:textId="77777777" w:rsidR="00FE290A" w:rsidRDefault="002F15E2">
      <w:pPr>
        <w:rPr>
          <w:b/>
          <w:bCs/>
        </w:rPr>
      </w:pPr>
      <w:r>
        <w:t>This policy was adapted from Medicare Coverage ~ Clinical Trials, Final National Coverage Decision policy.</w:t>
      </w:r>
    </w:p>
    <w:p w14:paraId="4A409D00" w14:textId="77777777" w:rsidR="009D5928" w:rsidRDefault="009D5928">
      <w:pPr>
        <w:rPr>
          <w:b/>
          <w:bCs/>
        </w:rPr>
      </w:pPr>
    </w:p>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08"/>
        <w:gridCol w:w="1260"/>
      </w:tblGrid>
      <w:tr w:rsidR="009441F5" w:rsidRPr="00B777AF" w14:paraId="5D48D289" w14:textId="77777777" w:rsidTr="00A635C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280" w:type="dxa"/>
            <w:tcBorders>
              <w:left w:val="none" w:sz="0" w:space="0" w:color="auto"/>
              <w:right w:val="none" w:sz="0" w:space="0" w:color="auto"/>
            </w:tcBorders>
            <w:shd w:val="clear" w:color="auto" w:fill="00548C"/>
          </w:tcPr>
          <w:p w14:paraId="2BD3F4D3" w14:textId="77777777" w:rsidR="009441F5" w:rsidRPr="00B777AF" w:rsidRDefault="009441F5" w:rsidP="009221D8">
            <w:pPr>
              <w:rPr>
                <w:bCs w:val="0"/>
              </w:rPr>
            </w:pPr>
            <w:bookmarkStart w:id="0" w:name="Revision_Log"/>
            <w:r w:rsidRPr="00B777AF">
              <w:rPr>
                <w:bCs w:val="0"/>
              </w:rPr>
              <w:t>Reviews</w:t>
            </w:r>
            <w:r>
              <w:rPr>
                <w:bCs w:val="0"/>
              </w:rPr>
              <w:t>, Revisions, and Approvals</w:t>
            </w:r>
            <w:bookmarkEnd w:id="0"/>
          </w:p>
        </w:tc>
        <w:tc>
          <w:tcPr>
            <w:tcW w:w="1108" w:type="dxa"/>
            <w:shd w:val="clear" w:color="auto" w:fill="00548C"/>
          </w:tcPr>
          <w:p w14:paraId="7D6404BC" w14:textId="5A4C2343" w:rsidR="009441F5" w:rsidRPr="00B777AF" w:rsidRDefault="00A635C2" w:rsidP="009221D8">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9441F5"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0116A872" w14:textId="77777777" w:rsidR="009441F5" w:rsidRPr="00B777AF" w:rsidRDefault="009441F5" w:rsidP="009221D8">
            <w:pPr>
              <w:jc w:val="center"/>
              <w:rPr>
                <w:bCs w:val="0"/>
              </w:rPr>
            </w:pPr>
            <w:r>
              <w:rPr>
                <w:bCs w:val="0"/>
              </w:rPr>
              <w:t>Approval</w:t>
            </w:r>
            <w:r w:rsidRPr="00B777AF">
              <w:rPr>
                <w:bCs w:val="0"/>
              </w:rPr>
              <w:t xml:space="preserve"> Date</w:t>
            </w:r>
          </w:p>
        </w:tc>
      </w:tr>
      <w:tr w:rsidR="009441F5" w14:paraId="7D3A6039" w14:textId="77777777" w:rsidTr="00A635C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none" w:sz="0" w:space="0" w:color="auto"/>
              <w:left w:val="none" w:sz="0" w:space="0" w:color="auto"/>
              <w:bottom w:val="none" w:sz="0" w:space="0" w:color="auto"/>
              <w:right w:val="none" w:sz="0" w:space="0" w:color="auto"/>
            </w:tcBorders>
          </w:tcPr>
          <w:p w14:paraId="4DC1C9A8" w14:textId="77777777" w:rsidR="009441F5" w:rsidRDefault="009441F5" w:rsidP="009221D8">
            <w:pPr>
              <w:tabs>
                <w:tab w:val="num" w:pos="720"/>
              </w:tabs>
            </w:pPr>
            <w:r>
              <w:t>Policy developed</w:t>
            </w:r>
          </w:p>
        </w:tc>
        <w:tc>
          <w:tcPr>
            <w:tcW w:w="1108" w:type="dxa"/>
            <w:tcBorders>
              <w:top w:val="none" w:sz="0" w:space="0" w:color="auto"/>
              <w:bottom w:val="none" w:sz="0" w:space="0" w:color="auto"/>
            </w:tcBorders>
          </w:tcPr>
          <w:p w14:paraId="1E6208F3" w14:textId="77777777" w:rsidR="009441F5" w:rsidRDefault="009441F5" w:rsidP="009221D8">
            <w:pPr>
              <w:jc w:val="center"/>
              <w:cnfStyle w:val="000000100000" w:firstRow="0" w:lastRow="0" w:firstColumn="0" w:lastColumn="0" w:oddVBand="0" w:evenVBand="0" w:oddHBand="1" w:evenHBand="0" w:firstRowFirstColumn="0" w:firstRowLastColumn="0" w:lastRowFirstColumn="0" w:lastRowLastColumn="0"/>
            </w:pPr>
            <w:r>
              <w:t>12/13</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31FE20BA" w14:textId="77777777" w:rsidR="009441F5" w:rsidRDefault="009441F5" w:rsidP="009221D8">
            <w:pPr>
              <w:jc w:val="center"/>
            </w:pPr>
            <w:r>
              <w:t>01/14</w:t>
            </w:r>
          </w:p>
        </w:tc>
      </w:tr>
      <w:tr w:rsidR="00FA0743" w14:paraId="30B79A35" w14:textId="77777777" w:rsidTr="00A635C2">
        <w:tc>
          <w:tcPr>
            <w:cnfStyle w:val="000010000000" w:firstRow="0" w:lastRow="0" w:firstColumn="0" w:lastColumn="0" w:oddVBand="1" w:evenVBand="0" w:oddHBand="0" w:evenHBand="0" w:firstRowFirstColumn="0" w:firstRowLastColumn="0" w:lastRowFirstColumn="0" w:lastRowLastColumn="0"/>
            <w:tcW w:w="7280" w:type="dxa"/>
          </w:tcPr>
          <w:p w14:paraId="6D46E31F" w14:textId="05DE1F81" w:rsidR="00FA0743" w:rsidRDefault="009A704B" w:rsidP="002A00C8">
            <w:r>
              <w:t>References reviewed</w:t>
            </w:r>
            <w:r w:rsidR="00C909BD">
              <w:t xml:space="preserve">, </w:t>
            </w:r>
            <w:r>
              <w:t>updated</w:t>
            </w:r>
            <w:r w:rsidR="00C909BD">
              <w:t xml:space="preserve"> and reformatted.</w:t>
            </w:r>
            <w:r>
              <w:t xml:space="preserve"> Replaced</w:t>
            </w:r>
            <w:r w:rsidR="00F81CED">
              <w:t xml:space="preserve"> all instances of</w:t>
            </w:r>
            <w:r>
              <w:t xml:space="preserve"> </w:t>
            </w:r>
            <w:r w:rsidR="00F81CED">
              <w:t>“</w:t>
            </w:r>
            <w:r>
              <w:t>member</w:t>
            </w:r>
            <w:r w:rsidR="00F81CED">
              <w:t>”</w:t>
            </w:r>
            <w:r>
              <w:t xml:space="preserve"> with </w:t>
            </w:r>
            <w:r w:rsidR="00F81CED">
              <w:t>“</w:t>
            </w:r>
            <w:r>
              <w:t>member/enrollee.</w:t>
            </w:r>
            <w:r w:rsidR="00F81CED">
              <w:t>”</w:t>
            </w:r>
            <w:r w:rsidR="00A635C2">
              <w:t xml:space="preserve">  </w:t>
            </w:r>
            <w:r w:rsidR="00A635C2" w:rsidRPr="00B53F17">
              <w:t>Changed “review date” in the header to “date of last revision” and “date” in the revision log header to “revision date.”</w:t>
            </w:r>
          </w:p>
        </w:tc>
        <w:tc>
          <w:tcPr>
            <w:tcW w:w="1108" w:type="dxa"/>
          </w:tcPr>
          <w:p w14:paraId="53841904" w14:textId="302E24E6" w:rsidR="00FA0743" w:rsidRDefault="00FA0743" w:rsidP="00A635C2">
            <w:pPr>
              <w:jc w:val="center"/>
              <w:cnfStyle w:val="000000000000" w:firstRow="0" w:lastRow="0" w:firstColumn="0" w:lastColumn="0" w:oddVBand="0" w:evenVBand="0" w:oddHBand="0" w:evenHBand="0" w:firstRowFirstColumn="0" w:firstRowLastColumn="0" w:lastRowFirstColumn="0" w:lastRowLastColumn="0"/>
            </w:pPr>
            <w:r>
              <w:t>0</w:t>
            </w:r>
            <w:r w:rsidR="00A635C2">
              <w:t>6</w:t>
            </w:r>
            <w:r>
              <w:t>/21</w:t>
            </w:r>
          </w:p>
        </w:tc>
        <w:tc>
          <w:tcPr>
            <w:cnfStyle w:val="000010000000" w:firstRow="0" w:lastRow="0" w:firstColumn="0" w:lastColumn="0" w:oddVBand="1" w:evenVBand="0" w:oddHBand="0" w:evenHBand="0" w:firstRowFirstColumn="0" w:firstRowLastColumn="0" w:lastRowFirstColumn="0" w:lastRowLastColumn="0"/>
            <w:tcW w:w="1260" w:type="dxa"/>
          </w:tcPr>
          <w:p w14:paraId="0DC098EE" w14:textId="559DD9E8" w:rsidR="00FA0743" w:rsidRDefault="00367940" w:rsidP="009221D8">
            <w:pPr>
              <w:jc w:val="center"/>
            </w:pPr>
            <w:r>
              <w:t>06/21</w:t>
            </w:r>
          </w:p>
        </w:tc>
      </w:tr>
      <w:tr w:rsidR="00297E3D" w14:paraId="3586CBC4" w14:textId="77777777" w:rsidTr="00A635C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025E7FE5" w14:textId="184F39F8" w:rsidR="00297E3D" w:rsidRDefault="00297E3D" w:rsidP="00A635C2">
            <w:r>
              <w:t xml:space="preserve">Annual review. </w:t>
            </w:r>
            <w:r w:rsidR="00FE4425">
              <w:t xml:space="preserve">Criteria </w:t>
            </w:r>
            <w:proofErr w:type="gramStart"/>
            <w:r w:rsidR="00FE4425">
              <w:t>I.,II.,III.,IV.</w:t>
            </w:r>
            <w:proofErr w:type="gramEnd"/>
            <w:r w:rsidR="00FE4425">
              <w:t xml:space="preserve"> updated to remove “and” after semi-colons. Criteria IV.B. “et al” changed to “</w:t>
            </w:r>
            <w:r w:rsidR="008D41F2">
              <w:t>e</w:t>
            </w:r>
            <w:r w:rsidR="00FE4425">
              <w:t xml:space="preserve">tc.” Criteria IV.E. #7 abbreviation updated for Department of Energy (DoE). </w:t>
            </w:r>
            <w:r>
              <w:t xml:space="preserve">References reviewed and updated. </w:t>
            </w:r>
          </w:p>
        </w:tc>
        <w:tc>
          <w:tcPr>
            <w:tcW w:w="1108" w:type="dxa"/>
          </w:tcPr>
          <w:p w14:paraId="7E5D14C8" w14:textId="3AC88811" w:rsidR="00297E3D" w:rsidRDefault="00297E3D" w:rsidP="00A635C2">
            <w:pPr>
              <w:jc w:val="center"/>
              <w:cnfStyle w:val="000000100000" w:firstRow="0" w:lastRow="0" w:firstColumn="0" w:lastColumn="0" w:oddVBand="0" w:evenVBand="0" w:oddHBand="1" w:evenHBand="0" w:firstRowFirstColumn="0" w:firstRowLastColumn="0" w:lastRowFirstColumn="0" w:lastRowLastColumn="0"/>
            </w:pPr>
            <w:r>
              <w:t>06/22</w:t>
            </w:r>
          </w:p>
        </w:tc>
        <w:tc>
          <w:tcPr>
            <w:cnfStyle w:val="000010000000" w:firstRow="0" w:lastRow="0" w:firstColumn="0" w:lastColumn="0" w:oddVBand="1" w:evenVBand="0" w:oddHBand="0" w:evenHBand="0" w:firstRowFirstColumn="0" w:firstRowLastColumn="0" w:lastRowFirstColumn="0" w:lastRowLastColumn="0"/>
            <w:tcW w:w="1260" w:type="dxa"/>
          </w:tcPr>
          <w:p w14:paraId="53F33D62" w14:textId="27754016" w:rsidR="00297E3D" w:rsidRDefault="00541D2B" w:rsidP="009221D8">
            <w:pPr>
              <w:jc w:val="center"/>
            </w:pPr>
            <w:r>
              <w:t>06/22</w:t>
            </w:r>
          </w:p>
        </w:tc>
      </w:tr>
      <w:tr w:rsidR="00F0691A" w14:paraId="418C374D" w14:textId="77777777" w:rsidTr="00A635C2">
        <w:tc>
          <w:tcPr>
            <w:cnfStyle w:val="000010000000" w:firstRow="0" w:lastRow="0" w:firstColumn="0" w:lastColumn="0" w:oddVBand="1" w:evenVBand="0" w:oddHBand="0" w:evenHBand="0" w:firstRowFirstColumn="0" w:firstRowLastColumn="0" w:lastRowFirstColumn="0" w:lastRowLastColumn="0"/>
            <w:tcW w:w="7280" w:type="dxa"/>
          </w:tcPr>
          <w:p w14:paraId="5EAC85E8" w14:textId="653BB6A0" w:rsidR="00F0691A" w:rsidRDefault="00F0691A" w:rsidP="00A635C2">
            <w:r>
              <w:t>Annual review completed</w:t>
            </w:r>
            <w:r w:rsidR="009E058B">
              <w:t>; policy reformatted</w:t>
            </w:r>
            <w:r>
              <w:t xml:space="preserve">. </w:t>
            </w:r>
            <w:r w:rsidR="00F175C1">
              <w:t xml:space="preserve">Minor rewording with no clinical significance. </w:t>
            </w:r>
            <w:r w:rsidR="00ED650E">
              <w:t xml:space="preserve">References reviewed and updated. </w:t>
            </w:r>
          </w:p>
        </w:tc>
        <w:tc>
          <w:tcPr>
            <w:tcW w:w="1108" w:type="dxa"/>
          </w:tcPr>
          <w:p w14:paraId="1B9A00E1" w14:textId="5F56CACC" w:rsidR="00F0691A" w:rsidRDefault="00A70F0A" w:rsidP="00A635C2">
            <w:pPr>
              <w:jc w:val="center"/>
              <w:cnfStyle w:val="000000000000" w:firstRow="0" w:lastRow="0" w:firstColumn="0" w:lastColumn="0" w:oddVBand="0" w:evenVBand="0" w:oddHBand="0" w:evenHBand="0" w:firstRowFirstColumn="0" w:firstRowLastColumn="0" w:lastRowFirstColumn="0" w:lastRowLastColumn="0"/>
            </w:pPr>
            <w:r>
              <w:t>06/23</w:t>
            </w:r>
          </w:p>
        </w:tc>
        <w:tc>
          <w:tcPr>
            <w:cnfStyle w:val="000010000000" w:firstRow="0" w:lastRow="0" w:firstColumn="0" w:lastColumn="0" w:oddVBand="1" w:evenVBand="0" w:oddHBand="0" w:evenHBand="0" w:firstRowFirstColumn="0" w:firstRowLastColumn="0" w:lastRowFirstColumn="0" w:lastRowLastColumn="0"/>
            <w:tcW w:w="1260" w:type="dxa"/>
          </w:tcPr>
          <w:p w14:paraId="7E208B48" w14:textId="0F96E826" w:rsidR="00F0691A" w:rsidRDefault="00FC7851" w:rsidP="009221D8">
            <w:pPr>
              <w:jc w:val="center"/>
            </w:pPr>
            <w:r>
              <w:t>06/23</w:t>
            </w:r>
          </w:p>
        </w:tc>
      </w:tr>
      <w:tr w:rsidR="00F314C2" w14:paraId="0838F6AA" w14:textId="77777777" w:rsidTr="00A635C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70CEF4BC" w14:textId="212692E4" w:rsidR="00F314C2" w:rsidRDefault="00F314C2" w:rsidP="00A635C2">
            <w:r>
              <w:t xml:space="preserve">Annual review. </w:t>
            </w:r>
            <w:r w:rsidR="00F10A08">
              <w:t xml:space="preserve">Updated policy statement in I. to include “Centene Advanced Behavioral Health”. </w:t>
            </w:r>
            <w:r>
              <w:t xml:space="preserve">References reviewed and updated. </w:t>
            </w:r>
          </w:p>
        </w:tc>
        <w:tc>
          <w:tcPr>
            <w:tcW w:w="1108" w:type="dxa"/>
          </w:tcPr>
          <w:p w14:paraId="4E8FCB54" w14:textId="086269D2" w:rsidR="00F314C2" w:rsidRDefault="00F314C2" w:rsidP="00A635C2">
            <w:pPr>
              <w:jc w:val="center"/>
              <w:cnfStyle w:val="000000100000" w:firstRow="0" w:lastRow="0" w:firstColumn="0" w:lastColumn="0" w:oddVBand="0" w:evenVBand="0" w:oddHBand="1" w:evenHBand="0" w:firstRowFirstColumn="0" w:firstRowLastColumn="0" w:lastRowFirstColumn="0" w:lastRowLastColumn="0"/>
            </w:pPr>
            <w:r>
              <w:t>06/24</w:t>
            </w:r>
          </w:p>
        </w:tc>
        <w:tc>
          <w:tcPr>
            <w:cnfStyle w:val="000010000000" w:firstRow="0" w:lastRow="0" w:firstColumn="0" w:lastColumn="0" w:oddVBand="1" w:evenVBand="0" w:oddHBand="0" w:evenHBand="0" w:firstRowFirstColumn="0" w:firstRowLastColumn="0" w:lastRowFirstColumn="0" w:lastRowLastColumn="0"/>
            <w:tcW w:w="1260" w:type="dxa"/>
          </w:tcPr>
          <w:p w14:paraId="7D78393E" w14:textId="1769697B" w:rsidR="00F314C2" w:rsidRDefault="00EA3B77" w:rsidP="009221D8">
            <w:pPr>
              <w:jc w:val="center"/>
            </w:pPr>
            <w:r>
              <w:t>06/24</w:t>
            </w:r>
          </w:p>
        </w:tc>
      </w:tr>
      <w:tr w:rsidR="008C1C3F" w14:paraId="58505824" w14:textId="77777777" w:rsidTr="00A635C2">
        <w:tc>
          <w:tcPr>
            <w:cnfStyle w:val="000010000000" w:firstRow="0" w:lastRow="0" w:firstColumn="0" w:lastColumn="0" w:oddVBand="1" w:evenVBand="0" w:oddHBand="0" w:evenHBand="0" w:firstRowFirstColumn="0" w:firstRowLastColumn="0" w:lastRowFirstColumn="0" w:lastRowLastColumn="0"/>
            <w:tcW w:w="7280" w:type="dxa"/>
          </w:tcPr>
          <w:p w14:paraId="3121E3E6" w14:textId="53FC6C7D" w:rsidR="008C1C3F" w:rsidRDefault="008C1C3F" w:rsidP="00A635C2">
            <w:r>
              <w:lastRenderedPageBreak/>
              <w:t>Annual review.</w:t>
            </w:r>
            <w:r w:rsidR="00AB3046">
              <w:t xml:space="preserve"> References reviewed and updated. Reviewed by external specialist. </w:t>
            </w:r>
          </w:p>
        </w:tc>
        <w:tc>
          <w:tcPr>
            <w:tcW w:w="1108" w:type="dxa"/>
          </w:tcPr>
          <w:p w14:paraId="7C30CD43" w14:textId="329D70BC" w:rsidR="008C1C3F" w:rsidRDefault="008C1C3F" w:rsidP="00A635C2">
            <w:pPr>
              <w:jc w:val="center"/>
              <w:cnfStyle w:val="000000000000" w:firstRow="0" w:lastRow="0" w:firstColumn="0" w:lastColumn="0" w:oddVBand="0" w:evenVBand="0" w:oddHBand="0" w:evenHBand="0" w:firstRowFirstColumn="0" w:firstRowLastColumn="0" w:lastRowFirstColumn="0" w:lastRowLastColumn="0"/>
            </w:pPr>
            <w:r>
              <w:t>06/25</w:t>
            </w:r>
          </w:p>
        </w:tc>
        <w:tc>
          <w:tcPr>
            <w:cnfStyle w:val="000010000000" w:firstRow="0" w:lastRow="0" w:firstColumn="0" w:lastColumn="0" w:oddVBand="1" w:evenVBand="0" w:oddHBand="0" w:evenHBand="0" w:firstRowFirstColumn="0" w:firstRowLastColumn="0" w:lastRowFirstColumn="0" w:lastRowLastColumn="0"/>
            <w:tcW w:w="1260" w:type="dxa"/>
          </w:tcPr>
          <w:p w14:paraId="773F73F4" w14:textId="720B8F7E" w:rsidR="008C1C3F" w:rsidRDefault="00035010" w:rsidP="009221D8">
            <w:pPr>
              <w:jc w:val="center"/>
            </w:pPr>
            <w:r>
              <w:t>06/25</w:t>
            </w:r>
            <w:r w:rsidR="006543B3">
              <w:t xml:space="preserve"> </w:t>
            </w:r>
          </w:p>
        </w:tc>
      </w:tr>
    </w:tbl>
    <w:p w14:paraId="60B6D95F" w14:textId="77777777" w:rsidR="00CE0E02" w:rsidRDefault="00CE0E02" w:rsidP="00963062">
      <w:pPr>
        <w:pStyle w:val="Heading3"/>
        <w:sectPr w:rsidR="00CE0E02" w:rsidSect="00480C09">
          <w:type w:val="continuous"/>
          <w:pgSz w:w="12240" w:h="15840" w:code="1"/>
          <w:pgMar w:top="1440" w:right="1440" w:bottom="1440" w:left="1440" w:header="576" w:footer="288" w:gutter="0"/>
          <w:cols w:space="720"/>
          <w:titlePg/>
          <w:docGrid w:linePitch="360"/>
        </w:sectPr>
      </w:pPr>
    </w:p>
    <w:p w14:paraId="61BE0B58" w14:textId="77777777" w:rsidR="00963062" w:rsidRPr="00B777AF" w:rsidRDefault="00313C15" w:rsidP="00963062">
      <w:pPr>
        <w:pStyle w:val="Heading3"/>
      </w:pPr>
      <w:r>
        <w:t>References</w:t>
      </w:r>
    </w:p>
    <w:p w14:paraId="144C67DB" w14:textId="689F2CCF" w:rsidR="002F15E2" w:rsidRPr="00AB3046" w:rsidRDefault="00941230" w:rsidP="00C450D7">
      <w:pPr>
        <w:pStyle w:val="ListParagraph"/>
        <w:numPr>
          <w:ilvl w:val="0"/>
          <w:numId w:val="26"/>
        </w:numPr>
        <w:ind w:left="360"/>
      </w:pPr>
      <w:r w:rsidRPr="00AB3046">
        <w:t>National coverage determination: routine costs in clinical trials (3</w:t>
      </w:r>
      <w:r w:rsidR="00F10A08" w:rsidRPr="00AB3046">
        <w:t>10</w:t>
      </w:r>
      <w:r w:rsidRPr="00AB3046">
        <w:t>.1). Centers for Medicare and Medicaid Services Web site.</w:t>
      </w:r>
      <w:r w:rsidR="001949B2" w:rsidRPr="00AB3046">
        <w:t xml:space="preserve"> </w:t>
      </w:r>
      <w:hyperlink r:id="rId16" w:history="1">
        <w:r w:rsidR="00AC1E74" w:rsidRPr="00AC1E74">
          <w:rPr>
            <w:rStyle w:val="Hyperlink"/>
          </w:rPr>
          <w:t>https://www.cms.gov/medicare-coverage-database/search.aspx</w:t>
        </w:r>
      </w:hyperlink>
      <w:r w:rsidR="00AC1E74">
        <w:t xml:space="preserve">. Published May 27, </w:t>
      </w:r>
      <w:r w:rsidR="00CF3DA0" w:rsidRPr="00AB3046">
        <w:t>2024</w:t>
      </w:r>
      <w:r w:rsidRPr="00AB3046">
        <w:t>. Accessed</w:t>
      </w:r>
      <w:r w:rsidR="00F10A08" w:rsidRPr="00AB3046">
        <w:t xml:space="preserve"> </w:t>
      </w:r>
      <w:r w:rsidR="00B6465A" w:rsidRPr="00AB3046">
        <w:t>April 22, 2025</w:t>
      </w:r>
      <w:r w:rsidR="00F10A08" w:rsidRPr="00AB3046">
        <w:t xml:space="preserve">. </w:t>
      </w:r>
    </w:p>
    <w:p w14:paraId="5238EAF0" w14:textId="468AEAC6" w:rsidR="00963062" w:rsidRPr="00420673" w:rsidRDefault="00176262" w:rsidP="006F4A0D">
      <w:pPr>
        <w:pStyle w:val="ListParagraph"/>
        <w:numPr>
          <w:ilvl w:val="0"/>
          <w:numId w:val="26"/>
        </w:numPr>
        <w:ind w:left="360"/>
        <w:rPr>
          <w:rStyle w:val="Hyperlink"/>
          <w:color w:val="auto"/>
        </w:rPr>
      </w:pPr>
      <w:r w:rsidRPr="00E20BF0">
        <w:t xml:space="preserve">Office of the Legislative Counsel for the use of the U.S. House of Representatives. Compilation of </w:t>
      </w:r>
      <w:r w:rsidR="0039009E" w:rsidRPr="00E20BF0">
        <w:t>Patient Protection and Affordable Care Act</w:t>
      </w:r>
      <w:r w:rsidR="009A704B" w:rsidRPr="00E20BF0">
        <w:rPr>
          <w:rStyle w:val="Hyperlink"/>
          <w:color w:val="auto"/>
          <w:u w:val="none"/>
        </w:rPr>
        <w:t>.</w:t>
      </w:r>
      <w:r w:rsidRPr="00E20BF0">
        <w:rPr>
          <w:rStyle w:val="Hyperlink"/>
          <w:color w:val="auto"/>
          <w:u w:val="none"/>
        </w:rPr>
        <w:t xml:space="preserve"> </w:t>
      </w:r>
      <w:hyperlink r:id="rId17" w:history="1">
        <w:r w:rsidR="00941230" w:rsidRPr="001B1A1B">
          <w:rPr>
            <w:rStyle w:val="Hyperlink"/>
          </w:rPr>
          <w:t>https://www.hhs.gov/sites/default/files/ppacacon.pdf?language=es</w:t>
        </w:r>
      </w:hyperlink>
      <w:r w:rsidR="00941230">
        <w:rPr>
          <w:rStyle w:val="Hyperlink"/>
          <w:color w:val="auto"/>
          <w:u w:val="none"/>
        </w:rPr>
        <w:t xml:space="preserve">. </w:t>
      </w:r>
      <w:r w:rsidRPr="00E20BF0">
        <w:rPr>
          <w:rStyle w:val="Hyperlink"/>
          <w:color w:val="auto"/>
          <w:u w:val="none"/>
        </w:rPr>
        <w:t xml:space="preserve">Published June 09, 2010. Accessed </w:t>
      </w:r>
      <w:r w:rsidR="007D1C6D">
        <w:rPr>
          <w:rStyle w:val="Hyperlink"/>
          <w:color w:val="auto"/>
          <w:u w:val="none"/>
        </w:rPr>
        <w:t xml:space="preserve">May </w:t>
      </w:r>
      <w:r w:rsidR="00684309">
        <w:rPr>
          <w:rStyle w:val="Hyperlink"/>
          <w:color w:val="auto"/>
          <w:u w:val="none"/>
        </w:rPr>
        <w:t>16</w:t>
      </w:r>
      <w:r w:rsidR="00A32A69">
        <w:rPr>
          <w:rStyle w:val="Hyperlink"/>
          <w:color w:val="auto"/>
          <w:u w:val="none"/>
        </w:rPr>
        <w:t>, 2025</w:t>
      </w:r>
      <w:r w:rsidRPr="00E20BF0">
        <w:rPr>
          <w:rStyle w:val="Hyperlink"/>
          <w:color w:val="auto"/>
          <w:u w:val="none"/>
        </w:rPr>
        <w:t xml:space="preserve">. </w:t>
      </w:r>
    </w:p>
    <w:p w14:paraId="61468EE8" w14:textId="2FB85C3A" w:rsidR="0039009E" w:rsidRPr="00234955" w:rsidRDefault="0039009E" w:rsidP="006F4A0D">
      <w:pPr>
        <w:pStyle w:val="ListParagraph"/>
        <w:numPr>
          <w:ilvl w:val="0"/>
          <w:numId w:val="26"/>
        </w:numPr>
        <w:ind w:left="360"/>
        <w:rPr>
          <w:rStyle w:val="Hyperlink"/>
        </w:rPr>
      </w:pPr>
      <w:r w:rsidRPr="00E20BF0">
        <w:rPr>
          <w:rStyle w:val="Hyperlink"/>
          <w:color w:val="auto"/>
          <w:u w:val="none"/>
        </w:rPr>
        <w:t xml:space="preserve">National Institutes of Health U.S. National Library of Medicine. ClinicalTrials.gov. </w:t>
      </w:r>
      <w:hyperlink r:id="rId18" w:history="1">
        <w:r w:rsidR="00FC7851">
          <w:rPr>
            <w:rStyle w:val="Hyperlink"/>
          </w:rPr>
          <w:t>https://clinicaltrials.gov/</w:t>
        </w:r>
      </w:hyperlink>
      <w:r>
        <w:rPr>
          <w:rStyle w:val="Hyperlink"/>
          <w:color w:val="auto"/>
          <w:u w:val="none"/>
        </w:rPr>
        <w:t xml:space="preserve">. </w:t>
      </w:r>
      <w:r w:rsidRPr="00E20BF0">
        <w:rPr>
          <w:rStyle w:val="Hyperlink"/>
          <w:color w:val="auto"/>
          <w:u w:val="none"/>
        </w:rPr>
        <w:t xml:space="preserve">Accessed </w:t>
      </w:r>
      <w:r w:rsidR="007D1C6D">
        <w:rPr>
          <w:rStyle w:val="Hyperlink"/>
          <w:color w:val="auto"/>
          <w:u w:val="none"/>
        </w:rPr>
        <w:t xml:space="preserve">May </w:t>
      </w:r>
      <w:r w:rsidR="00273DE8">
        <w:rPr>
          <w:rStyle w:val="Hyperlink"/>
          <w:color w:val="auto"/>
          <w:u w:val="none"/>
        </w:rPr>
        <w:t>19</w:t>
      </w:r>
      <w:r w:rsidR="007D1C6D">
        <w:rPr>
          <w:rStyle w:val="Hyperlink"/>
          <w:color w:val="auto"/>
          <w:u w:val="none"/>
        </w:rPr>
        <w:t>, 202</w:t>
      </w:r>
      <w:r w:rsidR="00273DE8">
        <w:rPr>
          <w:rStyle w:val="Hyperlink"/>
          <w:color w:val="auto"/>
          <w:u w:val="none"/>
        </w:rPr>
        <w:t>5</w:t>
      </w:r>
      <w:r w:rsidRPr="00E20BF0">
        <w:rPr>
          <w:rStyle w:val="Hyperlink"/>
          <w:color w:val="auto"/>
          <w:u w:val="none"/>
        </w:rPr>
        <w:t xml:space="preserve">. </w:t>
      </w:r>
    </w:p>
    <w:p w14:paraId="5E5513DA" w14:textId="7ED18945" w:rsidR="00A872E0" w:rsidRDefault="00A872E0" w:rsidP="006F4A0D">
      <w:pPr>
        <w:pStyle w:val="ListParagraph"/>
        <w:numPr>
          <w:ilvl w:val="0"/>
          <w:numId w:val="26"/>
        </w:numPr>
        <w:ind w:left="360"/>
        <w:rPr>
          <w:rStyle w:val="Hyperlink"/>
        </w:rPr>
      </w:pPr>
      <w:r>
        <w:rPr>
          <w:rStyle w:val="Hyperlink"/>
          <w:color w:val="auto"/>
          <w:u w:val="none"/>
        </w:rPr>
        <w:t xml:space="preserve">U.S. Department of Energy. </w:t>
      </w:r>
      <w:r w:rsidR="00F4309A">
        <w:rPr>
          <w:rStyle w:val="Hyperlink"/>
          <w:color w:val="auto"/>
          <w:u w:val="none"/>
        </w:rPr>
        <w:t xml:space="preserve">Protection of Human Research Subjects. </w:t>
      </w:r>
      <w:hyperlink r:id="rId19" w:anchor=":~:text=(1)%20No%20HSR%20conducted%20with,with%2010%20CFR%20Part%20745.103" w:history="1">
        <w:r w:rsidR="00F4309A" w:rsidRPr="0037006D">
          <w:rPr>
            <w:rStyle w:val="Hyperlink"/>
          </w:rPr>
          <w:t>https://www.directives.doe.gov/directives-documents/400-series/0443.1-BOrder-c/@@images/file#:~:text=(1)%20No%20HSR%20conducted%20with,with%2010%20CFR%20Part%20745.103</w:t>
        </w:r>
      </w:hyperlink>
      <w:r w:rsidR="00F4309A" w:rsidRPr="00F4309A">
        <w:rPr>
          <w:rStyle w:val="Hyperlink"/>
          <w:color w:val="auto"/>
          <w:u w:val="none"/>
        </w:rPr>
        <w:t>.</w:t>
      </w:r>
      <w:r w:rsidR="00F4309A">
        <w:rPr>
          <w:rStyle w:val="Hyperlink"/>
          <w:color w:val="auto"/>
          <w:u w:val="none"/>
        </w:rPr>
        <w:t xml:space="preserve"> </w:t>
      </w:r>
      <w:r w:rsidR="00ED4A73">
        <w:rPr>
          <w:rStyle w:val="Hyperlink"/>
          <w:color w:val="auto"/>
          <w:u w:val="none"/>
        </w:rPr>
        <w:t xml:space="preserve">Published November 26, 2019. Accessed May 21, 2025. </w:t>
      </w:r>
    </w:p>
    <w:p w14:paraId="6C99E3BC" w14:textId="77777777" w:rsidR="00875924" w:rsidRDefault="00875924" w:rsidP="00C75BD4">
      <w:pPr>
        <w:jc w:val="both"/>
        <w:rPr>
          <w:i/>
          <w:iCs/>
        </w:rPr>
      </w:pPr>
    </w:p>
    <w:p w14:paraId="66C28860" w14:textId="77777777" w:rsidR="007B116C" w:rsidRDefault="007B116C" w:rsidP="007B116C">
      <w:pPr>
        <w:rPr>
          <w:rFonts w:eastAsiaTheme="minorHAnsi"/>
          <w:b/>
          <w:u w:val="single"/>
        </w:rPr>
      </w:pPr>
      <w:bookmarkStart w:id="1" w:name="Important_Reminder"/>
      <w:r>
        <w:rPr>
          <w:rFonts w:eastAsiaTheme="minorHAnsi"/>
          <w:b/>
          <w:bCs/>
          <w:u w:val="single"/>
        </w:rPr>
        <w:t>Important Reminder</w:t>
      </w:r>
    </w:p>
    <w:p w14:paraId="4FF6A610" w14:textId="77777777" w:rsidR="007B116C" w:rsidRDefault="007B116C" w:rsidP="007B116C">
      <w:pPr>
        <w:rPr>
          <w:rFonts w:eastAsiaTheme="minorHAnsi"/>
        </w:rPr>
      </w:pPr>
      <w:r>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Pr>
          <w:rFonts w:eastAsiaTheme="minorHAnsi"/>
          <w:iCs/>
        </w:rPr>
        <w:t>The Health Plan</w:t>
      </w:r>
      <w:r>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444D8FD3" w14:textId="77777777" w:rsidR="007B116C" w:rsidRDefault="007B116C" w:rsidP="007B116C">
      <w:pPr>
        <w:rPr>
          <w:rFonts w:eastAsiaTheme="minorHAnsi"/>
        </w:rPr>
      </w:pPr>
    </w:p>
    <w:p w14:paraId="6E936D96" w14:textId="77777777" w:rsidR="007B116C" w:rsidRDefault="007B116C" w:rsidP="007B116C">
      <w:pPr>
        <w:rPr>
          <w:rFonts w:eastAsiaTheme="minorHAnsi"/>
        </w:rPr>
      </w:pPr>
      <w:r>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28E00ED3" w14:textId="77777777" w:rsidR="007B116C" w:rsidRDefault="007B116C" w:rsidP="007B116C">
      <w:pPr>
        <w:rPr>
          <w:rFonts w:eastAsiaTheme="minorHAnsi"/>
        </w:rPr>
      </w:pPr>
    </w:p>
    <w:p w14:paraId="36A58DE5" w14:textId="77777777" w:rsidR="007B116C" w:rsidRDefault="007B116C" w:rsidP="007B116C">
      <w:pPr>
        <w:rPr>
          <w:color w:val="002868"/>
        </w:rPr>
      </w:pPr>
      <w:r>
        <w:rPr>
          <w:rFonts w:eastAsiaTheme="minorHAnsi"/>
        </w:rPr>
        <w:t xml:space="preserve">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w:t>
      </w:r>
      <w:r>
        <w:rPr>
          <w:rFonts w:eastAsiaTheme="minorHAnsi"/>
        </w:rPr>
        <w:lastRenderedPageBreak/>
        <w:t>retains the right to change, amend or withdraw this clinical policy, and additional clinical policies may be developed and adopted as needed, at any time.</w:t>
      </w:r>
    </w:p>
    <w:p w14:paraId="08414A7C" w14:textId="77777777" w:rsidR="007B116C" w:rsidRDefault="007B116C" w:rsidP="007B116C">
      <w:pPr>
        <w:rPr>
          <w:rFonts w:eastAsiaTheme="minorHAnsi"/>
        </w:rPr>
      </w:pPr>
    </w:p>
    <w:p w14:paraId="4BD324AE" w14:textId="3807AEAE" w:rsidR="007B116C" w:rsidRDefault="007B116C" w:rsidP="007B116C">
      <w:pPr>
        <w:rPr>
          <w:rFonts w:eastAsiaTheme="minorHAnsi"/>
        </w:rPr>
      </w:pPr>
      <w:r>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Pr>
          <w:rFonts w:eastAsiaTheme="minorHAnsi"/>
        </w:rPr>
        <w:t>care, and</w:t>
      </w:r>
      <w:proofErr w:type="gramEnd"/>
      <w:r>
        <w:rPr>
          <w:rFonts w:eastAsiaTheme="minorHAnsi"/>
        </w:rPr>
        <w:t xml:space="preserve"> are solely responsible for the medical advice and treatment of </w:t>
      </w:r>
      <w:r w:rsidR="009A704B">
        <w:rPr>
          <w:rFonts w:eastAsiaTheme="minorHAnsi"/>
        </w:rPr>
        <w:t>member</w:t>
      </w:r>
      <w:r w:rsidR="00F81CED">
        <w:rPr>
          <w:rFonts w:eastAsiaTheme="minorHAnsi"/>
        </w:rPr>
        <w:t>s</w:t>
      </w:r>
      <w:r w:rsidR="009A704B">
        <w:rPr>
          <w:rFonts w:eastAsiaTheme="minorHAnsi"/>
        </w:rPr>
        <w:t>/enrollee</w:t>
      </w:r>
      <w:r>
        <w:rPr>
          <w:rFonts w:eastAsiaTheme="minorHAnsi"/>
        </w:rPr>
        <w:t xml:space="preserve">s. This clinical policy is not intended to recommend treatment for </w:t>
      </w:r>
      <w:r w:rsidR="009A704B">
        <w:rPr>
          <w:rFonts w:eastAsiaTheme="minorHAnsi"/>
        </w:rPr>
        <w:t>member</w:t>
      </w:r>
      <w:r w:rsidR="00F81CED">
        <w:rPr>
          <w:rFonts w:eastAsiaTheme="minorHAnsi"/>
        </w:rPr>
        <w:t>s</w:t>
      </w:r>
      <w:r w:rsidR="009A704B">
        <w:rPr>
          <w:rFonts w:eastAsiaTheme="minorHAnsi"/>
        </w:rPr>
        <w:t>/enrollee</w:t>
      </w:r>
      <w:r>
        <w:rPr>
          <w:rFonts w:eastAsiaTheme="minorHAnsi"/>
        </w:rPr>
        <w:t xml:space="preserve">s. </w:t>
      </w:r>
      <w:r w:rsidR="009A704B">
        <w:rPr>
          <w:rFonts w:eastAsiaTheme="minorHAnsi"/>
        </w:rPr>
        <w:t>Member/enrollee</w:t>
      </w:r>
      <w:r>
        <w:rPr>
          <w:rFonts w:eastAsiaTheme="minorHAnsi"/>
        </w:rPr>
        <w:t xml:space="preserve">s should consult with their treating physician in connection with diagnosis and treatment decisions. </w:t>
      </w:r>
    </w:p>
    <w:p w14:paraId="7E32F26F" w14:textId="77777777" w:rsidR="007B116C" w:rsidRDefault="007B116C" w:rsidP="007B116C">
      <w:pPr>
        <w:rPr>
          <w:rFonts w:eastAsiaTheme="minorHAnsi"/>
        </w:rPr>
      </w:pPr>
    </w:p>
    <w:p w14:paraId="038B9A9E" w14:textId="19C52BF8" w:rsidR="007B116C" w:rsidRDefault="007B116C" w:rsidP="007B116C">
      <w:pPr>
        <w:rPr>
          <w:rFonts w:eastAsiaTheme="minorHAnsi"/>
        </w:rPr>
      </w:pPr>
      <w:r>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1DB7507B" w14:textId="77777777" w:rsidR="007B116C" w:rsidRDefault="007B116C" w:rsidP="007B116C">
      <w:pPr>
        <w:rPr>
          <w:rFonts w:eastAsiaTheme="minorHAnsi"/>
        </w:rPr>
      </w:pPr>
    </w:p>
    <w:p w14:paraId="1C973130" w14:textId="3C348C01" w:rsidR="007B116C" w:rsidRDefault="007B116C" w:rsidP="007B116C">
      <w:pPr>
        <w:rPr>
          <w:rFonts w:eastAsiaTheme="minorHAnsi"/>
        </w:rPr>
      </w:pPr>
      <w:r>
        <w:rPr>
          <w:rFonts w:eastAsiaTheme="minorHAnsi"/>
        </w:rPr>
        <w:t xml:space="preserve">This clinical policy is the property of </w:t>
      </w:r>
      <w:r>
        <w:rPr>
          <w:rFonts w:eastAsiaTheme="minorHAnsi"/>
          <w:iCs/>
        </w:rPr>
        <w:t>the Health Plan</w:t>
      </w:r>
      <w:r>
        <w:rPr>
          <w:rFonts w:eastAsiaTheme="minorHAnsi"/>
        </w:rPr>
        <w:t xml:space="preserve">. Unauthorized copying, use, and distribution of this clinical policy or any information contained herein are strictly prohibited.  Providers, </w:t>
      </w:r>
      <w:r w:rsidR="009A704B">
        <w:rPr>
          <w:rFonts w:eastAsiaTheme="minorHAnsi"/>
        </w:rPr>
        <w:t>member</w:t>
      </w:r>
      <w:r w:rsidR="00F81CED">
        <w:rPr>
          <w:rFonts w:eastAsiaTheme="minorHAnsi"/>
        </w:rPr>
        <w:t>s</w:t>
      </w:r>
      <w:r w:rsidR="009A704B">
        <w:rPr>
          <w:rFonts w:eastAsiaTheme="minorHAnsi"/>
        </w:rPr>
        <w:t>/enrollee</w:t>
      </w:r>
      <w:r>
        <w:rPr>
          <w:rFonts w:eastAsiaTheme="minorHAnsi"/>
        </w:rPr>
        <w:t xml:space="preserve">s and their representatives are bound to the terms and conditions expressed herein through the terms of their contracts. Where no such contract exists, providers, </w:t>
      </w:r>
      <w:r w:rsidR="009A704B">
        <w:rPr>
          <w:rFonts w:eastAsiaTheme="minorHAnsi"/>
        </w:rPr>
        <w:t>member</w:t>
      </w:r>
      <w:r w:rsidR="00F81CED">
        <w:rPr>
          <w:rFonts w:eastAsiaTheme="minorHAnsi"/>
        </w:rPr>
        <w:t>s</w:t>
      </w:r>
      <w:r w:rsidR="009A704B">
        <w:rPr>
          <w:rFonts w:eastAsiaTheme="minorHAnsi"/>
        </w:rPr>
        <w:t>/enrollee</w:t>
      </w:r>
      <w:r>
        <w:rPr>
          <w:rFonts w:eastAsiaTheme="minorHAnsi"/>
        </w:rPr>
        <w:t xml:space="preserve">s and their representatives agree to be bound by such terms and conditions by providing services to </w:t>
      </w:r>
      <w:r w:rsidR="009A704B">
        <w:rPr>
          <w:rFonts w:eastAsiaTheme="minorHAnsi"/>
        </w:rPr>
        <w:t>member</w:t>
      </w:r>
      <w:r w:rsidR="00F81CED">
        <w:rPr>
          <w:rFonts w:eastAsiaTheme="minorHAnsi"/>
        </w:rPr>
        <w:t>s</w:t>
      </w:r>
      <w:r w:rsidR="009A704B">
        <w:rPr>
          <w:rFonts w:eastAsiaTheme="minorHAnsi"/>
        </w:rPr>
        <w:t>/enrollee</w:t>
      </w:r>
      <w:r>
        <w:rPr>
          <w:rFonts w:eastAsiaTheme="minorHAnsi"/>
        </w:rPr>
        <w:t xml:space="preserve">s and/or submitting claims for payment for such services.  </w:t>
      </w:r>
    </w:p>
    <w:p w14:paraId="6F46C23F" w14:textId="77777777" w:rsidR="007B116C" w:rsidRDefault="007B116C" w:rsidP="007B116C">
      <w:pPr>
        <w:autoSpaceDE w:val="0"/>
        <w:autoSpaceDN w:val="0"/>
        <w:adjustRightInd w:val="0"/>
        <w:rPr>
          <w:rFonts w:eastAsiaTheme="minorHAnsi"/>
          <w:color w:val="000000"/>
        </w:rPr>
      </w:pPr>
    </w:p>
    <w:p w14:paraId="0896D37E" w14:textId="601BCAD2" w:rsidR="007B116C" w:rsidRDefault="007B116C" w:rsidP="007B116C">
      <w:pPr>
        <w:autoSpaceDE w:val="0"/>
        <w:autoSpaceDN w:val="0"/>
        <w:adjustRightInd w:val="0"/>
        <w:rPr>
          <w:rFonts w:eastAsiaTheme="minorHAnsi"/>
          <w:color w:val="000000"/>
        </w:rPr>
      </w:pPr>
      <w:r>
        <w:rPr>
          <w:rFonts w:eastAsiaTheme="minorHAnsi"/>
          <w:b/>
          <w:color w:val="000000"/>
        </w:rPr>
        <w:t xml:space="preserve">Note: For Medicaid </w:t>
      </w:r>
      <w:r w:rsidR="009A704B">
        <w:rPr>
          <w:rFonts w:eastAsiaTheme="minorHAnsi"/>
          <w:b/>
          <w:color w:val="000000"/>
        </w:rPr>
        <w:t>member</w:t>
      </w:r>
      <w:r w:rsidR="00F81CED">
        <w:rPr>
          <w:rFonts w:eastAsiaTheme="minorHAnsi"/>
          <w:b/>
          <w:color w:val="000000"/>
        </w:rPr>
        <w:t>s</w:t>
      </w:r>
      <w:r w:rsidR="009A704B">
        <w:rPr>
          <w:rFonts w:eastAsiaTheme="minorHAnsi"/>
          <w:b/>
          <w:color w:val="000000"/>
        </w:rPr>
        <w:t>/enrollee</w:t>
      </w:r>
      <w:r>
        <w:rPr>
          <w:rFonts w:eastAsiaTheme="minorHAnsi"/>
          <w:b/>
          <w:color w:val="000000"/>
        </w:rPr>
        <w:t>s</w:t>
      </w:r>
      <w:r>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1D3C2BC4" w14:textId="77777777" w:rsidR="007B116C" w:rsidRDefault="007B116C" w:rsidP="007B116C">
      <w:pPr>
        <w:rPr>
          <w:rFonts w:eastAsiaTheme="minorHAnsi"/>
        </w:rPr>
      </w:pPr>
    </w:p>
    <w:p w14:paraId="2867D160" w14:textId="2540CD75" w:rsidR="007B116C" w:rsidRDefault="007B116C" w:rsidP="007B116C">
      <w:pPr>
        <w:autoSpaceDE w:val="0"/>
        <w:autoSpaceDN w:val="0"/>
        <w:adjustRightInd w:val="0"/>
        <w:rPr>
          <w:color w:val="000000"/>
        </w:rPr>
      </w:pPr>
      <w:r>
        <w:rPr>
          <w:rFonts w:eastAsiaTheme="minorHAnsi"/>
          <w:b/>
          <w:bCs/>
          <w:color w:val="000000"/>
        </w:rPr>
        <w:t xml:space="preserve">Note: For Medicare </w:t>
      </w:r>
      <w:r w:rsidR="009A704B">
        <w:rPr>
          <w:rFonts w:eastAsiaTheme="minorHAnsi"/>
          <w:b/>
          <w:bCs/>
          <w:color w:val="000000"/>
        </w:rPr>
        <w:t>member</w:t>
      </w:r>
      <w:r w:rsidR="00F81CED">
        <w:rPr>
          <w:rFonts w:eastAsiaTheme="minorHAnsi"/>
          <w:b/>
          <w:bCs/>
          <w:color w:val="000000"/>
        </w:rPr>
        <w:t>s</w:t>
      </w:r>
      <w:r w:rsidR="009A704B">
        <w:rPr>
          <w:rFonts w:eastAsiaTheme="minorHAnsi"/>
          <w:b/>
          <w:bCs/>
          <w:color w:val="000000"/>
        </w:rPr>
        <w:t>/enrollee</w:t>
      </w:r>
      <w:r>
        <w:rPr>
          <w:rFonts w:eastAsiaTheme="minorHAnsi"/>
          <w:b/>
          <w:bCs/>
          <w:color w:val="000000"/>
        </w:rPr>
        <w:t xml:space="preserve">s, </w:t>
      </w:r>
      <w:r>
        <w:rPr>
          <w:rFonts w:eastAsiaTheme="minorHAnsi"/>
          <w:color w:val="000000"/>
        </w:rPr>
        <w:t xml:space="preserve">to ensure consistency with the Medicare National Coverage Determinations (NCD) and Local Coverage Determinations (LCD), all applicable NCDs, LCDs, and Medicare Coverage Articles should be reviewed </w:t>
      </w:r>
      <w:r>
        <w:rPr>
          <w:rFonts w:eastAsiaTheme="minorHAnsi"/>
          <w:color w:val="000000"/>
          <w:u w:val="single"/>
        </w:rPr>
        <w:t>prior to</w:t>
      </w:r>
      <w:r>
        <w:rPr>
          <w:rFonts w:eastAsiaTheme="minorHAnsi"/>
          <w:color w:val="000000"/>
        </w:rPr>
        <w:t xml:space="preserve"> applying the criteria set forth in this clinical policy. Refer to the CMS website at </w:t>
      </w:r>
      <w:hyperlink r:id="rId20" w:history="1">
        <w:r>
          <w:rPr>
            <w:rStyle w:val="Hyperlink"/>
            <w:rFonts w:eastAsiaTheme="minorHAnsi"/>
            <w:color w:val="000000"/>
          </w:rPr>
          <w:t>http://www.cms.gov</w:t>
        </w:r>
      </w:hyperlink>
      <w:r>
        <w:rPr>
          <w:rFonts w:eastAsiaTheme="minorHAnsi"/>
          <w:color w:val="000000"/>
        </w:rPr>
        <w:t xml:space="preserve"> for additional information.</w:t>
      </w:r>
      <w:r>
        <w:rPr>
          <w:color w:val="000000"/>
        </w:rPr>
        <w:t xml:space="preserve"> </w:t>
      </w:r>
    </w:p>
    <w:p w14:paraId="31D81B2E" w14:textId="77777777" w:rsidR="007B116C" w:rsidRDefault="007B116C" w:rsidP="007B116C">
      <w:pPr>
        <w:rPr>
          <w:iCs/>
        </w:rPr>
      </w:pPr>
    </w:p>
    <w:p w14:paraId="4A977C3E" w14:textId="6D29063A" w:rsidR="007B116C" w:rsidRDefault="007B116C" w:rsidP="007B116C">
      <w:pPr>
        <w:rPr>
          <w:iCs/>
        </w:rPr>
      </w:pPr>
      <w:r>
        <w:rPr>
          <w:iCs/>
        </w:rPr>
        <w:t>©201</w:t>
      </w:r>
      <w:r w:rsidR="00F314C2">
        <w:rPr>
          <w:iCs/>
        </w:rPr>
        <w:t>8</w:t>
      </w:r>
      <w:r>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Pr>
          <w:iCs/>
          <w:vertAlign w:val="superscript"/>
        </w:rPr>
        <w:t>®</w:t>
      </w:r>
      <w:r>
        <w:rPr>
          <w:iCs/>
        </w:rPr>
        <w:t xml:space="preserve"> and Centene Corporation</w:t>
      </w:r>
      <w:r>
        <w:rPr>
          <w:iCs/>
          <w:vertAlign w:val="superscript"/>
        </w:rPr>
        <w:t>®</w:t>
      </w:r>
      <w:r>
        <w:rPr>
          <w:iCs/>
        </w:rPr>
        <w:t xml:space="preserve"> are registered trademarks exclusively owned by Centene Corporation.</w:t>
      </w:r>
    </w:p>
    <w:p w14:paraId="308629C5" w14:textId="77777777" w:rsidR="007B116C" w:rsidRDefault="007B116C" w:rsidP="007B116C"/>
    <w:bookmarkEnd w:id="1"/>
    <w:p w14:paraId="25FD3CD7" w14:textId="77777777" w:rsidR="00C75BD4" w:rsidRDefault="00C75BD4" w:rsidP="00AF5490"/>
    <w:sectPr w:rsidR="00C75BD4"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8D12" w14:textId="77777777" w:rsidR="005200B6" w:rsidRDefault="005200B6">
      <w:r>
        <w:separator/>
      </w:r>
    </w:p>
  </w:endnote>
  <w:endnote w:type="continuationSeparator" w:id="0">
    <w:p w14:paraId="30E0E1C6" w14:textId="77777777" w:rsidR="005200B6" w:rsidRDefault="0052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F294" w14:textId="77777777" w:rsidR="002022E8" w:rsidRDefault="00202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70C0" w14:textId="093D7399"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367940">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367940">
      <w:rPr>
        <w:b/>
        <w:bCs/>
        <w:noProof/>
      </w:rPr>
      <w:t>4</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5290" w14:textId="50B44A09" w:rsidR="002C6AAB" w:rsidRDefault="002C6AAB" w:rsidP="002C6AAB">
    <w:pPr>
      <w:pStyle w:val="Footer"/>
      <w:jc w:val="center"/>
    </w:pPr>
    <w:r>
      <w:t xml:space="preserve">Page </w:t>
    </w:r>
    <w:r>
      <w:fldChar w:fldCharType="begin"/>
    </w:r>
    <w:r>
      <w:instrText xml:space="preserve"> PAGE   \* MERGEFORMAT </w:instrText>
    </w:r>
    <w:r>
      <w:fldChar w:fldCharType="separate"/>
    </w:r>
    <w:r w:rsidR="00367940">
      <w:rPr>
        <w:noProof/>
      </w:rPr>
      <w:t>1</w:t>
    </w:r>
    <w:r>
      <w:fldChar w:fldCharType="end"/>
    </w:r>
    <w:r>
      <w:t xml:space="preserve"> of </w:t>
    </w:r>
    <w:r w:rsidR="009221D8">
      <w:rPr>
        <w:noProof/>
      </w:rPr>
      <w:fldChar w:fldCharType="begin"/>
    </w:r>
    <w:r w:rsidR="009221D8">
      <w:rPr>
        <w:noProof/>
      </w:rPr>
      <w:instrText xml:space="preserve"> NUMPAGES   \* MERGEFORMAT </w:instrText>
    </w:r>
    <w:r w:rsidR="009221D8">
      <w:rPr>
        <w:noProof/>
      </w:rPr>
      <w:fldChar w:fldCharType="separate"/>
    </w:r>
    <w:r w:rsidR="00367940">
      <w:rPr>
        <w:noProof/>
      </w:rPr>
      <w:t>4</w:t>
    </w:r>
    <w:r w:rsidR="009221D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518C" w14:textId="77777777" w:rsidR="005200B6" w:rsidRDefault="005200B6">
      <w:r>
        <w:separator/>
      </w:r>
    </w:p>
  </w:footnote>
  <w:footnote w:type="continuationSeparator" w:id="0">
    <w:p w14:paraId="1B628840" w14:textId="77777777" w:rsidR="005200B6" w:rsidRDefault="00520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C6D6" w14:textId="77777777" w:rsidR="002022E8" w:rsidRDefault="00202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721D"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241EAC99" wp14:editId="241EAC9A">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3B8C9EC6" w14:textId="77777777" w:rsidR="00DD025A" w:rsidRPr="00B777AF" w:rsidRDefault="009441F5" w:rsidP="00B777AF">
    <w:pPr>
      <w:rPr>
        <w:color w:val="00548C"/>
      </w:rPr>
    </w:pPr>
    <w:r>
      <w:rPr>
        <w:rFonts w:ascii="Times New Roman Bold" w:hAnsi="Times New Roman Bold"/>
        <w:b/>
        <w:bCs/>
        <w:color w:val="00548C"/>
      </w:rPr>
      <w:t>Clinical Trials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84E1" w14:textId="77777777" w:rsidR="009135E0" w:rsidRDefault="00A20F73" w:rsidP="00B777AF">
    <w:pPr>
      <w:pStyle w:val="Header"/>
      <w:jc w:val="right"/>
    </w:pPr>
    <w:r>
      <w:rPr>
        <w:noProof/>
      </w:rPr>
      <w:drawing>
        <wp:inline distT="0" distB="0" distL="0" distR="0" wp14:anchorId="241EAC9B" wp14:editId="241EAC9C">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D14"/>
    <w:multiLevelType w:val="hybridMultilevel"/>
    <w:tmpl w:val="EBACAE76"/>
    <w:lvl w:ilvl="0" w:tplc="FFFFFFFF">
      <w:start w:val="1"/>
      <w:numFmt w:val="upperRoman"/>
      <w:lvlText w:val="%1."/>
      <w:lvlJc w:val="left"/>
      <w:pPr>
        <w:ind w:left="360" w:hanging="360"/>
      </w:pPr>
      <w:rPr>
        <w:rFonts w:hint="default"/>
        <w:b/>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F92BD4"/>
    <w:multiLevelType w:val="hybridMultilevel"/>
    <w:tmpl w:val="2FB6BF5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B47EBA"/>
    <w:multiLevelType w:val="hybridMultilevel"/>
    <w:tmpl w:val="422AD8D0"/>
    <w:lvl w:ilvl="0" w:tplc="FFFFFFFF">
      <w:start w:val="1"/>
      <w:numFmt w:val="decimal"/>
      <w:lvlText w:val="%1."/>
      <w:lvlJc w:val="left"/>
      <w:pPr>
        <w:ind w:left="1080" w:hanging="360"/>
      </w:pPr>
      <w:rPr>
        <w:rFonts w:hint="default"/>
        <w:b w:val="0"/>
        <w:bCs/>
        <w:i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Letter"/>
      <w:lvlText w:val="%4."/>
      <w:lvlJc w:val="left"/>
      <w:pPr>
        <w:ind w:left="3240" w:hanging="360"/>
      </w:pPr>
    </w:lvl>
    <w:lvl w:ilvl="4" w:tplc="FFFFFFFF">
      <w:start w:val="1"/>
      <w:numFmt w:val="lowerRoman"/>
      <w:lvlText w:val="%5."/>
      <w:lvlJc w:val="right"/>
      <w:pPr>
        <w:ind w:left="3960" w:hanging="360"/>
      </w:pPr>
    </w:lvl>
    <w:lvl w:ilvl="5" w:tplc="FFFFFFFF">
      <w:start w:val="1"/>
      <w:numFmt w:val="lowerLetter"/>
      <w:lvlText w:val="%6)"/>
      <w:lvlJc w:val="left"/>
      <w:pPr>
        <w:ind w:left="4860" w:hanging="36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310CB"/>
    <w:multiLevelType w:val="hybridMultilevel"/>
    <w:tmpl w:val="FD0C4B82"/>
    <w:lvl w:ilvl="0" w:tplc="04090019">
      <w:start w:val="1"/>
      <w:numFmt w:val="lowerLetter"/>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961E7"/>
    <w:multiLevelType w:val="hybridMultilevel"/>
    <w:tmpl w:val="697E977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626F1"/>
    <w:multiLevelType w:val="hybridMultilevel"/>
    <w:tmpl w:val="DD00F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31AE9"/>
    <w:multiLevelType w:val="hybridMultilevel"/>
    <w:tmpl w:val="096CB2C6"/>
    <w:lvl w:ilvl="0" w:tplc="C1B48C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F8082C"/>
    <w:multiLevelType w:val="hybridMultilevel"/>
    <w:tmpl w:val="A746D6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D05CF"/>
    <w:multiLevelType w:val="hybridMultilevel"/>
    <w:tmpl w:val="2CCE64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667A6E"/>
    <w:multiLevelType w:val="hybridMultilevel"/>
    <w:tmpl w:val="EB54A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6F3A2C"/>
    <w:multiLevelType w:val="hybridMultilevel"/>
    <w:tmpl w:val="422AD8D0"/>
    <w:lvl w:ilvl="0" w:tplc="FFFFFFFF">
      <w:start w:val="1"/>
      <w:numFmt w:val="decimal"/>
      <w:lvlText w:val="%1."/>
      <w:lvlJc w:val="left"/>
      <w:pPr>
        <w:ind w:left="1080" w:hanging="360"/>
      </w:pPr>
      <w:rPr>
        <w:rFonts w:hint="default"/>
        <w:b w:val="0"/>
        <w:bCs/>
        <w:i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Letter"/>
      <w:lvlText w:val="%4."/>
      <w:lvlJc w:val="left"/>
      <w:pPr>
        <w:ind w:left="3240" w:hanging="360"/>
      </w:pPr>
    </w:lvl>
    <w:lvl w:ilvl="4" w:tplc="FFFFFFFF">
      <w:start w:val="1"/>
      <w:numFmt w:val="lowerRoman"/>
      <w:lvlText w:val="%5."/>
      <w:lvlJc w:val="right"/>
      <w:pPr>
        <w:ind w:left="3960" w:hanging="360"/>
      </w:pPr>
    </w:lvl>
    <w:lvl w:ilvl="5" w:tplc="FFFFFFFF">
      <w:start w:val="1"/>
      <w:numFmt w:val="lowerLetter"/>
      <w:lvlText w:val="%6)"/>
      <w:lvlJc w:val="left"/>
      <w:pPr>
        <w:ind w:left="4860" w:hanging="36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B7D3CC7"/>
    <w:multiLevelType w:val="hybridMultilevel"/>
    <w:tmpl w:val="BE00B126"/>
    <w:lvl w:ilvl="0" w:tplc="679EA2B6">
      <w:start w:val="4"/>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B3C3F"/>
    <w:multiLevelType w:val="hybridMultilevel"/>
    <w:tmpl w:val="C382D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A59AF"/>
    <w:multiLevelType w:val="hybridMultilevel"/>
    <w:tmpl w:val="D406A35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A664B0"/>
    <w:multiLevelType w:val="hybridMultilevel"/>
    <w:tmpl w:val="FBDCBF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1D7383"/>
    <w:multiLevelType w:val="hybridMultilevel"/>
    <w:tmpl w:val="EB54AC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9377C5"/>
    <w:multiLevelType w:val="hybridMultilevel"/>
    <w:tmpl w:val="422AD8D0"/>
    <w:lvl w:ilvl="0" w:tplc="FFFFFFFF">
      <w:start w:val="1"/>
      <w:numFmt w:val="decimal"/>
      <w:lvlText w:val="%1."/>
      <w:lvlJc w:val="left"/>
      <w:pPr>
        <w:ind w:left="1080" w:hanging="360"/>
      </w:pPr>
      <w:rPr>
        <w:rFonts w:hint="default"/>
        <w:b w:val="0"/>
        <w:bCs/>
        <w:i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Letter"/>
      <w:lvlText w:val="%4."/>
      <w:lvlJc w:val="left"/>
      <w:pPr>
        <w:ind w:left="3240" w:hanging="360"/>
      </w:pPr>
    </w:lvl>
    <w:lvl w:ilvl="4" w:tplc="FFFFFFFF">
      <w:start w:val="1"/>
      <w:numFmt w:val="lowerRoman"/>
      <w:lvlText w:val="%5."/>
      <w:lvlJc w:val="right"/>
      <w:pPr>
        <w:ind w:left="3960" w:hanging="360"/>
      </w:pPr>
    </w:lvl>
    <w:lvl w:ilvl="5" w:tplc="FFFFFFFF">
      <w:start w:val="1"/>
      <w:numFmt w:val="lowerLetter"/>
      <w:lvlText w:val="%6)"/>
      <w:lvlJc w:val="left"/>
      <w:pPr>
        <w:ind w:left="4860" w:hanging="36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F934F54"/>
    <w:multiLevelType w:val="hybridMultilevel"/>
    <w:tmpl w:val="C1B61634"/>
    <w:lvl w:ilvl="0" w:tplc="FFFFFFFF">
      <w:start w:val="4"/>
      <w:numFmt w:val="lowerLetter"/>
      <w:lvlText w:val="%1."/>
      <w:lvlJc w:val="left"/>
      <w:pPr>
        <w:ind w:left="1800" w:hanging="360"/>
      </w:pPr>
      <w:rPr>
        <w:rFonts w:hint="default"/>
      </w:rPr>
    </w:lvl>
    <w:lvl w:ilvl="1" w:tplc="0409001B">
      <w:start w:val="1"/>
      <w:numFmt w:val="lowerRoman"/>
      <w:lvlText w:val="%2."/>
      <w:lvlJc w:val="right"/>
      <w:pPr>
        <w:ind w:left="52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28C5586"/>
    <w:multiLevelType w:val="hybridMultilevel"/>
    <w:tmpl w:val="422AD8D0"/>
    <w:lvl w:ilvl="0" w:tplc="FFFFFFFF">
      <w:start w:val="1"/>
      <w:numFmt w:val="decimal"/>
      <w:lvlText w:val="%1."/>
      <w:lvlJc w:val="left"/>
      <w:pPr>
        <w:ind w:left="1080" w:hanging="360"/>
      </w:pPr>
      <w:rPr>
        <w:rFonts w:hint="default"/>
        <w:b w:val="0"/>
        <w:bCs/>
        <w:i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Letter"/>
      <w:lvlText w:val="%4."/>
      <w:lvlJc w:val="left"/>
      <w:pPr>
        <w:ind w:left="3240" w:hanging="360"/>
      </w:pPr>
    </w:lvl>
    <w:lvl w:ilvl="4" w:tplc="FFFFFFFF">
      <w:start w:val="1"/>
      <w:numFmt w:val="lowerRoman"/>
      <w:lvlText w:val="%5."/>
      <w:lvlJc w:val="right"/>
      <w:pPr>
        <w:ind w:left="3960" w:hanging="360"/>
      </w:pPr>
    </w:lvl>
    <w:lvl w:ilvl="5" w:tplc="FFFFFFFF">
      <w:start w:val="1"/>
      <w:numFmt w:val="lowerLetter"/>
      <w:lvlText w:val="%6)"/>
      <w:lvlJc w:val="left"/>
      <w:pPr>
        <w:ind w:left="4860" w:hanging="36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4D152E"/>
    <w:multiLevelType w:val="hybridMultilevel"/>
    <w:tmpl w:val="2AFEA11A"/>
    <w:lvl w:ilvl="0" w:tplc="04090015">
      <w:start w:val="1"/>
      <w:numFmt w:val="upperLetter"/>
      <w:lvlText w:val="%1."/>
      <w:lvlJc w:val="left"/>
      <w:pPr>
        <w:ind w:left="720" w:hanging="360"/>
      </w:p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586FEA"/>
    <w:multiLevelType w:val="hybridMultilevel"/>
    <w:tmpl w:val="6986D88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BE54999"/>
    <w:multiLevelType w:val="hybridMultilevel"/>
    <w:tmpl w:val="50D44F66"/>
    <w:lvl w:ilvl="0" w:tplc="6BAC0802">
      <w:start w:val="1"/>
      <w:numFmt w:val="upperRoman"/>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1E3D0A"/>
    <w:multiLevelType w:val="hybridMultilevel"/>
    <w:tmpl w:val="422AD8D0"/>
    <w:lvl w:ilvl="0" w:tplc="0E38C7DA">
      <w:start w:val="1"/>
      <w:numFmt w:val="decimal"/>
      <w:lvlText w:val="%1."/>
      <w:lvlJc w:val="left"/>
      <w:pPr>
        <w:ind w:left="1080" w:hanging="360"/>
      </w:pPr>
      <w:rPr>
        <w:rFonts w:hint="default"/>
        <w:b w:val="0"/>
        <w:bCs/>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B">
      <w:start w:val="1"/>
      <w:numFmt w:val="lowerRoman"/>
      <w:lvlText w:val="%5."/>
      <w:lvlJc w:val="right"/>
      <w:pPr>
        <w:ind w:left="3960" w:hanging="360"/>
      </w:pPr>
    </w:lvl>
    <w:lvl w:ilvl="5" w:tplc="04090017">
      <w:start w:val="1"/>
      <w:numFmt w:val="lowerLetter"/>
      <w:lvlText w:val="%6)"/>
      <w:lvlJc w:val="left"/>
      <w:pPr>
        <w:ind w:left="486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691757519">
    <w:abstractNumId w:val="41"/>
  </w:num>
  <w:num w:numId="2" w16cid:durableId="1678118730">
    <w:abstractNumId w:val="1"/>
  </w:num>
  <w:num w:numId="3" w16cid:durableId="488988200">
    <w:abstractNumId w:val="12"/>
  </w:num>
  <w:num w:numId="4" w16cid:durableId="1772700437">
    <w:abstractNumId w:val="17"/>
  </w:num>
  <w:num w:numId="5" w16cid:durableId="2016300562">
    <w:abstractNumId w:val="18"/>
  </w:num>
  <w:num w:numId="6" w16cid:durableId="608390042">
    <w:abstractNumId w:val="34"/>
  </w:num>
  <w:num w:numId="7" w16cid:durableId="62873362">
    <w:abstractNumId w:val="36"/>
  </w:num>
  <w:num w:numId="8" w16cid:durableId="2037464265">
    <w:abstractNumId w:val="2"/>
  </w:num>
  <w:num w:numId="9" w16cid:durableId="226842287">
    <w:abstractNumId w:val="27"/>
  </w:num>
  <w:num w:numId="10" w16cid:durableId="988678440">
    <w:abstractNumId w:val="9"/>
  </w:num>
  <w:num w:numId="11" w16cid:durableId="1530021516">
    <w:abstractNumId w:val="40"/>
  </w:num>
  <w:num w:numId="12" w16cid:durableId="962687920">
    <w:abstractNumId w:val="16"/>
  </w:num>
  <w:num w:numId="13" w16cid:durableId="1530679273">
    <w:abstractNumId w:val="15"/>
  </w:num>
  <w:num w:numId="14" w16cid:durableId="1229658306">
    <w:abstractNumId w:val="6"/>
  </w:num>
  <w:num w:numId="15" w16cid:durableId="1222405083">
    <w:abstractNumId w:val="10"/>
  </w:num>
  <w:num w:numId="16" w16cid:durableId="1547329382">
    <w:abstractNumId w:val="37"/>
  </w:num>
  <w:num w:numId="17" w16cid:durableId="1831631226">
    <w:abstractNumId w:val="28"/>
  </w:num>
  <w:num w:numId="18" w16cid:durableId="102507224">
    <w:abstractNumId w:val="20"/>
  </w:num>
  <w:num w:numId="19" w16cid:durableId="1841575648">
    <w:abstractNumId w:val="8"/>
  </w:num>
  <w:num w:numId="20" w16cid:durableId="1034160073">
    <w:abstractNumId w:val="3"/>
  </w:num>
  <w:num w:numId="21" w16cid:durableId="1511483991">
    <w:abstractNumId w:val="39"/>
  </w:num>
  <w:num w:numId="22" w16cid:durableId="914821177">
    <w:abstractNumId w:val="25"/>
  </w:num>
  <w:num w:numId="23" w16cid:durableId="148178370">
    <w:abstractNumId w:val="19"/>
  </w:num>
  <w:num w:numId="24" w16cid:durableId="254755137">
    <w:abstractNumId w:val="13"/>
  </w:num>
  <w:num w:numId="25" w16cid:durableId="730005707">
    <w:abstractNumId w:val="35"/>
  </w:num>
  <w:num w:numId="26" w16cid:durableId="1957134209">
    <w:abstractNumId w:val="14"/>
  </w:num>
  <w:num w:numId="27" w16cid:durableId="1181317773">
    <w:abstractNumId w:val="0"/>
  </w:num>
  <w:num w:numId="28" w16cid:durableId="1459296376">
    <w:abstractNumId w:val="29"/>
  </w:num>
  <w:num w:numId="29" w16cid:durableId="1391079992">
    <w:abstractNumId w:val="24"/>
  </w:num>
  <w:num w:numId="30" w16cid:durableId="404763082">
    <w:abstractNumId w:val="32"/>
  </w:num>
  <w:num w:numId="31" w16cid:durableId="1151675947">
    <w:abstractNumId w:val="26"/>
  </w:num>
  <w:num w:numId="32" w16cid:durableId="471210916">
    <w:abstractNumId w:val="4"/>
  </w:num>
  <w:num w:numId="33" w16cid:durableId="1992980333">
    <w:abstractNumId w:val="38"/>
  </w:num>
  <w:num w:numId="34" w16cid:durableId="1401171311">
    <w:abstractNumId w:val="11"/>
  </w:num>
  <w:num w:numId="35" w16cid:durableId="1830487737">
    <w:abstractNumId w:val="7"/>
  </w:num>
  <w:num w:numId="36" w16cid:durableId="815613562">
    <w:abstractNumId w:val="22"/>
  </w:num>
  <w:num w:numId="37" w16cid:durableId="1203636414">
    <w:abstractNumId w:val="30"/>
  </w:num>
  <w:num w:numId="38" w16cid:durableId="370493595">
    <w:abstractNumId w:val="31"/>
  </w:num>
  <w:num w:numId="39" w16cid:durableId="1021004929">
    <w:abstractNumId w:val="33"/>
  </w:num>
  <w:num w:numId="40" w16cid:durableId="1808282275">
    <w:abstractNumId w:val="23"/>
  </w:num>
  <w:num w:numId="41" w16cid:durableId="2035299044">
    <w:abstractNumId w:val="5"/>
  </w:num>
  <w:num w:numId="42" w16cid:durableId="13343376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23A68"/>
    <w:rsid w:val="00032248"/>
    <w:rsid w:val="00035010"/>
    <w:rsid w:val="000361A2"/>
    <w:rsid w:val="000465DE"/>
    <w:rsid w:val="0004733E"/>
    <w:rsid w:val="00060509"/>
    <w:rsid w:val="000614A0"/>
    <w:rsid w:val="000643DF"/>
    <w:rsid w:val="00076A52"/>
    <w:rsid w:val="00083740"/>
    <w:rsid w:val="000A4B7F"/>
    <w:rsid w:val="000C1913"/>
    <w:rsid w:val="000D13F3"/>
    <w:rsid w:val="000E7197"/>
    <w:rsid w:val="000F10C2"/>
    <w:rsid w:val="001028B8"/>
    <w:rsid w:val="0014316D"/>
    <w:rsid w:val="00155B78"/>
    <w:rsid w:val="001654FC"/>
    <w:rsid w:val="00170B14"/>
    <w:rsid w:val="00176262"/>
    <w:rsid w:val="001818D7"/>
    <w:rsid w:val="00185104"/>
    <w:rsid w:val="0018555C"/>
    <w:rsid w:val="00187155"/>
    <w:rsid w:val="001949B2"/>
    <w:rsid w:val="001962BE"/>
    <w:rsid w:val="00196689"/>
    <w:rsid w:val="00196935"/>
    <w:rsid w:val="0019746F"/>
    <w:rsid w:val="001A605D"/>
    <w:rsid w:val="001A7210"/>
    <w:rsid w:val="001D0D34"/>
    <w:rsid w:val="001D70D4"/>
    <w:rsid w:val="001E4DFF"/>
    <w:rsid w:val="001E7D12"/>
    <w:rsid w:val="002022E8"/>
    <w:rsid w:val="0020675F"/>
    <w:rsid w:val="0021287B"/>
    <w:rsid w:val="00220736"/>
    <w:rsid w:val="0022711E"/>
    <w:rsid w:val="00230FE4"/>
    <w:rsid w:val="00232ACF"/>
    <w:rsid w:val="00233651"/>
    <w:rsid w:val="00234955"/>
    <w:rsid w:val="002350CA"/>
    <w:rsid w:val="00252D34"/>
    <w:rsid w:val="00254020"/>
    <w:rsid w:val="0025452A"/>
    <w:rsid w:val="00273DE8"/>
    <w:rsid w:val="00285997"/>
    <w:rsid w:val="00297E3D"/>
    <w:rsid w:val="002A00C8"/>
    <w:rsid w:val="002A39EE"/>
    <w:rsid w:val="002C6AAB"/>
    <w:rsid w:val="002D019A"/>
    <w:rsid w:val="002E48E7"/>
    <w:rsid w:val="002F0DBE"/>
    <w:rsid w:val="002F15E2"/>
    <w:rsid w:val="00313C15"/>
    <w:rsid w:val="003140D6"/>
    <w:rsid w:val="00327F40"/>
    <w:rsid w:val="00350F22"/>
    <w:rsid w:val="00367940"/>
    <w:rsid w:val="003840CC"/>
    <w:rsid w:val="0039009E"/>
    <w:rsid w:val="003A0BC7"/>
    <w:rsid w:val="003B39CD"/>
    <w:rsid w:val="003B3BEE"/>
    <w:rsid w:val="003D7BE7"/>
    <w:rsid w:val="003E0E0C"/>
    <w:rsid w:val="003F1687"/>
    <w:rsid w:val="00420673"/>
    <w:rsid w:val="00446DF9"/>
    <w:rsid w:val="00460C4B"/>
    <w:rsid w:val="00463632"/>
    <w:rsid w:val="00472C6C"/>
    <w:rsid w:val="00480C09"/>
    <w:rsid w:val="00486902"/>
    <w:rsid w:val="00496BCF"/>
    <w:rsid w:val="00497AED"/>
    <w:rsid w:val="004A5A3C"/>
    <w:rsid w:val="004B2C76"/>
    <w:rsid w:val="004B4BE7"/>
    <w:rsid w:val="004C675F"/>
    <w:rsid w:val="004D1D74"/>
    <w:rsid w:val="004D4399"/>
    <w:rsid w:val="004E0B99"/>
    <w:rsid w:val="004F6394"/>
    <w:rsid w:val="00505830"/>
    <w:rsid w:val="005103B8"/>
    <w:rsid w:val="005200B6"/>
    <w:rsid w:val="005207B4"/>
    <w:rsid w:val="005277F3"/>
    <w:rsid w:val="00533697"/>
    <w:rsid w:val="00541D2B"/>
    <w:rsid w:val="005423D4"/>
    <w:rsid w:val="005537B0"/>
    <w:rsid w:val="00554BEA"/>
    <w:rsid w:val="00567FE9"/>
    <w:rsid w:val="00572E8D"/>
    <w:rsid w:val="005776FD"/>
    <w:rsid w:val="00583376"/>
    <w:rsid w:val="005835EC"/>
    <w:rsid w:val="00592290"/>
    <w:rsid w:val="005948A0"/>
    <w:rsid w:val="005C17DF"/>
    <w:rsid w:val="005C2C0E"/>
    <w:rsid w:val="005C3607"/>
    <w:rsid w:val="005D009F"/>
    <w:rsid w:val="005D5146"/>
    <w:rsid w:val="005D60FE"/>
    <w:rsid w:val="005E3783"/>
    <w:rsid w:val="005E411E"/>
    <w:rsid w:val="005F57AD"/>
    <w:rsid w:val="005F6927"/>
    <w:rsid w:val="0060678E"/>
    <w:rsid w:val="00606D8C"/>
    <w:rsid w:val="006125C5"/>
    <w:rsid w:val="00617742"/>
    <w:rsid w:val="00622A79"/>
    <w:rsid w:val="006474BB"/>
    <w:rsid w:val="00651B80"/>
    <w:rsid w:val="006543B3"/>
    <w:rsid w:val="00656AAE"/>
    <w:rsid w:val="00660286"/>
    <w:rsid w:val="00663A8F"/>
    <w:rsid w:val="006664E9"/>
    <w:rsid w:val="006703FB"/>
    <w:rsid w:val="00684309"/>
    <w:rsid w:val="0069215D"/>
    <w:rsid w:val="006B3DAB"/>
    <w:rsid w:val="006C74DF"/>
    <w:rsid w:val="006D295F"/>
    <w:rsid w:val="006D601C"/>
    <w:rsid w:val="006F4A0D"/>
    <w:rsid w:val="006F4D70"/>
    <w:rsid w:val="00710CD3"/>
    <w:rsid w:val="007335BF"/>
    <w:rsid w:val="00741407"/>
    <w:rsid w:val="007439B7"/>
    <w:rsid w:val="00744250"/>
    <w:rsid w:val="007458D6"/>
    <w:rsid w:val="00746766"/>
    <w:rsid w:val="00767862"/>
    <w:rsid w:val="0077159F"/>
    <w:rsid w:val="007761D3"/>
    <w:rsid w:val="007764CE"/>
    <w:rsid w:val="00777575"/>
    <w:rsid w:val="00786249"/>
    <w:rsid w:val="0079203D"/>
    <w:rsid w:val="007A0BCC"/>
    <w:rsid w:val="007B07AE"/>
    <w:rsid w:val="007B116C"/>
    <w:rsid w:val="007B50D0"/>
    <w:rsid w:val="007D1C6D"/>
    <w:rsid w:val="007D4801"/>
    <w:rsid w:val="007F1F19"/>
    <w:rsid w:val="00850FEE"/>
    <w:rsid w:val="00857C10"/>
    <w:rsid w:val="00875924"/>
    <w:rsid w:val="00877EC7"/>
    <w:rsid w:val="00885F12"/>
    <w:rsid w:val="00896E94"/>
    <w:rsid w:val="008A2C35"/>
    <w:rsid w:val="008B0705"/>
    <w:rsid w:val="008C1C3F"/>
    <w:rsid w:val="008C6B3A"/>
    <w:rsid w:val="008C7EA5"/>
    <w:rsid w:val="008D41F2"/>
    <w:rsid w:val="008E02A8"/>
    <w:rsid w:val="008F37D1"/>
    <w:rsid w:val="008F3DBD"/>
    <w:rsid w:val="008F6FC5"/>
    <w:rsid w:val="00902C9B"/>
    <w:rsid w:val="0090547B"/>
    <w:rsid w:val="009135E0"/>
    <w:rsid w:val="00915CA4"/>
    <w:rsid w:val="00921D5D"/>
    <w:rsid w:val="009221D8"/>
    <w:rsid w:val="00934580"/>
    <w:rsid w:val="00941230"/>
    <w:rsid w:val="00943F2E"/>
    <w:rsid w:val="009441F5"/>
    <w:rsid w:val="009517F4"/>
    <w:rsid w:val="00961071"/>
    <w:rsid w:val="00963062"/>
    <w:rsid w:val="00967D5A"/>
    <w:rsid w:val="00972B50"/>
    <w:rsid w:val="00972E68"/>
    <w:rsid w:val="009735FA"/>
    <w:rsid w:val="00976A20"/>
    <w:rsid w:val="009776E0"/>
    <w:rsid w:val="00977ECA"/>
    <w:rsid w:val="00982180"/>
    <w:rsid w:val="009928B2"/>
    <w:rsid w:val="009955BC"/>
    <w:rsid w:val="009A704B"/>
    <w:rsid w:val="009B0098"/>
    <w:rsid w:val="009B716E"/>
    <w:rsid w:val="009C097B"/>
    <w:rsid w:val="009C61B2"/>
    <w:rsid w:val="009D5928"/>
    <w:rsid w:val="009E058B"/>
    <w:rsid w:val="009E0F65"/>
    <w:rsid w:val="009E6F29"/>
    <w:rsid w:val="009F6A75"/>
    <w:rsid w:val="00A13042"/>
    <w:rsid w:val="00A20261"/>
    <w:rsid w:val="00A20F73"/>
    <w:rsid w:val="00A22342"/>
    <w:rsid w:val="00A32A69"/>
    <w:rsid w:val="00A41969"/>
    <w:rsid w:val="00A430C3"/>
    <w:rsid w:val="00A439B3"/>
    <w:rsid w:val="00A47370"/>
    <w:rsid w:val="00A60413"/>
    <w:rsid w:val="00A635C2"/>
    <w:rsid w:val="00A70F0A"/>
    <w:rsid w:val="00A72FB1"/>
    <w:rsid w:val="00A80A77"/>
    <w:rsid w:val="00A83658"/>
    <w:rsid w:val="00A85489"/>
    <w:rsid w:val="00A872E0"/>
    <w:rsid w:val="00A87B1F"/>
    <w:rsid w:val="00A904A6"/>
    <w:rsid w:val="00A95333"/>
    <w:rsid w:val="00AA0F2D"/>
    <w:rsid w:val="00AA336E"/>
    <w:rsid w:val="00AA428E"/>
    <w:rsid w:val="00AB3046"/>
    <w:rsid w:val="00AB46DA"/>
    <w:rsid w:val="00AC1E74"/>
    <w:rsid w:val="00AD1AA6"/>
    <w:rsid w:val="00AE6FD3"/>
    <w:rsid w:val="00AF0A60"/>
    <w:rsid w:val="00AF1F2A"/>
    <w:rsid w:val="00AF30EF"/>
    <w:rsid w:val="00AF5490"/>
    <w:rsid w:val="00AF6857"/>
    <w:rsid w:val="00B1224A"/>
    <w:rsid w:val="00B14CB0"/>
    <w:rsid w:val="00B24151"/>
    <w:rsid w:val="00B30039"/>
    <w:rsid w:val="00B379DD"/>
    <w:rsid w:val="00B4633B"/>
    <w:rsid w:val="00B50C5F"/>
    <w:rsid w:val="00B60FA6"/>
    <w:rsid w:val="00B6465A"/>
    <w:rsid w:val="00B777AF"/>
    <w:rsid w:val="00B81789"/>
    <w:rsid w:val="00B92DF1"/>
    <w:rsid w:val="00B947F7"/>
    <w:rsid w:val="00B97BB8"/>
    <w:rsid w:val="00B97BE6"/>
    <w:rsid w:val="00BA4EEA"/>
    <w:rsid w:val="00BB0068"/>
    <w:rsid w:val="00BB01CA"/>
    <w:rsid w:val="00BB6CBE"/>
    <w:rsid w:val="00BF4150"/>
    <w:rsid w:val="00C06F7A"/>
    <w:rsid w:val="00C079B0"/>
    <w:rsid w:val="00C14250"/>
    <w:rsid w:val="00C2297C"/>
    <w:rsid w:val="00C25DDE"/>
    <w:rsid w:val="00C450D7"/>
    <w:rsid w:val="00C60B40"/>
    <w:rsid w:val="00C64BB4"/>
    <w:rsid w:val="00C674C4"/>
    <w:rsid w:val="00C724E3"/>
    <w:rsid w:val="00C72BB1"/>
    <w:rsid w:val="00C73CF5"/>
    <w:rsid w:val="00C75909"/>
    <w:rsid w:val="00C75BD4"/>
    <w:rsid w:val="00C85AF8"/>
    <w:rsid w:val="00C909BD"/>
    <w:rsid w:val="00C92BBA"/>
    <w:rsid w:val="00C96847"/>
    <w:rsid w:val="00CA0475"/>
    <w:rsid w:val="00CA53B9"/>
    <w:rsid w:val="00CA5C08"/>
    <w:rsid w:val="00CB3ED3"/>
    <w:rsid w:val="00CD10E8"/>
    <w:rsid w:val="00CE0E02"/>
    <w:rsid w:val="00CF2624"/>
    <w:rsid w:val="00CF3DA0"/>
    <w:rsid w:val="00D02F53"/>
    <w:rsid w:val="00D24323"/>
    <w:rsid w:val="00D36448"/>
    <w:rsid w:val="00D46ADA"/>
    <w:rsid w:val="00D547FC"/>
    <w:rsid w:val="00D574CA"/>
    <w:rsid w:val="00D5775C"/>
    <w:rsid w:val="00D650A7"/>
    <w:rsid w:val="00D71BC4"/>
    <w:rsid w:val="00D864BF"/>
    <w:rsid w:val="00DA215F"/>
    <w:rsid w:val="00DB1DE9"/>
    <w:rsid w:val="00DD025A"/>
    <w:rsid w:val="00DD728A"/>
    <w:rsid w:val="00DD7D7A"/>
    <w:rsid w:val="00DE18E2"/>
    <w:rsid w:val="00DE463F"/>
    <w:rsid w:val="00DF2C05"/>
    <w:rsid w:val="00E005AD"/>
    <w:rsid w:val="00E20BF0"/>
    <w:rsid w:val="00E233E5"/>
    <w:rsid w:val="00E33BBC"/>
    <w:rsid w:val="00E4167E"/>
    <w:rsid w:val="00E47168"/>
    <w:rsid w:val="00E55A39"/>
    <w:rsid w:val="00E7472D"/>
    <w:rsid w:val="00E92935"/>
    <w:rsid w:val="00E97C17"/>
    <w:rsid w:val="00EA3809"/>
    <w:rsid w:val="00EA3B77"/>
    <w:rsid w:val="00EB5593"/>
    <w:rsid w:val="00EB58D1"/>
    <w:rsid w:val="00EB79BB"/>
    <w:rsid w:val="00EC3D99"/>
    <w:rsid w:val="00ED0A0D"/>
    <w:rsid w:val="00ED29D4"/>
    <w:rsid w:val="00ED4A73"/>
    <w:rsid w:val="00ED650E"/>
    <w:rsid w:val="00EE6E48"/>
    <w:rsid w:val="00F03DC0"/>
    <w:rsid w:val="00F0691A"/>
    <w:rsid w:val="00F10A08"/>
    <w:rsid w:val="00F175C1"/>
    <w:rsid w:val="00F251CB"/>
    <w:rsid w:val="00F2705D"/>
    <w:rsid w:val="00F314C2"/>
    <w:rsid w:val="00F422E1"/>
    <w:rsid w:val="00F4309A"/>
    <w:rsid w:val="00F44CB5"/>
    <w:rsid w:val="00F547C9"/>
    <w:rsid w:val="00F67F6B"/>
    <w:rsid w:val="00F71F8E"/>
    <w:rsid w:val="00F74762"/>
    <w:rsid w:val="00F81CED"/>
    <w:rsid w:val="00F81F59"/>
    <w:rsid w:val="00F919A1"/>
    <w:rsid w:val="00F942F4"/>
    <w:rsid w:val="00F95133"/>
    <w:rsid w:val="00F97448"/>
    <w:rsid w:val="00FA0743"/>
    <w:rsid w:val="00FB0592"/>
    <w:rsid w:val="00FB139B"/>
    <w:rsid w:val="00FB4339"/>
    <w:rsid w:val="00FB5F04"/>
    <w:rsid w:val="00FC14F1"/>
    <w:rsid w:val="00FC7851"/>
    <w:rsid w:val="00FD212C"/>
    <w:rsid w:val="00FE290A"/>
    <w:rsid w:val="00FE4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C9B59"/>
  <w15:docId w15:val="{74253236-AF5D-471E-9543-62B8362A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5E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F4A0D"/>
    <w:pPr>
      <w:ind w:left="720"/>
      <w:contextualSpacing/>
    </w:pPr>
  </w:style>
  <w:style w:type="character" w:styleId="UnresolvedMention">
    <w:name w:val="Unresolved Mention"/>
    <w:basedOn w:val="DefaultParagraphFont"/>
    <w:uiPriority w:val="99"/>
    <w:semiHidden/>
    <w:unhideWhenUsed/>
    <w:rsid w:val="00533697"/>
    <w:rPr>
      <w:color w:val="605E5C"/>
      <w:shd w:val="clear" w:color="auto" w:fill="E1DFDD"/>
    </w:rPr>
  </w:style>
  <w:style w:type="paragraph" w:styleId="Revision">
    <w:name w:val="Revision"/>
    <w:hidden/>
    <w:uiPriority w:val="99"/>
    <w:semiHidden/>
    <w:rsid w:val="00DA215F"/>
    <w:rPr>
      <w:sz w:val="24"/>
      <w:szCs w:val="24"/>
    </w:rPr>
  </w:style>
  <w:style w:type="character" w:styleId="CommentReference">
    <w:name w:val="annotation reference"/>
    <w:basedOn w:val="DefaultParagraphFont"/>
    <w:unhideWhenUsed/>
    <w:rsid w:val="00D864BF"/>
    <w:rPr>
      <w:sz w:val="16"/>
      <w:szCs w:val="16"/>
    </w:rPr>
  </w:style>
  <w:style w:type="paragraph" w:styleId="CommentText">
    <w:name w:val="annotation text"/>
    <w:basedOn w:val="Normal"/>
    <w:link w:val="CommentTextChar"/>
    <w:unhideWhenUsed/>
    <w:rsid w:val="00D864BF"/>
    <w:rPr>
      <w:sz w:val="20"/>
      <w:szCs w:val="20"/>
    </w:rPr>
  </w:style>
  <w:style w:type="character" w:customStyle="1" w:styleId="CommentTextChar">
    <w:name w:val="Comment Text Char"/>
    <w:basedOn w:val="DefaultParagraphFont"/>
    <w:link w:val="CommentText"/>
    <w:rsid w:val="00D864BF"/>
  </w:style>
  <w:style w:type="paragraph" w:styleId="CommentSubject">
    <w:name w:val="annotation subject"/>
    <w:basedOn w:val="CommentText"/>
    <w:next w:val="CommentText"/>
    <w:link w:val="CommentSubjectChar"/>
    <w:semiHidden/>
    <w:unhideWhenUsed/>
    <w:rsid w:val="00D864BF"/>
    <w:rPr>
      <w:b/>
      <w:bCs/>
    </w:rPr>
  </w:style>
  <w:style w:type="character" w:customStyle="1" w:styleId="CommentSubjectChar">
    <w:name w:val="Comment Subject Char"/>
    <w:basedOn w:val="CommentTextChar"/>
    <w:link w:val="CommentSubject"/>
    <w:semiHidden/>
    <w:rsid w:val="00D86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95081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clinicaltrial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hhs.gov/sites/default/files/ppacacon.pdf?language=es" TargetMode="External"/><Relationship Id="rId2" Type="http://schemas.openxmlformats.org/officeDocument/2006/relationships/customXml" Target="../customXml/item2.xml"/><Relationship Id="rId16" Type="http://schemas.openxmlformats.org/officeDocument/2006/relationships/hyperlink" Target="https://www.cms.gov/medicare-coverage-database/search.aspx" TargetMode="External"/><Relationship Id="rId20" Type="http://schemas.openxmlformats.org/officeDocument/2006/relationships/hyperlink" Target="http://www.cm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directives.doe.gov/directives-documents/400-series/0443.1-BOrder-c/@@images/fi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37D1F-DB82-4B8D-A3B6-D29796521A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46B951-53BB-49EC-B0C7-EB9D69D97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BD1C1FD-D9F1-4DEF-AC92-4F3934511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1589</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Victoria T. Kostecki</cp:lastModifiedBy>
  <cp:revision>2</cp:revision>
  <cp:lastPrinted>2015-06-25T20:16:00Z</cp:lastPrinted>
  <dcterms:created xsi:type="dcterms:W3CDTF">2025-07-09T15:36:00Z</dcterms:created>
  <dcterms:modified xsi:type="dcterms:W3CDTF">2025-07-09T15:36:00Z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2022-05-09T12:17:02Z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54a9993c-6db8-4a28-8c06-fe2224f33aaa</vt:lpwstr>
  </property>
  <property fmtid="{D5CDD505-2E9C-101B-9397-08002B2CF9AE}" pid="8" name="MSIP_Label_5a776955-85f6-4fec-9553-96dd3e0373c4_ContentBits">
    <vt:lpwstr>0</vt:lpwstr>
  </property>
</Properties>
</file>