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A0000A" w14:textId="2244BA32" w:rsidR="00D574CA" w:rsidRPr="00B777AF" w:rsidRDefault="00230FE4" w:rsidP="00D574CA">
      <w:pPr>
        <w:pStyle w:val="PolicyMainHead"/>
        <w:tabs>
          <w:tab w:val="left" w:pos="360"/>
        </w:tabs>
        <w:spacing w:after="0" w:line="240" w:lineRule="auto"/>
        <w:rPr>
          <w:rFonts w:ascii="Times New Roman" w:hAnsi="Times New Roman"/>
          <w:color w:val="00548C"/>
          <w:sz w:val="36"/>
        </w:rPr>
      </w:pPr>
      <w:r>
        <w:rPr>
          <w:rFonts w:ascii="Times New Roman" w:hAnsi="Times New Roman"/>
          <w:color w:val="00548C"/>
          <w:sz w:val="36"/>
        </w:rPr>
        <w:t xml:space="preserve">Clinical Policy: </w:t>
      </w:r>
      <w:r w:rsidR="00C96847">
        <w:rPr>
          <w:rFonts w:ascii="Times New Roman" w:hAnsi="Times New Roman"/>
          <w:color w:val="00548C"/>
          <w:sz w:val="36"/>
        </w:rPr>
        <w:t>Neonatal Abstinence Syndrome Guidelines</w:t>
      </w:r>
    </w:p>
    <w:p w14:paraId="5F2E6708" w14:textId="77777777" w:rsidR="00B777AF" w:rsidRDefault="00B777AF" w:rsidP="00D574CA">
      <w:pPr>
        <w:pStyle w:val="PolicyMainHead"/>
        <w:tabs>
          <w:tab w:val="left" w:pos="360"/>
        </w:tabs>
        <w:spacing w:after="0" w:line="240" w:lineRule="auto"/>
        <w:rPr>
          <w:color w:val="00548C"/>
          <w:sz w:val="24"/>
        </w:rPr>
        <w:sectPr w:rsidR="00B777AF" w:rsidSect="00B777AF">
          <w:headerReference w:type="even" r:id="rId11"/>
          <w:headerReference w:type="default" r:id="rId12"/>
          <w:footerReference w:type="even" r:id="rId13"/>
          <w:footerReference w:type="default" r:id="rId14"/>
          <w:headerReference w:type="first" r:id="rId15"/>
          <w:footerReference w:type="first" r:id="rId16"/>
          <w:pgSz w:w="12240" w:h="15840" w:code="1"/>
          <w:pgMar w:top="1440" w:right="907" w:bottom="1152" w:left="1440" w:header="576" w:footer="288" w:gutter="0"/>
          <w:cols w:space="720"/>
          <w:titlePg/>
          <w:docGrid w:linePitch="360"/>
        </w:sectPr>
      </w:pPr>
    </w:p>
    <w:p w14:paraId="12339139" w14:textId="77777777" w:rsidR="00DB5FFA" w:rsidRPr="003D7BE7" w:rsidRDefault="00DB5FFA" w:rsidP="00DB5FFA">
      <w:pPr>
        <w:pStyle w:val="PolicyMainHead"/>
        <w:tabs>
          <w:tab w:val="left" w:pos="360"/>
        </w:tabs>
        <w:spacing w:after="0" w:line="240" w:lineRule="auto"/>
        <w:rPr>
          <w:rFonts w:ascii="Times New Roman" w:hAnsi="Times New Roman"/>
          <w:color w:val="00548C"/>
          <w:sz w:val="24"/>
          <w:szCs w:val="24"/>
        </w:rPr>
      </w:pPr>
      <w:r>
        <w:rPr>
          <w:rFonts w:ascii="Times New Roman" w:hAnsi="Times New Roman"/>
          <w:color w:val="00548C"/>
          <w:sz w:val="24"/>
          <w:szCs w:val="24"/>
        </w:rPr>
        <w:t xml:space="preserve">      </w:t>
      </w:r>
      <w:r w:rsidR="00D574CA" w:rsidRPr="003D7BE7">
        <w:rPr>
          <w:rFonts w:ascii="Times New Roman" w:hAnsi="Times New Roman"/>
          <w:color w:val="00548C"/>
          <w:sz w:val="24"/>
          <w:szCs w:val="24"/>
        </w:rPr>
        <w:t>Reference Number: CP.</w:t>
      </w:r>
      <w:r w:rsidR="00C96847">
        <w:rPr>
          <w:rFonts w:ascii="Times New Roman" w:hAnsi="Times New Roman"/>
          <w:color w:val="00548C"/>
          <w:sz w:val="24"/>
          <w:szCs w:val="24"/>
        </w:rPr>
        <w:t>MP.86</w:t>
      </w:r>
      <w:r w:rsidRPr="003D7BE7">
        <w:rPr>
          <w:rFonts w:ascii="Times New Roman" w:hAnsi="Times New Roman"/>
          <w:color w:val="00548C"/>
          <w:sz w:val="24"/>
          <w:szCs w:val="24"/>
        </w:rPr>
        <w:t xml:space="preserve"> </w:t>
      </w:r>
    </w:p>
    <w:p w14:paraId="5F570016" w14:textId="77777777" w:rsidR="00B777AF" w:rsidRPr="003D7BE7" w:rsidRDefault="00B777AF" w:rsidP="00480C09">
      <w:pPr>
        <w:pStyle w:val="PolicyMainHead"/>
        <w:spacing w:after="0" w:line="240" w:lineRule="auto"/>
        <w:ind w:left="360"/>
        <w:rPr>
          <w:rFonts w:ascii="Times New Roman" w:hAnsi="Times New Roman"/>
          <w:color w:val="00548C"/>
          <w:sz w:val="24"/>
          <w:szCs w:val="24"/>
        </w:rPr>
        <w:sectPr w:rsidR="00B777AF" w:rsidRPr="003D7BE7" w:rsidSect="00480C09">
          <w:type w:val="continuous"/>
          <w:pgSz w:w="12240" w:h="15840" w:code="1"/>
          <w:pgMar w:top="1440" w:right="1080" w:bottom="1440" w:left="1080" w:header="576" w:footer="288" w:gutter="0"/>
          <w:cols w:num="2" w:space="720"/>
          <w:titlePg/>
          <w:docGrid w:linePitch="360"/>
        </w:sectPr>
      </w:pPr>
      <w:r w:rsidRPr="003D7BE7">
        <w:rPr>
          <w:rFonts w:ascii="Times New Roman" w:hAnsi="Times New Roman"/>
          <w:color w:val="00548C"/>
          <w:sz w:val="24"/>
          <w:szCs w:val="24"/>
        </w:rPr>
        <w:tab/>
      </w:r>
      <w:r w:rsidR="00DB5FFA">
        <w:rPr>
          <w:rFonts w:ascii="Times New Roman" w:hAnsi="Times New Roman"/>
          <w:color w:val="00548C"/>
          <w:sz w:val="24"/>
          <w:szCs w:val="24"/>
        </w:rPr>
        <w:t xml:space="preserve">                         </w:t>
      </w:r>
      <w:hyperlink w:anchor="Revision_Log" w:history="1">
        <w:r w:rsidR="00DB5FFA" w:rsidRPr="003D7BE7">
          <w:rPr>
            <w:rStyle w:val="Hyperlink"/>
            <w:rFonts w:ascii="Times New Roman" w:hAnsi="Times New Roman"/>
            <w:sz w:val="24"/>
            <w:szCs w:val="24"/>
          </w:rPr>
          <w:t>Revision Log</w:t>
        </w:r>
      </w:hyperlink>
    </w:p>
    <w:p w14:paraId="27AB37AA" w14:textId="4FFAC03B" w:rsidR="00DB5FFA" w:rsidRDefault="00BB772B" w:rsidP="00DB5FFA">
      <w:pPr>
        <w:pStyle w:val="PolicyMainHead"/>
        <w:tabs>
          <w:tab w:val="left" w:pos="360"/>
        </w:tabs>
        <w:spacing w:after="0" w:line="240" w:lineRule="auto"/>
        <w:rPr>
          <w:rFonts w:ascii="Times New Roman" w:hAnsi="Times New Roman"/>
          <w:color w:val="00548C"/>
          <w:sz w:val="24"/>
          <w:szCs w:val="24"/>
        </w:rPr>
      </w:pPr>
      <w:r>
        <w:rPr>
          <w:rFonts w:ascii="Times New Roman" w:hAnsi="Times New Roman"/>
          <w:color w:val="00548C"/>
          <w:sz w:val="24"/>
          <w:szCs w:val="24"/>
        </w:rPr>
        <w:t>Date of Last Revision</w:t>
      </w:r>
      <w:r w:rsidR="00DB5FFA" w:rsidRPr="003D7BE7">
        <w:rPr>
          <w:rFonts w:ascii="Times New Roman" w:hAnsi="Times New Roman"/>
          <w:color w:val="00548C"/>
          <w:sz w:val="24"/>
          <w:szCs w:val="24"/>
        </w:rPr>
        <w:t xml:space="preserve">: </w:t>
      </w:r>
      <w:r w:rsidR="00FC3343">
        <w:rPr>
          <w:rFonts w:ascii="Times New Roman" w:hAnsi="Times New Roman"/>
          <w:color w:val="00548C"/>
          <w:sz w:val="24"/>
          <w:szCs w:val="24"/>
        </w:rPr>
        <w:t>0</w:t>
      </w:r>
      <w:r w:rsidR="000D20E9">
        <w:rPr>
          <w:rFonts w:ascii="Times New Roman" w:hAnsi="Times New Roman"/>
          <w:color w:val="00548C"/>
          <w:sz w:val="24"/>
          <w:szCs w:val="24"/>
        </w:rPr>
        <w:t>6</w:t>
      </w:r>
      <w:r w:rsidR="00FC3343">
        <w:rPr>
          <w:rFonts w:ascii="Times New Roman" w:hAnsi="Times New Roman"/>
          <w:color w:val="00548C"/>
          <w:sz w:val="24"/>
          <w:szCs w:val="24"/>
        </w:rPr>
        <w:t>/2</w:t>
      </w:r>
      <w:r w:rsidR="00FF01ED">
        <w:rPr>
          <w:rFonts w:ascii="Times New Roman" w:hAnsi="Times New Roman"/>
          <w:color w:val="00548C"/>
          <w:sz w:val="24"/>
          <w:szCs w:val="24"/>
        </w:rPr>
        <w:t>5</w:t>
      </w:r>
      <w:r w:rsidR="00DB5FFA">
        <w:rPr>
          <w:rFonts w:ascii="Times New Roman" w:hAnsi="Times New Roman"/>
          <w:color w:val="00548C"/>
          <w:sz w:val="24"/>
          <w:szCs w:val="24"/>
        </w:rPr>
        <w:tab/>
      </w:r>
      <w:r w:rsidR="00DB5FFA">
        <w:rPr>
          <w:rFonts w:ascii="Times New Roman" w:hAnsi="Times New Roman"/>
          <w:color w:val="00548C"/>
          <w:sz w:val="24"/>
          <w:szCs w:val="24"/>
        </w:rPr>
        <w:tab/>
      </w:r>
      <w:r w:rsidR="00DB5FFA">
        <w:rPr>
          <w:rFonts w:ascii="Times New Roman" w:hAnsi="Times New Roman"/>
          <w:color w:val="00548C"/>
          <w:sz w:val="24"/>
          <w:szCs w:val="24"/>
        </w:rPr>
        <w:tab/>
      </w:r>
      <w:r w:rsidR="00DB5FFA">
        <w:rPr>
          <w:rFonts w:ascii="Times New Roman" w:hAnsi="Times New Roman"/>
          <w:color w:val="00548C"/>
          <w:sz w:val="24"/>
          <w:szCs w:val="24"/>
        </w:rPr>
        <w:tab/>
      </w:r>
    </w:p>
    <w:p w14:paraId="6E834F45" w14:textId="77777777" w:rsidR="00480C09" w:rsidRPr="003D7BE7" w:rsidRDefault="00480C09" w:rsidP="00DB5FFA">
      <w:pPr>
        <w:pStyle w:val="PolicyMainHead"/>
        <w:tabs>
          <w:tab w:val="left" w:pos="360"/>
        </w:tabs>
        <w:spacing w:after="0" w:line="240" w:lineRule="auto"/>
        <w:jc w:val="center"/>
        <w:rPr>
          <w:rFonts w:ascii="Times New Roman" w:hAnsi="Times New Roman"/>
          <w:color w:val="00548C"/>
          <w:sz w:val="24"/>
          <w:szCs w:val="24"/>
        </w:rPr>
        <w:sectPr w:rsidR="00480C09" w:rsidRPr="003D7BE7" w:rsidSect="00480C09">
          <w:type w:val="continuous"/>
          <w:pgSz w:w="12240" w:h="15840" w:code="1"/>
          <w:pgMar w:top="1440" w:right="1170" w:bottom="1152" w:left="1440" w:header="576" w:footer="288" w:gutter="0"/>
          <w:cols w:num="2" w:space="720"/>
          <w:titlePg/>
          <w:docGrid w:linePitch="360"/>
        </w:sectPr>
      </w:pPr>
    </w:p>
    <w:p w14:paraId="3E84F417" w14:textId="77777777" w:rsidR="00875924" w:rsidRPr="00F8522F" w:rsidRDefault="00875924" w:rsidP="00DB5FFA">
      <w:pPr>
        <w:pStyle w:val="PolicyMainHead"/>
        <w:tabs>
          <w:tab w:val="left" w:pos="360"/>
        </w:tabs>
        <w:spacing w:after="0" w:line="240" w:lineRule="auto"/>
        <w:rPr>
          <w:rStyle w:val="Strong"/>
          <w:rFonts w:ascii="Times New Roman" w:hAnsi="Times New Roman"/>
          <w:b w:val="0"/>
          <w:bCs w:val="0"/>
          <w:sz w:val="24"/>
          <w:u w:val="single"/>
        </w:rPr>
        <w:sectPr w:rsidR="00875924" w:rsidRPr="00F8522F" w:rsidSect="00875924">
          <w:type w:val="continuous"/>
          <w:pgSz w:w="12240" w:h="15840" w:code="1"/>
          <w:pgMar w:top="1440" w:right="1170" w:bottom="1440" w:left="1440" w:header="576" w:footer="288" w:gutter="0"/>
          <w:cols w:num="2" w:space="720"/>
          <w:titlePg/>
          <w:docGrid w:linePitch="360"/>
        </w:sectPr>
      </w:pPr>
    </w:p>
    <w:p w14:paraId="0D94F119" w14:textId="77777777" w:rsidR="00D7315B" w:rsidRPr="005D7B81" w:rsidRDefault="00D7315B" w:rsidP="00D7315B">
      <w:pPr>
        <w:pStyle w:val="NormalWeb"/>
        <w:spacing w:before="0" w:beforeAutospacing="0" w:after="0" w:afterAutospacing="0"/>
        <w:rPr>
          <w:rStyle w:val="Strong"/>
          <w:rFonts w:ascii="Times New Roman" w:hAnsi="Times New Roman" w:cs="Times New Roman"/>
          <w:b w:val="0"/>
          <w:bCs w:val="0"/>
          <w:color w:val="00548C"/>
          <w:u w:val="single"/>
        </w:rPr>
      </w:pPr>
      <w:r w:rsidRPr="005D7B81">
        <w:rPr>
          <w:rFonts w:ascii="Times New Roman" w:hAnsi="Times New Roman" w:cs="Times New Roman"/>
          <w:b/>
          <w:color w:val="00548C"/>
        </w:rPr>
        <w:t xml:space="preserve">See </w:t>
      </w:r>
      <w:hyperlink w:anchor="Important_Reminder" w:history="1">
        <w:r w:rsidRPr="005D7B81">
          <w:rPr>
            <w:rStyle w:val="Hyperlink"/>
            <w:rFonts w:ascii="Times New Roman" w:eastAsia="Times New Roman" w:hAnsi="Times New Roman" w:cs="Times New Roman"/>
            <w:noProof/>
          </w:rPr>
          <w:t>Important Reminder</w:t>
        </w:r>
      </w:hyperlink>
      <w:r w:rsidRPr="005D7B81">
        <w:rPr>
          <w:rFonts w:ascii="Times New Roman" w:hAnsi="Times New Roman" w:cs="Times New Roman"/>
          <w:b/>
          <w:color w:val="00548C"/>
        </w:rPr>
        <w:t xml:space="preserve"> at the end of th</w:t>
      </w:r>
      <w:r>
        <w:rPr>
          <w:rFonts w:ascii="Times New Roman" w:hAnsi="Times New Roman" w:cs="Times New Roman"/>
          <w:b/>
          <w:color w:val="00548C"/>
        </w:rPr>
        <w:t>is</w:t>
      </w:r>
      <w:r w:rsidRPr="005D7B81">
        <w:rPr>
          <w:rFonts w:ascii="Times New Roman" w:hAnsi="Times New Roman" w:cs="Times New Roman"/>
          <w:b/>
          <w:color w:val="00548C"/>
        </w:rPr>
        <w:t xml:space="preserve"> policy for</w:t>
      </w:r>
      <w:r>
        <w:rPr>
          <w:rFonts w:ascii="Times New Roman" w:hAnsi="Times New Roman" w:cs="Times New Roman"/>
          <w:b/>
          <w:color w:val="00548C"/>
        </w:rPr>
        <w:t xml:space="preserve"> important</w:t>
      </w:r>
      <w:r w:rsidRPr="005D7B81">
        <w:rPr>
          <w:rFonts w:ascii="Times New Roman" w:hAnsi="Times New Roman" w:cs="Times New Roman"/>
          <w:b/>
          <w:color w:val="00548C"/>
        </w:rPr>
        <w:t xml:space="preserve"> regulatory and legal information</w:t>
      </w:r>
      <w:r>
        <w:rPr>
          <w:rFonts w:ascii="Times New Roman" w:hAnsi="Times New Roman" w:cs="Times New Roman"/>
          <w:b/>
          <w:color w:val="00548C"/>
        </w:rPr>
        <w:t>.</w:t>
      </w:r>
    </w:p>
    <w:p w14:paraId="25F1FE49" w14:textId="77777777" w:rsidR="00D7315B" w:rsidRDefault="00D7315B" w:rsidP="006E79BD">
      <w:pPr>
        <w:pStyle w:val="NormalWeb"/>
        <w:spacing w:before="0" w:beforeAutospacing="0" w:after="0" w:afterAutospacing="0"/>
        <w:rPr>
          <w:rStyle w:val="Strong"/>
          <w:rFonts w:ascii="Times New Roman" w:hAnsi="Times New Roman" w:cs="Times New Roman"/>
          <w:b w:val="0"/>
          <w:bCs w:val="0"/>
          <w:u w:val="single"/>
        </w:rPr>
      </w:pPr>
    </w:p>
    <w:p w14:paraId="4FB504D2" w14:textId="77777777" w:rsidR="00583376" w:rsidRPr="00585FD8" w:rsidRDefault="00583376" w:rsidP="00585FD8">
      <w:pPr>
        <w:pStyle w:val="Heading1"/>
        <w:rPr>
          <w:sz w:val="24"/>
        </w:rPr>
      </w:pPr>
      <w:r w:rsidRPr="00585FD8">
        <w:rPr>
          <w:sz w:val="24"/>
        </w:rPr>
        <w:t xml:space="preserve">Description </w:t>
      </w:r>
    </w:p>
    <w:p w14:paraId="622B79B8" w14:textId="0F02CD4B" w:rsidR="00795722" w:rsidRDefault="00C96847" w:rsidP="00FE68B6">
      <w:r>
        <w:t>Maternal use</w:t>
      </w:r>
      <w:r w:rsidR="00D25B68">
        <w:t xml:space="preserve"> o</w:t>
      </w:r>
      <w:r w:rsidR="003F7E32">
        <w:t>f</w:t>
      </w:r>
      <w:r w:rsidR="00D25B68">
        <w:t xml:space="preserve"> certain prescription medications and non-prescribed substance</w:t>
      </w:r>
      <w:r w:rsidR="00D45EF0">
        <w:t xml:space="preserve">s with </w:t>
      </w:r>
      <w:r>
        <w:t>intrauterine exposure of the fetus during pregnanc</w:t>
      </w:r>
      <w:r w:rsidR="00153494">
        <w:t>y can lead to</w:t>
      </w:r>
      <w:r w:rsidR="000D3547">
        <w:t xml:space="preserve"> withdrawal</w:t>
      </w:r>
      <w:r w:rsidR="00153494">
        <w:t xml:space="preserve"> </w:t>
      </w:r>
      <w:r w:rsidR="00D25B68">
        <w:t>symptoms</w:t>
      </w:r>
      <w:r w:rsidR="00153494">
        <w:t xml:space="preserve"> in</w:t>
      </w:r>
      <w:r>
        <w:t xml:space="preserve"> the infant after delivery. Clinically important neonatal</w:t>
      </w:r>
      <w:r w:rsidR="005634DD">
        <w:t xml:space="preserve"> withdrawal syndromes</w:t>
      </w:r>
      <w:r>
        <w:t xml:space="preserve"> most commonly result from intrauterine opioid exposure</w:t>
      </w:r>
      <w:r w:rsidR="00D25B68">
        <w:t xml:space="preserve"> (both prescribed and illicit use)</w:t>
      </w:r>
      <w:r w:rsidR="00456B68">
        <w:t>. H</w:t>
      </w:r>
      <w:r w:rsidR="00C46C29">
        <w:t>owever, m</w:t>
      </w:r>
      <w:r w:rsidR="002725DF" w:rsidRPr="002725DF">
        <w:t xml:space="preserve">aternal use of central nervous system depressants (e.g., benzodiazepines, </w:t>
      </w:r>
      <w:r w:rsidR="000455A1" w:rsidRPr="002725DF">
        <w:t>barbiturates,</w:t>
      </w:r>
      <w:r w:rsidR="002725DF" w:rsidRPr="002725DF">
        <w:t xml:space="preserve"> and alcoh</w:t>
      </w:r>
      <w:r w:rsidR="00BD0CB4">
        <w:t>ol)</w:t>
      </w:r>
      <w:r w:rsidR="005676A4">
        <w:t>, selective serotonin reuptake inhibitors (SSRIs)/serotonin norepinephrine reuptake inhibitors SNRIs)</w:t>
      </w:r>
      <w:r w:rsidR="00BD0CB4">
        <w:t xml:space="preserve"> and other </w:t>
      </w:r>
      <w:r w:rsidR="00D25B68">
        <w:t>substances</w:t>
      </w:r>
      <w:r w:rsidR="00BD0CB4">
        <w:t xml:space="preserve"> also result</w:t>
      </w:r>
      <w:r w:rsidR="002725DF" w:rsidRPr="002725DF">
        <w:t xml:space="preserve"> in signs of neonatal symptoms/withdrawal in exposed infants.</w:t>
      </w:r>
      <w:r w:rsidR="00485A71">
        <w:rPr>
          <w:vertAlign w:val="superscript"/>
        </w:rPr>
        <w:t>15,20</w:t>
      </w:r>
      <w:r w:rsidR="00D25B68">
        <w:t xml:space="preserve"> </w:t>
      </w:r>
    </w:p>
    <w:p w14:paraId="245120F7" w14:textId="77777777" w:rsidR="00795722" w:rsidRDefault="00795722" w:rsidP="00FE68B6"/>
    <w:p w14:paraId="6E86BF02" w14:textId="4738EA1F" w:rsidR="00C96847" w:rsidRDefault="00FE68B6" w:rsidP="00FE68B6">
      <w:r>
        <w:t>N</w:t>
      </w:r>
      <w:r w:rsidRPr="00FE68B6">
        <w:t>eonatal opioid withdrawal syndrome (NOWS) describes opioid-only withdrawal symptoms</w:t>
      </w:r>
      <w:r w:rsidR="00354ABC">
        <w:t>, while</w:t>
      </w:r>
      <w:r w:rsidR="008519ED">
        <w:t xml:space="preserve"> </w:t>
      </w:r>
      <w:r w:rsidR="00354ABC">
        <w:t>n</w:t>
      </w:r>
      <w:r w:rsidRPr="00FE68B6">
        <w:t xml:space="preserve">eonatal </w:t>
      </w:r>
      <w:r w:rsidR="005676A4">
        <w:t>a</w:t>
      </w:r>
      <w:r w:rsidRPr="00FE68B6">
        <w:t xml:space="preserve">bstinence </w:t>
      </w:r>
      <w:r w:rsidR="005676A4">
        <w:t>s</w:t>
      </w:r>
      <w:r w:rsidRPr="00FE68B6">
        <w:t xml:space="preserve">yndrome </w:t>
      </w:r>
      <w:r>
        <w:t xml:space="preserve">(NAS) </w:t>
      </w:r>
      <w:r w:rsidR="00981BEE">
        <w:t xml:space="preserve">refers to neonatal withdrawal from in utero exposure to </w:t>
      </w:r>
      <w:r w:rsidR="0010507F" w:rsidRPr="0010507F">
        <w:t>opioid and nonopioid</w:t>
      </w:r>
      <w:r w:rsidR="00354ABC">
        <w:t xml:space="preserve"> </w:t>
      </w:r>
      <w:r w:rsidR="00BA7EF2">
        <w:t>substances</w:t>
      </w:r>
      <w:r w:rsidR="008519ED">
        <w:t>. N</w:t>
      </w:r>
      <w:r w:rsidR="00D25B68">
        <w:t xml:space="preserve">eonatal </w:t>
      </w:r>
      <w:r w:rsidR="005676A4">
        <w:t>a</w:t>
      </w:r>
      <w:r w:rsidR="00D25B68">
        <w:t xml:space="preserve">daptation </w:t>
      </w:r>
      <w:r w:rsidR="005676A4">
        <w:t>s</w:t>
      </w:r>
      <w:r w:rsidR="00D25B68">
        <w:t>yndrome describes symptoms in neonates exposed to SSRI/SNRIs</w:t>
      </w:r>
      <w:r w:rsidR="005676A4">
        <w:t>.</w:t>
      </w:r>
      <w:r w:rsidR="00127979">
        <w:rPr>
          <w:vertAlign w:val="superscript"/>
        </w:rPr>
        <w:t>15</w:t>
      </w:r>
      <w:r w:rsidR="00764445">
        <w:rPr>
          <w:vertAlign w:val="superscript"/>
        </w:rPr>
        <w:t>,20</w:t>
      </w:r>
      <w:r>
        <w:t xml:space="preserve"> </w:t>
      </w:r>
      <w:r w:rsidR="00456B68" w:rsidRPr="00456B68">
        <w:t>The term NAS will be used here for exposure</w:t>
      </w:r>
      <w:r w:rsidR="00F035F1">
        <w:t>s related to opioids and/or other substances</w:t>
      </w:r>
      <w:r w:rsidR="00456B68" w:rsidRPr="00456B68">
        <w:t>.</w:t>
      </w:r>
      <w:r w:rsidR="00C96847">
        <w:t xml:space="preserve"> </w:t>
      </w:r>
    </w:p>
    <w:p w14:paraId="425A9DF2" w14:textId="77777777" w:rsidR="00C96847" w:rsidRDefault="00C96847" w:rsidP="009E441D"/>
    <w:p w14:paraId="6EB29A1B" w14:textId="74AED15C" w:rsidR="00DF18F8" w:rsidRDefault="00D25B68" w:rsidP="00DF18F8">
      <w:pPr>
        <w:rPr>
          <w:bCs/>
        </w:rPr>
      </w:pPr>
      <w:r>
        <w:t xml:space="preserve">Current best practices for </w:t>
      </w:r>
      <w:r w:rsidR="00FC3BBC">
        <w:t>birthing individuals</w:t>
      </w:r>
      <w:r>
        <w:t xml:space="preserve"> with opiate</w:t>
      </w:r>
      <w:r w:rsidR="00F30AC1">
        <w:t>-</w:t>
      </w:r>
      <w:r>
        <w:t xml:space="preserve">use disorders </w:t>
      </w:r>
      <w:r w:rsidR="005676A4">
        <w:t>includes</w:t>
      </w:r>
      <w:r>
        <w:t xml:space="preserve"> treatment with buprenorphine or methadone throughout pregnancy. </w:t>
      </w:r>
      <w:r w:rsidR="00FC3BBC">
        <w:t>Birthing individuals</w:t>
      </w:r>
      <w:r>
        <w:t xml:space="preserve"> who are prescribed methadone or buprenorphine should continue to take them and not stop them prior to delivery.</w:t>
      </w:r>
      <w:r w:rsidR="000477EA">
        <w:rPr>
          <w:vertAlign w:val="superscript"/>
        </w:rPr>
        <w:t>17</w:t>
      </w:r>
      <w:r w:rsidR="005676A4">
        <w:t xml:space="preserve"> </w:t>
      </w:r>
      <w:r w:rsidR="00456B68">
        <w:t xml:space="preserve">Signs of </w:t>
      </w:r>
      <w:r>
        <w:t xml:space="preserve">opioid </w:t>
      </w:r>
      <w:r w:rsidR="00456B68">
        <w:t xml:space="preserve">withdrawal will develop in 55 </w:t>
      </w:r>
      <w:r w:rsidR="003550D0">
        <w:t>to</w:t>
      </w:r>
      <w:r w:rsidR="00456B68">
        <w:t xml:space="preserve"> 94% of neonates exposed to opioids in utero.</w:t>
      </w:r>
      <w:r w:rsidR="002323F6">
        <w:rPr>
          <w:vertAlign w:val="superscript"/>
        </w:rPr>
        <w:t>4</w:t>
      </w:r>
      <w:r w:rsidR="00456B68">
        <w:t xml:space="preserve"> </w:t>
      </w:r>
      <w:r w:rsidR="00DE4AFF">
        <w:t>Fetal methadone exposure results in a 60</w:t>
      </w:r>
      <w:r w:rsidR="003550D0">
        <w:t xml:space="preserve"> to </w:t>
      </w:r>
      <w:r w:rsidR="00DE4AFF">
        <w:t>80%</w:t>
      </w:r>
      <w:r w:rsidR="00D55D98">
        <w:t xml:space="preserve"> risk of NAS</w:t>
      </w:r>
      <w:r w:rsidR="00027BCD">
        <w:t>.</w:t>
      </w:r>
      <w:r w:rsidR="005026CF">
        <w:rPr>
          <w:vertAlign w:val="superscript"/>
        </w:rPr>
        <w:t>23</w:t>
      </w:r>
      <w:r w:rsidR="00DE4AFF">
        <w:t xml:space="preserve"> </w:t>
      </w:r>
      <w:r w:rsidR="00C96847">
        <w:rPr>
          <w:bCs/>
        </w:rPr>
        <w:t>Typical signs of withdrawal from specific drugs occur based on the half-lives of elimination of the drug.</w:t>
      </w:r>
      <w:r w:rsidR="008679E3">
        <w:rPr>
          <w:bCs/>
          <w:vertAlign w:val="superscript"/>
        </w:rPr>
        <w:t>15</w:t>
      </w:r>
      <w:r w:rsidR="00C96847">
        <w:rPr>
          <w:bCs/>
        </w:rPr>
        <w:t xml:space="preserve"> Maternal use of multiple drugs during pregnancy will also have an impact on the onset and severity </w:t>
      </w:r>
      <w:r w:rsidR="00EB46DF">
        <w:rPr>
          <w:bCs/>
        </w:rPr>
        <w:t>of NAS. In general</w:t>
      </w:r>
      <w:r w:rsidR="00454E87">
        <w:rPr>
          <w:bCs/>
        </w:rPr>
        <w:t>, if one</w:t>
      </w:r>
      <w:r w:rsidR="00C96847">
        <w:rPr>
          <w:bCs/>
        </w:rPr>
        <w:t xml:space="preserve"> week has elapsed between the last maternal opioid use and delivery, the incidence of NAS is relatively low.</w:t>
      </w:r>
      <w:r w:rsidR="00123C18">
        <w:rPr>
          <w:bCs/>
          <w:vertAlign w:val="superscript"/>
        </w:rPr>
        <w:t>4</w:t>
      </w:r>
      <w:r w:rsidR="00C96847">
        <w:rPr>
          <w:bCs/>
        </w:rPr>
        <w:t xml:space="preserve"> </w:t>
      </w:r>
    </w:p>
    <w:p w14:paraId="7E54E4EA" w14:textId="77777777" w:rsidR="000E24FB" w:rsidRDefault="000E24FB" w:rsidP="00DF18F8">
      <w:pPr>
        <w:rPr>
          <w:bCs/>
        </w:rPr>
      </w:pPr>
    </w:p>
    <w:p w14:paraId="296A2E3F" w14:textId="0F0F0806" w:rsidR="00C96847" w:rsidRDefault="00C96847" w:rsidP="009E441D">
      <w:pPr>
        <w:rPr>
          <w:bCs/>
        </w:rPr>
      </w:pPr>
      <w:r>
        <w:rPr>
          <w:bCs/>
        </w:rPr>
        <w:t>Table</w:t>
      </w:r>
      <w:r w:rsidR="00454E87">
        <w:rPr>
          <w:bCs/>
        </w:rPr>
        <w:t xml:space="preserve"> 1</w:t>
      </w:r>
      <w:r>
        <w:rPr>
          <w:bCs/>
        </w:rPr>
        <w:t xml:space="preserve"> below lists common </w:t>
      </w:r>
      <w:r w:rsidR="005634DD">
        <w:rPr>
          <w:bCs/>
        </w:rPr>
        <w:t>prescription, recreational</w:t>
      </w:r>
      <w:r w:rsidR="005E3E9F">
        <w:rPr>
          <w:bCs/>
        </w:rPr>
        <w:t>,</w:t>
      </w:r>
      <w:r w:rsidR="005634DD">
        <w:rPr>
          <w:bCs/>
        </w:rPr>
        <w:t xml:space="preserve"> and illicit substances</w:t>
      </w:r>
      <w:r>
        <w:rPr>
          <w:bCs/>
        </w:rPr>
        <w:t xml:space="preserve"> along with the typical onset of NAS symptoms. </w:t>
      </w:r>
    </w:p>
    <w:p w14:paraId="697CFEDA" w14:textId="77777777" w:rsidR="00C96847" w:rsidRDefault="00C96847" w:rsidP="009E441D">
      <w:pPr>
        <w:rPr>
          <w:bCs/>
        </w:rPr>
      </w:pPr>
    </w:p>
    <w:p w14:paraId="7B49D479" w14:textId="6079512B" w:rsidR="00C96847" w:rsidRPr="00D6522B" w:rsidRDefault="00C96847" w:rsidP="009E441D">
      <w:pPr>
        <w:rPr>
          <w:b/>
          <w:bCs/>
          <w:vertAlign w:val="superscript"/>
        </w:rPr>
      </w:pPr>
      <w:r w:rsidRPr="00A567B5">
        <w:rPr>
          <w:b/>
          <w:bCs/>
        </w:rPr>
        <w:t>Table</w:t>
      </w:r>
      <w:r>
        <w:rPr>
          <w:b/>
          <w:bCs/>
        </w:rPr>
        <w:t xml:space="preserve"> 1. </w:t>
      </w:r>
      <w:r w:rsidR="005634DD">
        <w:rPr>
          <w:b/>
          <w:bCs/>
        </w:rPr>
        <w:t>Typical</w:t>
      </w:r>
      <w:r w:rsidRPr="00A567B5">
        <w:rPr>
          <w:b/>
          <w:bCs/>
        </w:rPr>
        <w:t xml:space="preserve"> NAS </w:t>
      </w:r>
      <w:r w:rsidRPr="00E521E8">
        <w:rPr>
          <w:b/>
          <w:bCs/>
        </w:rPr>
        <w:t>Symptom Onset</w:t>
      </w:r>
      <w:r w:rsidR="0025369D">
        <w:rPr>
          <w:b/>
          <w:bCs/>
          <w:vertAlign w:val="superscript"/>
        </w:rPr>
        <w:t>4</w:t>
      </w:r>
    </w:p>
    <w:tbl>
      <w:tblPr>
        <w:tblStyle w:val="TableGrid"/>
        <w:tblW w:w="0" w:type="auto"/>
        <w:tblInd w:w="198" w:type="dxa"/>
        <w:tblLook w:val="04A0" w:firstRow="1" w:lastRow="0" w:firstColumn="1" w:lastColumn="0" w:noHBand="0" w:noVBand="1"/>
      </w:tblPr>
      <w:tblGrid>
        <w:gridCol w:w="4207"/>
        <w:gridCol w:w="4163"/>
      </w:tblGrid>
      <w:tr w:rsidR="007B0553" w:rsidRPr="007B0553" w14:paraId="4937B453" w14:textId="77777777" w:rsidTr="006B3A17">
        <w:tc>
          <w:tcPr>
            <w:tcW w:w="4207" w:type="dxa"/>
            <w:shd w:val="clear" w:color="auto" w:fill="00548C"/>
          </w:tcPr>
          <w:p w14:paraId="5A6919A5" w14:textId="77777777" w:rsidR="00C96847" w:rsidRPr="007B0553" w:rsidRDefault="00C96847" w:rsidP="009E441D">
            <w:pPr>
              <w:rPr>
                <w:b/>
                <w:bCs/>
                <w:color w:val="FFFFFF" w:themeColor="background1"/>
              </w:rPr>
            </w:pPr>
            <w:r w:rsidRPr="007B0553">
              <w:rPr>
                <w:b/>
                <w:bCs/>
                <w:color w:val="FFFFFF" w:themeColor="background1"/>
              </w:rPr>
              <w:t>Drug</w:t>
            </w:r>
          </w:p>
        </w:tc>
        <w:tc>
          <w:tcPr>
            <w:tcW w:w="4163" w:type="dxa"/>
            <w:shd w:val="clear" w:color="auto" w:fill="00548C"/>
          </w:tcPr>
          <w:p w14:paraId="0D09BA2B" w14:textId="77777777" w:rsidR="00C96847" w:rsidRPr="007B0553" w:rsidRDefault="00C96847" w:rsidP="009E441D">
            <w:pPr>
              <w:rPr>
                <w:b/>
                <w:bCs/>
                <w:color w:val="FFFFFF" w:themeColor="background1"/>
              </w:rPr>
            </w:pPr>
            <w:r w:rsidRPr="007B0553">
              <w:rPr>
                <w:b/>
                <w:bCs/>
                <w:color w:val="FFFFFF" w:themeColor="background1"/>
              </w:rPr>
              <w:t>Typical onset</w:t>
            </w:r>
          </w:p>
        </w:tc>
      </w:tr>
      <w:tr w:rsidR="00BE21E9" w14:paraId="25EC908E" w14:textId="77777777" w:rsidTr="006B3A17">
        <w:tc>
          <w:tcPr>
            <w:tcW w:w="4207" w:type="dxa"/>
          </w:tcPr>
          <w:p w14:paraId="1522B15C" w14:textId="77777777" w:rsidR="00BE21E9" w:rsidRDefault="00BE21E9" w:rsidP="009E441D">
            <w:pPr>
              <w:rPr>
                <w:bCs/>
              </w:rPr>
            </w:pPr>
            <w:r>
              <w:rPr>
                <w:bCs/>
              </w:rPr>
              <w:t>Barbiturate</w:t>
            </w:r>
          </w:p>
        </w:tc>
        <w:tc>
          <w:tcPr>
            <w:tcW w:w="4163" w:type="dxa"/>
          </w:tcPr>
          <w:p w14:paraId="6EFAC88C" w14:textId="4A0185DA" w:rsidR="00BE21E9" w:rsidRDefault="00E37E8C" w:rsidP="009E441D">
            <w:pPr>
              <w:rPr>
                <w:bCs/>
              </w:rPr>
            </w:pPr>
            <w:r>
              <w:rPr>
                <w:bCs/>
              </w:rPr>
              <w:t>4 to 7 days with delay up to 14 days</w:t>
            </w:r>
          </w:p>
        </w:tc>
      </w:tr>
      <w:tr w:rsidR="00BE21E9" w14:paraId="6ABF88FA" w14:textId="77777777" w:rsidTr="006B3A17">
        <w:tc>
          <w:tcPr>
            <w:tcW w:w="4207" w:type="dxa"/>
          </w:tcPr>
          <w:p w14:paraId="7F726E6D" w14:textId="77777777" w:rsidR="00BE21E9" w:rsidRPr="006D427B" w:rsidRDefault="00BE21E9" w:rsidP="009E441D">
            <w:pPr>
              <w:rPr>
                <w:bCs/>
              </w:rPr>
            </w:pPr>
            <w:r w:rsidRPr="006D427B">
              <w:rPr>
                <w:bCs/>
              </w:rPr>
              <w:t>Buprenorphine</w:t>
            </w:r>
          </w:p>
        </w:tc>
        <w:tc>
          <w:tcPr>
            <w:tcW w:w="4163" w:type="dxa"/>
          </w:tcPr>
          <w:p w14:paraId="64033971" w14:textId="51D8212F" w:rsidR="00BE21E9" w:rsidRPr="00D6522B" w:rsidRDefault="00BE21E9" w:rsidP="009E441D">
            <w:pPr>
              <w:rPr>
                <w:bCs/>
                <w:vertAlign w:val="superscript"/>
              </w:rPr>
            </w:pPr>
            <w:r w:rsidRPr="006D427B">
              <w:rPr>
                <w:bCs/>
              </w:rPr>
              <w:t>Within 40 hours</w:t>
            </w:r>
          </w:p>
        </w:tc>
      </w:tr>
      <w:tr w:rsidR="00BE21E9" w14:paraId="614F2F10" w14:textId="77777777" w:rsidTr="006B3A17">
        <w:tc>
          <w:tcPr>
            <w:tcW w:w="4207" w:type="dxa"/>
          </w:tcPr>
          <w:p w14:paraId="50F6D25C" w14:textId="77777777" w:rsidR="00BE21E9" w:rsidRDefault="00BE21E9" w:rsidP="009E441D">
            <w:pPr>
              <w:rPr>
                <w:bCs/>
              </w:rPr>
            </w:pPr>
            <w:r>
              <w:rPr>
                <w:bCs/>
              </w:rPr>
              <w:t xml:space="preserve">Chlordiazepoxide </w:t>
            </w:r>
          </w:p>
        </w:tc>
        <w:tc>
          <w:tcPr>
            <w:tcW w:w="4163" w:type="dxa"/>
          </w:tcPr>
          <w:p w14:paraId="27F0F0B6" w14:textId="77777777" w:rsidR="00BE21E9" w:rsidRDefault="00BE21E9" w:rsidP="009E441D">
            <w:pPr>
              <w:rPr>
                <w:bCs/>
              </w:rPr>
            </w:pPr>
            <w:r>
              <w:rPr>
                <w:bCs/>
              </w:rPr>
              <w:t>21 days</w:t>
            </w:r>
          </w:p>
        </w:tc>
      </w:tr>
      <w:tr w:rsidR="00BE21E9" w14:paraId="6E42AA5E" w14:textId="77777777" w:rsidTr="006B3A17">
        <w:tc>
          <w:tcPr>
            <w:tcW w:w="4207" w:type="dxa"/>
          </w:tcPr>
          <w:p w14:paraId="35CD5473" w14:textId="77777777" w:rsidR="00BE21E9" w:rsidRPr="00320423" w:rsidRDefault="00BE21E9" w:rsidP="009E441D">
            <w:pPr>
              <w:rPr>
                <w:bCs/>
                <w:highlight w:val="yellow"/>
              </w:rPr>
            </w:pPr>
            <w:r w:rsidRPr="00320423">
              <w:rPr>
                <w:bCs/>
              </w:rPr>
              <w:t>Cocaine</w:t>
            </w:r>
          </w:p>
        </w:tc>
        <w:tc>
          <w:tcPr>
            <w:tcW w:w="4163" w:type="dxa"/>
          </w:tcPr>
          <w:p w14:paraId="212D9F3D" w14:textId="77777777" w:rsidR="00BE21E9" w:rsidRPr="00320423" w:rsidRDefault="00BE21E9" w:rsidP="009E441D">
            <w:pPr>
              <w:rPr>
                <w:bCs/>
                <w:highlight w:val="yellow"/>
              </w:rPr>
            </w:pPr>
            <w:r w:rsidRPr="00320423">
              <w:rPr>
                <w:bCs/>
              </w:rPr>
              <w:t>48 to 72 hours</w:t>
            </w:r>
          </w:p>
        </w:tc>
      </w:tr>
      <w:tr w:rsidR="00BE21E9" w14:paraId="533C635D" w14:textId="77777777" w:rsidTr="006B3A17">
        <w:tc>
          <w:tcPr>
            <w:tcW w:w="4207" w:type="dxa"/>
          </w:tcPr>
          <w:p w14:paraId="0E8ED5BB" w14:textId="77777777" w:rsidR="00BE21E9" w:rsidRDefault="00BE21E9" w:rsidP="009E441D">
            <w:pPr>
              <w:rPr>
                <w:bCs/>
              </w:rPr>
            </w:pPr>
            <w:r>
              <w:rPr>
                <w:bCs/>
              </w:rPr>
              <w:t>Diazepam</w:t>
            </w:r>
          </w:p>
        </w:tc>
        <w:tc>
          <w:tcPr>
            <w:tcW w:w="4163" w:type="dxa"/>
          </w:tcPr>
          <w:p w14:paraId="18AA2AE5" w14:textId="1FFB0AAA" w:rsidR="00BE21E9" w:rsidRDefault="00FA7F13" w:rsidP="009E441D">
            <w:pPr>
              <w:rPr>
                <w:bCs/>
              </w:rPr>
            </w:pPr>
            <w:r>
              <w:rPr>
                <w:bCs/>
              </w:rPr>
              <w:t>Hours to weeks</w:t>
            </w:r>
            <w:r w:rsidR="00C54B3F">
              <w:rPr>
                <w:bCs/>
              </w:rPr>
              <w:t xml:space="preserve">, </w:t>
            </w:r>
            <w:r w:rsidR="00D267EF">
              <w:rPr>
                <w:bCs/>
              </w:rPr>
              <w:t>up to</w:t>
            </w:r>
            <w:r w:rsidR="00C54B3F">
              <w:rPr>
                <w:bCs/>
              </w:rPr>
              <w:t xml:space="preserve"> </w:t>
            </w:r>
            <w:r w:rsidR="00D267EF">
              <w:rPr>
                <w:bCs/>
              </w:rPr>
              <w:t>12 days</w:t>
            </w:r>
          </w:p>
        </w:tc>
      </w:tr>
      <w:tr w:rsidR="00BE21E9" w14:paraId="3FAD329A" w14:textId="77777777" w:rsidTr="006B3A17">
        <w:tc>
          <w:tcPr>
            <w:tcW w:w="4207" w:type="dxa"/>
          </w:tcPr>
          <w:p w14:paraId="4EBCCE43" w14:textId="07E4AF31" w:rsidR="00BE21E9" w:rsidRDefault="00BE21E9" w:rsidP="009E441D">
            <w:pPr>
              <w:rPr>
                <w:bCs/>
              </w:rPr>
            </w:pPr>
            <w:r>
              <w:rPr>
                <w:bCs/>
              </w:rPr>
              <w:t>Ethanol</w:t>
            </w:r>
            <w:r w:rsidR="00553DDC">
              <w:rPr>
                <w:bCs/>
              </w:rPr>
              <w:t>/Alcohol</w:t>
            </w:r>
          </w:p>
        </w:tc>
        <w:tc>
          <w:tcPr>
            <w:tcW w:w="4163" w:type="dxa"/>
          </w:tcPr>
          <w:p w14:paraId="3C41B443" w14:textId="77777777" w:rsidR="00BE21E9" w:rsidRDefault="00BE21E9" w:rsidP="009E441D">
            <w:pPr>
              <w:rPr>
                <w:bCs/>
              </w:rPr>
            </w:pPr>
            <w:r>
              <w:rPr>
                <w:bCs/>
              </w:rPr>
              <w:t>3 to 12 hours</w:t>
            </w:r>
          </w:p>
        </w:tc>
      </w:tr>
      <w:tr w:rsidR="00BE21E9" w14:paraId="65035A2D" w14:textId="77777777" w:rsidTr="006B3A17">
        <w:tc>
          <w:tcPr>
            <w:tcW w:w="4207" w:type="dxa"/>
          </w:tcPr>
          <w:p w14:paraId="727B03A0" w14:textId="77777777" w:rsidR="00BE21E9" w:rsidRPr="00576032" w:rsidRDefault="00BE21E9" w:rsidP="009E441D">
            <w:pPr>
              <w:rPr>
                <w:bCs/>
              </w:rPr>
            </w:pPr>
            <w:r w:rsidRPr="00576032">
              <w:rPr>
                <w:bCs/>
              </w:rPr>
              <w:t>Heroin</w:t>
            </w:r>
          </w:p>
        </w:tc>
        <w:tc>
          <w:tcPr>
            <w:tcW w:w="4163" w:type="dxa"/>
          </w:tcPr>
          <w:p w14:paraId="74470E7A" w14:textId="2136C32B" w:rsidR="00BE21E9" w:rsidRPr="00576032" w:rsidRDefault="00BE21E9" w:rsidP="009E441D">
            <w:pPr>
              <w:rPr>
                <w:bCs/>
              </w:rPr>
            </w:pPr>
            <w:r w:rsidRPr="00576032">
              <w:rPr>
                <w:bCs/>
              </w:rPr>
              <w:t>Within 24 hours</w:t>
            </w:r>
            <w:r w:rsidR="00576032" w:rsidRPr="00576032">
              <w:rPr>
                <w:bCs/>
              </w:rPr>
              <w:t xml:space="preserve"> </w:t>
            </w:r>
            <w:r w:rsidR="00576032" w:rsidRPr="00320423">
              <w:rPr>
                <w:bCs/>
              </w:rPr>
              <w:t>with delay up to 5 to 7 days or later</w:t>
            </w:r>
          </w:p>
        </w:tc>
      </w:tr>
      <w:tr w:rsidR="00BE21E9" w14:paraId="50850259" w14:textId="77777777" w:rsidTr="006B3A17">
        <w:tc>
          <w:tcPr>
            <w:tcW w:w="4207" w:type="dxa"/>
          </w:tcPr>
          <w:p w14:paraId="4CA753ED" w14:textId="77777777" w:rsidR="00BE21E9" w:rsidRPr="00576032" w:rsidRDefault="00BE21E9" w:rsidP="009E441D">
            <w:pPr>
              <w:rPr>
                <w:bCs/>
              </w:rPr>
            </w:pPr>
            <w:r w:rsidRPr="00576032">
              <w:rPr>
                <w:bCs/>
              </w:rPr>
              <w:t>Methadone</w:t>
            </w:r>
          </w:p>
        </w:tc>
        <w:tc>
          <w:tcPr>
            <w:tcW w:w="4163" w:type="dxa"/>
          </w:tcPr>
          <w:p w14:paraId="4A4B944C" w14:textId="77777777" w:rsidR="00BE21E9" w:rsidRPr="00576032" w:rsidRDefault="00BE21E9" w:rsidP="009E441D">
            <w:pPr>
              <w:rPr>
                <w:bCs/>
              </w:rPr>
            </w:pPr>
            <w:r w:rsidRPr="00576032">
              <w:rPr>
                <w:bCs/>
              </w:rPr>
              <w:t>24 to 72 hours with delay up to 5 to 7 days or later</w:t>
            </w:r>
          </w:p>
        </w:tc>
      </w:tr>
      <w:tr w:rsidR="00BE21E9" w14:paraId="0F44DD48" w14:textId="77777777" w:rsidTr="006B3A17">
        <w:tc>
          <w:tcPr>
            <w:tcW w:w="4207" w:type="dxa"/>
          </w:tcPr>
          <w:p w14:paraId="19B7E8E6" w14:textId="77777777" w:rsidR="00BE21E9" w:rsidRPr="00320423" w:rsidRDefault="00BE21E9" w:rsidP="009E441D">
            <w:pPr>
              <w:rPr>
                <w:bCs/>
                <w:highlight w:val="yellow"/>
              </w:rPr>
            </w:pPr>
            <w:r w:rsidRPr="00320423">
              <w:rPr>
                <w:bCs/>
              </w:rPr>
              <w:lastRenderedPageBreak/>
              <w:t>Morphine &amp; Hydrocodone</w:t>
            </w:r>
          </w:p>
        </w:tc>
        <w:tc>
          <w:tcPr>
            <w:tcW w:w="4163" w:type="dxa"/>
          </w:tcPr>
          <w:p w14:paraId="3F6E8DDB" w14:textId="77777777" w:rsidR="00BE21E9" w:rsidRPr="008F0EA4" w:rsidRDefault="00BE21E9" w:rsidP="009E441D">
            <w:pPr>
              <w:rPr>
                <w:bCs/>
                <w:highlight w:val="yellow"/>
              </w:rPr>
            </w:pPr>
            <w:r w:rsidRPr="008F0EA4">
              <w:rPr>
                <w:bCs/>
              </w:rPr>
              <w:t>Within 3 days</w:t>
            </w:r>
          </w:p>
        </w:tc>
      </w:tr>
      <w:tr w:rsidR="00BE21E9" w14:paraId="43B59E54" w14:textId="77777777" w:rsidTr="006B3A17">
        <w:tc>
          <w:tcPr>
            <w:tcW w:w="4207" w:type="dxa"/>
          </w:tcPr>
          <w:p w14:paraId="5FE9DB03" w14:textId="77777777" w:rsidR="00BE21E9" w:rsidRDefault="00BE21E9" w:rsidP="009E441D">
            <w:pPr>
              <w:rPr>
                <w:bCs/>
              </w:rPr>
            </w:pPr>
            <w:r>
              <w:rPr>
                <w:bCs/>
              </w:rPr>
              <w:t>SSRIs/SNRIs</w:t>
            </w:r>
          </w:p>
        </w:tc>
        <w:tc>
          <w:tcPr>
            <w:tcW w:w="4163" w:type="dxa"/>
          </w:tcPr>
          <w:p w14:paraId="2983E359" w14:textId="3DB8EC64" w:rsidR="00BE21E9" w:rsidRDefault="00BE21E9" w:rsidP="009E441D">
            <w:pPr>
              <w:rPr>
                <w:bCs/>
              </w:rPr>
            </w:pPr>
            <w:r>
              <w:rPr>
                <w:bCs/>
              </w:rPr>
              <w:t xml:space="preserve">Hours to </w:t>
            </w:r>
            <w:r w:rsidR="00F05A3A">
              <w:rPr>
                <w:bCs/>
              </w:rPr>
              <w:t>days</w:t>
            </w:r>
          </w:p>
        </w:tc>
      </w:tr>
    </w:tbl>
    <w:p w14:paraId="2D2BB508" w14:textId="32840175" w:rsidR="003079AA" w:rsidRPr="00C83D8E" w:rsidRDefault="003079AA" w:rsidP="009E441D"/>
    <w:p w14:paraId="689627AF" w14:textId="77777777" w:rsidR="00583376" w:rsidRPr="00B777AF" w:rsidRDefault="00583376" w:rsidP="009E441D">
      <w:pPr>
        <w:pStyle w:val="Heading2"/>
        <w:rPr>
          <w:u w:val="none"/>
        </w:rPr>
      </w:pPr>
      <w:r w:rsidRPr="00B777AF">
        <w:rPr>
          <w:u w:val="none"/>
        </w:rPr>
        <w:t>Policy/Criteria</w:t>
      </w:r>
    </w:p>
    <w:p w14:paraId="637D5A49" w14:textId="43EE5910" w:rsidR="00C96847" w:rsidRPr="004E38F3" w:rsidRDefault="00F74762" w:rsidP="009E441D">
      <w:pPr>
        <w:numPr>
          <w:ilvl w:val="0"/>
          <w:numId w:val="11"/>
        </w:numPr>
        <w:ind w:left="360"/>
      </w:pPr>
      <w:r>
        <w:rPr>
          <w:bCs/>
          <w:color w:val="000000"/>
        </w:rPr>
        <w:t>It is the policy of</w:t>
      </w:r>
      <w:r w:rsidR="00E97C17">
        <w:rPr>
          <w:bCs/>
          <w:color w:val="000000"/>
        </w:rPr>
        <w:t xml:space="preserve"> </w:t>
      </w:r>
      <w:r w:rsidR="00A83658">
        <w:rPr>
          <w:bCs/>
          <w:color w:val="000000"/>
        </w:rPr>
        <w:t>h</w:t>
      </w:r>
      <w:r w:rsidR="00E97C17">
        <w:rPr>
          <w:bCs/>
          <w:color w:val="000000"/>
        </w:rPr>
        <w:t xml:space="preserve">ealth </w:t>
      </w:r>
      <w:r w:rsidR="00A83658">
        <w:rPr>
          <w:bCs/>
          <w:color w:val="000000"/>
        </w:rPr>
        <w:t>p</w:t>
      </w:r>
      <w:r w:rsidR="00E97C17">
        <w:rPr>
          <w:bCs/>
          <w:color w:val="000000"/>
        </w:rPr>
        <w:t>lans affiliated with</w:t>
      </w:r>
      <w:r>
        <w:rPr>
          <w:bCs/>
          <w:color w:val="000000"/>
        </w:rPr>
        <w:t xml:space="preserve"> Centene Corporation</w:t>
      </w:r>
      <w:r w:rsidR="00C75BD4" w:rsidRPr="00C75BD4">
        <w:rPr>
          <w:bCs/>
          <w:color w:val="000000"/>
          <w:vertAlign w:val="superscript"/>
        </w:rPr>
        <w:t>®</w:t>
      </w:r>
      <w:r>
        <w:rPr>
          <w:bCs/>
          <w:color w:val="000000"/>
        </w:rPr>
        <w:t xml:space="preserve"> </w:t>
      </w:r>
      <w:r w:rsidR="00C96847">
        <w:t>that the management of neonatal abstinence syndrome</w:t>
      </w:r>
      <w:r w:rsidR="0073564E">
        <w:t xml:space="preserve"> (NAS)</w:t>
      </w:r>
      <w:r w:rsidR="00C96847">
        <w:t xml:space="preserve"> is </w:t>
      </w:r>
      <w:r w:rsidR="00C96847" w:rsidRPr="005D6347">
        <w:rPr>
          <w:b/>
        </w:rPr>
        <w:t>medically necessary</w:t>
      </w:r>
      <w:r w:rsidR="00C96847">
        <w:t xml:space="preserve"> at the indicated level of care for the following circumstances:</w:t>
      </w:r>
    </w:p>
    <w:p w14:paraId="4310C1FF" w14:textId="06F57ECD" w:rsidR="009E2450" w:rsidRDefault="00C96847" w:rsidP="000A28FE">
      <w:pPr>
        <w:numPr>
          <w:ilvl w:val="0"/>
          <w:numId w:val="9"/>
        </w:numPr>
        <w:rPr>
          <w:bCs/>
        </w:rPr>
      </w:pPr>
      <w:r w:rsidRPr="00E521E8">
        <w:rPr>
          <w:bCs/>
        </w:rPr>
        <w:t>Asymptomatic</w:t>
      </w:r>
      <w:r w:rsidRPr="00454E87">
        <w:rPr>
          <w:bCs/>
        </w:rPr>
        <w:t xml:space="preserve"> infants</w:t>
      </w:r>
      <w:r w:rsidR="000A28FE">
        <w:rPr>
          <w:bCs/>
        </w:rPr>
        <w:t xml:space="preserve"> at</w:t>
      </w:r>
      <w:r w:rsidRPr="000A28FE">
        <w:rPr>
          <w:bCs/>
        </w:rPr>
        <w:t xml:space="preserve"> risk for NAS due to maternal </w:t>
      </w:r>
      <w:r w:rsidR="00007F8D">
        <w:rPr>
          <w:bCs/>
        </w:rPr>
        <w:t xml:space="preserve">prescription or </w:t>
      </w:r>
      <w:r w:rsidR="004F53C2">
        <w:rPr>
          <w:bCs/>
        </w:rPr>
        <w:t>substance</w:t>
      </w:r>
      <w:r w:rsidRPr="000A28FE">
        <w:rPr>
          <w:bCs/>
        </w:rPr>
        <w:t xml:space="preserve"> hi</w:t>
      </w:r>
      <w:r w:rsidR="002F1239" w:rsidRPr="000A28FE">
        <w:rPr>
          <w:bCs/>
        </w:rPr>
        <w:t>story are appropriate in</w:t>
      </w:r>
      <w:r w:rsidR="009E2450">
        <w:rPr>
          <w:bCs/>
        </w:rPr>
        <w:t xml:space="preserve"> one of the following:</w:t>
      </w:r>
    </w:p>
    <w:p w14:paraId="4BA6AF6D" w14:textId="0C49B5D7" w:rsidR="00C96847" w:rsidRDefault="009E2450" w:rsidP="009E2450">
      <w:pPr>
        <w:numPr>
          <w:ilvl w:val="1"/>
          <w:numId w:val="9"/>
        </w:numPr>
        <w:ind w:left="1080"/>
        <w:rPr>
          <w:bCs/>
        </w:rPr>
      </w:pPr>
      <w:r>
        <w:rPr>
          <w:bCs/>
        </w:rPr>
        <w:t>T</w:t>
      </w:r>
      <w:r w:rsidR="002F1239" w:rsidRPr="000A28FE">
        <w:rPr>
          <w:bCs/>
        </w:rPr>
        <w:t xml:space="preserve">ransitional level or level </w:t>
      </w:r>
      <w:r w:rsidR="007C36F8">
        <w:rPr>
          <w:bCs/>
        </w:rPr>
        <w:t>I</w:t>
      </w:r>
      <w:r w:rsidR="009E441D" w:rsidRPr="000A28FE">
        <w:rPr>
          <w:bCs/>
        </w:rPr>
        <w:t xml:space="preserve"> nursery for </w:t>
      </w:r>
      <w:r w:rsidR="00295A49">
        <w:rPr>
          <w:bCs/>
        </w:rPr>
        <w:t>four</w:t>
      </w:r>
      <w:r w:rsidR="00C96847" w:rsidRPr="000A28FE">
        <w:rPr>
          <w:bCs/>
        </w:rPr>
        <w:t xml:space="preserve"> to </w:t>
      </w:r>
      <w:r w:rsidR="00295A49">
        <w:rPr>
          <w:bCs/>
        </w:rPr>
        <w:t>seven</w:t>
      </w:r>
      <w:r w:rsidR="00C96847" w:rsidRPr="000A28FE">
        <w:rPr>
          <w:bCs/>
        </w:rPr>
        <w:t xml:space="preserve"> days for observation</w:t>
      </w:r>
      <w:r>
        <w:rPr>
          <w:bCs/>
        </w:rPr>
        <w:t xml:space="preserve"> using the modified Finnegan Neonatal Abstinence Scoring Tool</w:t>
      </w:r>
      <w:r w:rsidR="00B071D8">
        <w:rPr>
          <w:bCs/>
        </w:rPr>
        <w:t xml:space="preserve"> (FNAST)</w:t>
      </w:r>
      <w:r w:rsidR="00C96847" w:rsidRPr="000A28FE">
        <w:rPr>
          <w:bCs/>
        </w:rPr>
        <w:t>,</w:t>
      </w:r>
      <w:r w:rsidR="00AD55E8">
        <w:rPr>
          <w:bCs/>
        </w:rPr>
        <w:t xml:space="preserve"> with duration of observation for symptoms</w:t>
      </w:r>
      <w:r w:rsidR="00C96847" w:rsidRPr="000A28FE">
        <w:rPr>
          <w:bCs/>
        </w:rPr>
        <w:t xml:space="preserve"> depend</w:t>
      </w:r>
      <w:r w:rsidR="00AD55E8">
        <w:rPr>
          <w:bCs/>
        </w:rPr>
        <w:t>ent</w:t>
      </w:r>
      <w:r w:rsidR="00C96847" w:rsidRPr="000A28FE">
        <w:rPr>
          <w:bCs/>
        </w:rPr>
        <w:t xml:space="preserve"> on the </w:t>
      </w:r>
      <w:r w:rsidR="00D34403">
        <w:rPr>
          <w:bCs/>
        </w:rPr>
        <w:t>substances/medications</w:t>
      </w:r>
      <w:r w:rsidR="00C96847" w:rsidRPr="000A28FE">
        <w:rPr>
          <w:bCs/>
        </w:rPr>
        <w:t xml:space="preserve"> used during </w:t>
      </w:r>
      <w:r>
        <w:rPr>
          <w:bCs/>
        </w:rPr>
        <w:t>pregnancy (see Table 1 above);</w:t>
      </w:r>
    </w:p>
    <w:p w14:paraId="76589803" w14:textId="65C6EEF3" w:rsidR="00C42A77" w:rsidRDefault="009E2450" w:rsidP="006B3A17">
      <w:pPr>
        <w:numPr>
          <w:ilvl w:val="1"/>
          <w:numId w:val="9"/>
        </w:numPr>
        <w:ind w:left="1080"/>
        <w:rPr>
          <w:bCs/>
        </w:rPr>
      </w:pPr>
      <w:r>
        <w:rPr>
          <w:bCs/>
        </w:rPr>
        <w:t>Level</w:t>
      </w:r>
      <w:r w:rsidR="007C36F8">
        <w:rPr>
          <w:bCs/>
        </w:rPr>
        <w:t xml:space="preserve"> II</w:t>
      </w:r>
      <w:r w:rsidR="008D68A8">
        <w:rPr>
          <w:bCs/>
        </w:rPr>
        <w:t xml:space="preserve"> nursery for </w:t>
      </w:r>
      <w:r w:rsidR="00295A49">
        <w:rPr>
          <w:bCs/>
        </w:rPr>
        <w:t xml:space="preserve">four to seven </w:t>
      </w:r>
      <w:r w:rsidR="008D68A8">
        <w:rPr>
          <w:bCs/>
        </w:rPr>
        <w:t xml:space="preserve">days </w:t>
      </w:r>
      <w:r>
        <w:rPr>
          <w:bCs/>
        </w:rPr>
        <w:t xml:space="preserve">when assessed and treated using the Eat, Sleep, Console </w:t>
      </w:r>
      <w:r w:rsidR="00E312F0">
        <w:rPr>
          <w:bCs/>
        </w:rPr>
        <w:t xml:space="preserve">(ESC) </w:t>
      </w:r>
      <w:r>
        <w:rPr>
          <w:bCs/>
        </w:rPr>
        <w:t>approach</w:t>
      </w:r>
      <w:r w:rsidRPr="000A28FE">
        <w:rPr>
          <w:bCs/>
        </w:rPr>
        <w:t xml:space="preserve">, depending on the </w:t>
      </w:r>
      <w:r w:rsidR="00D34403">
        <w:rPr>
          <w:bCs/>
        </w:rPr>
        <w:t>substances/medications</w:t>
      </w:r>
      <w:r w:rsidRPr="000A28FE">
        <w:rPr>
          <w:bCs/>
        </w:rPr>
        <w:t xml:space="preserve"> used during </w:t>
      </w:r>
      <w:r>
        <w:rPr>
          <w:bCs/>
        </w:rPr>
        <w:t>pregnancy (see Table 1 above);</w:t>
      </w:r>
      <w:r w:rsidR="00C42A77">
        <w:rPr>
          <w:bCs/>
        </w:rPr>
        <w:t xml:space="preserve"> </w:t>
      </w:r>
    </w:p>
    <w:p w14:paraId="026DD7AC" w14:textId="5582169D" w:rsidR="009E2450" w:rsidRPr="000A28FE" w:rsidRDefault="009E2450" w:rsidP="009E2450">
      <w:pPr>
        <w:rPr>
          <w:bCs/>
        </w:rPr>
      </w:pPr>
    </w:p>
    <w:p w14:paraId="51A9DE81" w14:textId="0DAA05A1" w:rsidR="00C96847" w:rsidRPr="0048765B" w:rsidRDefault="005C6737" w:rsidP="00615364">
      <w:pPr>
        <w:numPr>
          <w:ilvl w:val="0"/>
          <w:numId w:val="9"/>
        </w:numPr>
        <w:rPr>
          <w:bCs/>
        </w:rPr>
      </w:pPr>
      <w:r>
        <w:t xml:space="preserve">Level of care for </w:t>
      </w:r>
      <w:r w:rsidRPr="00E521E8">
        <w:t>s</w:t>
      </w:r>
      <w:r w:rsidR="00C96847" w:rsidRPr="00E521E8">
        <w:t>ymptomatic</w:t>
      </w:r>
      <w:r w:rsidR="00C96847" w:rsidRPr="00454E87">
        <w:t xml:space="preserve"> infants</w:t>
      </w:r>
      <w:r w:rsidR="00C96847">
        <w:rPr>
          <w:bCs/>
        </w:rPr>
        <w:t xml:space="preserve"> should be managed using the appropriate </w:t>
      </w:r>
      <w:r w:rsidR="00C96847">
        <w:rPr>
          <w:color w:val="000000"/>
        </w:rPr>
        <w:t xml:space="preserve">nationally recognized </w:t>
      </w:r>
      <w:r w:rsidR="00153494">
        <w:rPr>
          <w:color w:val="000000"/>
        </w:rPr>
        <w:t xml:space="preserve">clinical </w:t>
      </w:r>
      <w:r w:rsidR="00C96847">
        <w:rPr>
          <w:color w:val="000000"/>
        </w:rPr>
        <w:t>decision support tools</w:t>
      </w:r>
      <w:r w:rsidR="00B949C0">
        <w:rPr>
          <w:color w:val="000000"/>
        </w:rPr>
        <w:t xml:space="preserve"> </w:t>
      </w:r>
      <w:r w:rsidR="00B949C0" w:rsidRPr="00B949C0">
        <w:rPr>
          <w:color w:val="000000"/>
        </w:rPr>
        <w:t xml:space="preserve">if assessed and treated per modified </w:t>
      </w:r>
      <w:r w:rsidR="00B949C0" w:rsidRPr="00E521E8">
        <w:rPr>
          <w:color w:val="000000"/>
        </w:rPr>
        <w:t>Finnegan</w:t>
      </w:r>
      <w:r w:rsidR="00B949C0" w:rsidRPr="00B949C0">
        <w:rPr>
          <w:color w:val="000000"/>
        </w:rPr>
        <w:t xml:space="preserve"> scoring or are appropriate in Level </w:t>
      </w:r>
      <w:r w:rsidR="000852C5">
        <w:rPr>
          <w:color w:val="000000"/>
        </w:rPr>
        <w:t>II</w:t>
      </w:r>
      <w:r w:rsidR="00B949C0" w:rsidRPr="00B949C0">
        <w:rPr>
          <w:color w:val="000000"/>
        </w:rPr>
        <w:t xml:space="preserve"> nursery if assessed and treated by </w:t>
      </w:r>
      <w:r w:rsidR="00E312F0">
        <w:rPr>
          <w:color w:val="000000"/>
        </w:rPr>
        <w:t>ESC.</w:t>
      </w:r>
    </w:p>
    <w:p w14:paraId="3B87DC81" w14:textId="77777777" w:rsidR="000A28FE" w:rsidRDefault="000A28FE" w:rsidP="000A28FE">
      <w:pPr>
        <w:ind w:left="1080"/>
        <w:rPr>
          <w:bCs/>
          <w:i/>
        </w:rPr>
      </w:pPr>
    </w:p>
    <w:p w14:paraId="4950E63C" w14:textId="50784FEA" w:rsidR="000A28FE" w:rsidRDefault="000A28FE" w:rsidP="000A28FE">
      <w:pPr>
        <w:ind w:left="720"/>
      </w:pPr>
      <w:r w:rsidRPr="000A28FE">
        <w:rPr>
          <w:bCs/>
          <w:i/>
        </w:rPr>
        <w:t>Note:</w:t>
      </w:r>
      <w:r>
        <w:rPr>
          <w:bCs/>
        </w:rPr>
        <w:t xml:space="preserve"> </w:t>
      </w:r>
      <w:r w:rsidR="00D34403">
        <w:rPr>
          <w:bCs/>
        </w:rPr>
        <w:t>For opioid</w:t>
      </w:r>
      <w:r w:rsidR="00007F8D">
        <w:rPr>
          <w:bCs/>
        </w:rPr>
        <w:t>-</w:t>
      </w:r>
      <w:r w:rsidR="00D34403">
        <w:rPr>
          <w:bCs/>
        </w:rPr>
        <w:t>exposed infants, t</w:t>
      </w:r>
      <w:r w:rsidR="00D55D98">
        <w:rPr>
          <w:bCs/>
        </w:rPr>
        <w:t xml:space="preserve">he </w:t>
      </w:r>
      <w:r w:rsidR="00D55D98" w:rsidRPr="00E521E8">
        <w:rPr>
          <w:bCs/>
        </w:rPr>
        <w:t>dosing interval for morphine</w:t>
      </w:r>
      <w:r w:rsidR="00D55D98">
        <w:rPr>
          <w:bCs/>
        </w:rPr>
        <w:t xml:space="preserve"> should be no longer than every four hours to avoid subtherapeutic levels prior to the next dose. </w:t>
      </w:r>
      <w:r w:rsidR="00D55D98">
        <w:rPr>
          <w:b/>
          <w:bCs/>
          <w:i/>
        </w:rPr>
        <w:t>H</w:t>
      </w:r>
      <w:r w:rsidR="00454E87" w:rsidRPr="000A28FE">
        <w:rPr>
          <w:b/>
          <w:bCs/>
          <w:i/>
        </w:rPr>
        <w:t>ome-based withdrawal therapy</w:t>
      </w:r>
      <w:r w:rsidR="00477427">
        <w:rPr>
          <w:b/>
          <w:bCs/>
          <w:i/>
        </w:rPr>
        <w:t xml:space="preserve"> </w:t>
      </w:r>
      <w:r w:rsidR="00477427">
        <w:rPr>
          <w:iCs/>
        </w:rPr>
        <w:t>for opioid</w:t>
      </w:r>
      <w:r w:rsidR="00007F8D">
        <w:rPr>
          <w:iCs/>
        </w:rPr>
        <w:t>-</w:t>
      </w:r>
      <w:r w:rsidR="00477427">
        <w:rPr>
          <w:iCs/>
        </w:rPr>
        <w:t>exposed infants</w:t>
      </w:r>
      <w:r w:rsidR="00454E87" w:rsidRPr="000A28FE">
        <w:rPr>
          <w:bCs/>
        </w:rPr>
        <w:t xml:space="preserve"> may be considered</w:t>
      </w:r>
      <w:r w:rsidR="00454E87" w:rsidRPr="000A28FE">
        <w:t xml:space="preserve"> if no more than </w:t>
      </w:r>
      <w:r w:rsidR="00295A49">
        <w:t>two</w:t>
      </w:r>
      <w:r w:rsidR="00B949C0">
        <w:t xml:space="preserve"> modified Finnegan</w:t>
      </w:r>
      <w:r w:rsidR="00454E87" w:rsidRPr="000A28FE">
        <w:t xml:space="preserve"> scores are ≥</w:t>
      </w:r>
      <w:r w:rsidR="0063067F" w:rsidRPr="000A28FE">
        <w:t xml:space="preserve"> </w:t>
      </w:r>
      <w:r w:rsidR="00C96847" w:rsidRPr="000A28FE">
        <w:t xml:space="preserve">8 or </w:t>
      </w:r>
      <w:r w:rsidR="00870585">
        <w:t>one</w:t>
      </w:r>
      <w:r w:rsidR="00C96847" w:rsidRPr="000A28FE">
        <w:t xml:space="preserve"> score</w:t>
      </w:r>
      <w:r w:rsidR="00454E87" w:rsidRPr="000A28FE">
        <w:t xml:space="preserve"> is</w:t>
      </w:r>
      <w:r w:rsidR="00C96847" w:rsidRPr="000A28FE">
        <w:t xml:space="preserve"> &gt;</w:t>
      </w:r>
      <w:r w:rsidR="0063067F" w:rsidRPr="000A28FE">
        <w:t xml:space="preserve"> </w:t>
      </w:r>
      <w:r w:rsidR="00C96847" w:rsidRPr="000A28FE">
        <w:t>10 in the prior 48</w:t>
      </w:r>
      <w:r w:rsidR="00C96847">
        <w:t xml:space="preserve"> hours</w:t>
      </w:r>
      <w:r w:rsidR="00B430ED">
        <w:t>,</w:t>
      </w:r>
      <w:r w:rsidR="00454E87">
        <w:t xml:space="preserve"> and </w:t>
      </w:r>
      <w:proofErr w:type="gramStart"/>
      <w:r w:rsidR="00454E87">
        <w:t>all of</w:t>
      </w:r>
      <w:proofErr w:type="gramEnd"/>
      <w:r w:rsidR="00454E87">
        <w:t xml:space="preserve"> </w:t>
      </w:r>
      <w:r>
        <w:t xml:space="preserve">the </w:t>
      </w:r>
      <w:r w:rsidR="00454E87">
        <w:t xml:space="preserve">discharge criteria </w:t>
      </w:r>
      <w:r>
        <w:t xml:space="preserve">in section I.C. </w:t>
      </w:r>
      <w:r w:rsidR="00454E87">
        <w:t>are met</w:t>
      </w:r>
      <w:r w:rsidR="00C96847">
        <w:t xml:space="preserve">. </w:t>
      </w:r>
      <w:r w:rsidR="00477427">
        <w:t>Supports available in t</w:t>
      </w:r>
      <w:r w:rsidR="00C96847">
        <w:t>he home environment</w:t>
      </w:r>
      <w:r w:rsidR="00007F8D">
        <w:t xml:space="preserve"> and</w:t>
      </w:r>
      <w:r w:rsidR="00C96847">
        <w:t xml:space="preserve"> </w:t>
      </w:r>
      <w:r w:rsidR="00477427">
        <w:t xml:space="preserve">caregiver abilities and needs </w:t>
      </w:r>
      <w:r w:rsidR="00C96847">
        <w:t>must</w:t>
      </w:r>
      <w:r w:rsidR="00454E87">
        <w:t xml:space="preserve"> be</w:t>
      </w:r>
      <w:r w:rsidR="00C96847">
        <w:t xml:space="preserve"> </w:t>
      </w:r>
      <w:r w:rsidR="00454E87">
        <w:t>taken into</w:t>
      </w:r>
      <w:r w:rsidR="00C96847">
        <w:t xml:space="preserve"> consider</w:t>
      </w:r>
      <w:r w:rsidR="00454E87">
        <w:t>ation</w:t>
      </w:r>
      <w:r w:rsidR="00C96847">
        <w:t xml:space="preserve">. </w:t>
      </w:r>
    </w:p>
    <w:p w14:paraId="2B9447EF" w14:textId="606FAEBC" w:rsidR="00E312F0" w:rsidRDefault="00E312F0" w:rsidP="00E312F0"/>
    <w:p w14:paraId="7CC9CE54" w14:textId="579BA3A9" w:rsidR="00C96847" w:rsidRDefault="00E312F0" w:rsidP="00E312F0">
      <w:pPr>
        <w:ind w:left="720"/>
      </w:pPr>
      <w:r>
        <w:t>If treated with pharmacologic therapy</w:t>
      </w:r>
      <w:r w:rsidR="00477427">
        <w:t xml:space="preserve"> for opioid</w:t>
      </w:r>
      <w:r w:rsidR="00007F8D">
        <w:t>-</w:t>
      </w:r>
      <w:r w:rsidR="00477427">
        <w:t>exposed infants</w:t>
      </w:r>
      <w:r>
        <w:t xml:space="preserve"> using ESC, discharge should be consistent with ESC recommendations.</w:t>
      </w:r>
    </w:p>
    <w:p w14:paraId="5748BC12" w14:textId="77777777" w:rsidR="00E312F0" w:rsidRPr="00253B59" w:rsidRDefault="00E312F0" w:rsidP="00E312F0">
      <w:pPr>
        <w:ind w:left="720"/>
        <w:rPr>
          <w:lang w:val="en"/>
        </w:rPr>
      </w:pPr>
    </w:p>
    <w:p w14:paraId="64FD7A0E" w14:textId="77777777" w:rsidR="00454E87" w:rsidRPr="00454E87" w:rsidRDefault="00C96847" w:rsidP="009E441D">
      <w:pPr>
        <w:numPr>
          <w:ilvl w:val="0"/>
          <w:numId w:val="9"/>
        </w:numPr>
        <w:rPr>
          <w:bCs/>
        </w:rPr>
      </w:pPr>
      <w:r w:rsidRPr="00454E87">
        <w:rPr>
          <w:bCs/>
        </w:rPr>
        <w:t xml:space="preserve">Discharge Criteria </w:t>
      </w:r>
    </w:p>
    <w:p w14:paraId="6B404991" w14:textId="3342BE3B" w:rsidR="00C96847" w:rsidRPr="00253B59" w:rsidRDefault="00C96847" w:rsidP="009E441D">
      <w:pPr>
        <w:ind w:left="720"/>
        <w:rPr>
          <w:bCs/>
        </w:rPr>
      </w:pPr>
      <w:r w:rsidRPr="00253B59">
        <w:rPr>
          <w:bCs/>
        </w:rPr>
        <w:t>Prior to discharge home with home health,</w:t>
      </w:r>
      <w:r w:rsidR="00965E80">
        <w:rPr>
          <w:bCs/>
        </w:rPr>
        <w:t xml:space="preserve"> </w:t>
      </w:r>
      <w:proofErr w:type="gramStart"/>
      <w:r w:rsidR="00965E80">
        <w:rPr>
          <w:bCs/>
        </w:rPr>
        <w:t>all of</w:t>
      </w:r>
      <w:proofErr w:type="gramEnd"/>
      <w:r w:rsidRPr="00253B59">
        <w:rPr>
          <w:bCs/>
        </w:rPr>
        <w:t xml:space="preserve"> the following must be met: </w:t>
      </w:r>
    </w:p>
    <w:p w14:paraId="1C5341C1" w14:textId="77777777" w:rsidR="00C96847" w:rsidRDefault="00454E87" w:rsidP="009E441D">
      <w:pPr>
        <w:numPr>
          <w:ilvl w:val="1"/>
          <w:numId w:val="9"/>
        </w:numPr>
        <w:ind w:left="1080"/>
        <w:rPr>
          <w:bCs/>
        </w:rPr>
      </w:pPr>
      <w:proofErr w:type="gramStart"/>
      <w:r>
        <w:rPr>
          <w:bCs/>
        </w:rPr>
        <w:t>Infant</w:t>
      </w:r>
      <w:r w:rsidR="00C96847" w:rsidRPr="00B63AFC">
        <w:rPr>
          <w:bCs/>
        </w:rPr>
        <w:t xml:space="preserve"> is</w:t>
      </w:r>
      <w:proofErr w:type="gramEnd"/>
      <w:r w:rsidR="00C96847" w:rsidRPr="00B63AFC">
        <w:rPr>
          <w:bCs/>
        </w:rPr>
        <w:t xml:space="preserve"> clinically stable</w:t>
      </w:r>
      <w:r>
        <w:rPr>
          <w:bCs/>
        </w:rPr>
        <w:t xml:space="preserve"> and</w:t>
      </w:r>
      <w:r w:rsidR="00C96847" w:rsidRPr="00B63AFC">
        <w:rPr>
          <w:bCs/>
        </w:rPr>
        <w:t xml:space="preserve"> </w:t>
      </w:r>
      <w:proofErr w:type="gramStart"/>
      <w:r w:rsidR="00C96847">
        <w:rPr>
          <w:bCs/>
        </w:rPr>
        <w:t>meet</w:t>
      </w:r>
      <w:r>
        <w:rPr>
          <w:bCs/>
        </w:rPr>
        <w:t>s</w:t>
      </w:r>
      <w:proofErr w:type="gramEnd"/>
      <w:r w:rsidR="00C96847">
        <w:rPr>
          <w:bCs/>
        </w:rPr>
        <w:t xml:space="preserve"> </w:t>
      </w:r>
      <w:proofErr w:type="gramStart"/>
      <w:r w:rsidR="00C96847">
        <w:rPr>
          <w:bCs/>
        </w:rPr>
        <w:t>all of</w:t>
      </w:r>
      <w:proofErr w:type="gramEnd"/>
      <w:r w:rsidR="00C96847">
        <w:rPr>
          <w:bCs/>
        </w:rPr>
        <w:t xml:space="preserve"> the following criteria:</w:t>
      </w:r>
    </w:p>
    <w:p w14:paraId="410E492D" w14:textId="5F2E0D67" w:rsidR="00C96847" w:rsidRDefault="00C96847" w:rsidP="009E441D">
      <w:pPr>
        <w:numPr>
          <w:ilvl w:val="1"/>
          <w:numId w:val="10"/>
        </w:numPr>
        <w:autoSpaceDE w:val="0"/>
        <w:autoSpaceDN w:val="0"/>
        <w:adjustRightInd w:val="0"/>
        <w:rPr>
          <w:bCs/>
        </w:rPr>
      </w:pPr>
      <w:r>
        <w:rPr>
          <w:bCs/>
        </w:rPr>
        <w:t>Infant is taking oral feeds and gaining weight satisfactorily</w:t>
      </w:r>
      <w:r w:rsidR="003321C8">
        <w:rPr>
          <w:bCs/>
        </w:rPr>
        <w:t>;</w:t>
      </w:r>
      <w:r>
        <w:rPr>
          <w:bCs/>
        </w:rPr>
        <w:t xml:space="preserve"> </w:t>
      </w:r>
    </w:p>
    <w:p w14:paraId="5C1A28CD" w14:textId="04C5196A" w:rsidR="00C96847" w:rsidRDefault="00C96847" w:rsidP="009E441D">
      <w:pPr>
        <w:numPr>
          <w:ilvl w:val="1"/>
          <w:numId w:val="10"/>
        </w:numPr>
        <w:autoSpaceDE w:val="0"/>
        <w:autoSpaceDN w:val="0"/>
        <w:adjustRightInd w:val="0"/>
        <w:rPr>
          <w:bCs/>
        </w:rPr>
      </w:pPr>
      <w:r>
        <w:rPr>
          <w:bCs/>
        </w:rPr>
        <w:t>Infant is physiologically stable with normal vital signs including blood pressure</w:t>
      </w:r>
      <w:r w:rsidR="003321C8">
        <w:rPr>
          <w:bCs/>
        </w:rPr>
        <w:t xml:space="preserve">; </w:t>
      </w:r>
    </w:p>
    <w:p w14:paraId="2B4E031F" w14:textId="7C8EAF3E" w:rsidR="00965E80" w:rsidRDefault="00C96847" w:rsidP="00965E80">
      <w:pPr>
        <w:numPr>
          <w:ilvl w:val="1"/>
          <w:numId w:val="9"/>
        </w:numPr>
        <w:ind w:left="1080"/>
        <w:rPr>
          <w:bCs/>
        </w:rPr>
      </w:pPr>
      <w:r>
        <w:rPr>
          <w:bCs/>
        </w:rPr>
        <w:t xml:space="preserve">Infant is showing neurobehavioral recovery evidenced by reaching full alert state, responding to social stimuli, and </w:t>
      </w:r>
      <w:r w:rsidR="005C6737">
        <w:rPr>
          <w:bCs/>
        </w:rPr>
        <w:t xml:space="preserve">being consoled </w:t>
      </w:r>
      <w:r>
        <w:rPr>
          <w:bCs/>
        </w:rPr>
        <w:t>with appropriate measures</w:t>
      </w:r>
      <w:r w:rsidR="00CD2825">
        <w:rPr>
          <w:bCs/>
        </w:rPr>
        <w:t xml:space="preserve"> </w:t>
      </w:r>
      <w:r w:rsidR="002B39CB">
        <w:rPr>
          <w:bCs/>
        </w:rPr>
        <w:t>24</w:t>
      </w:r>
      <w:r w:rsidR="00091EBF">
        <w:rPr>
          <w:bCs/>
        </w:rPr>
        <w:t xml:space="preserve"> to </w:t>
      </w:r>
      <w:r w:rsidR="002B39CB">
        <w:rPr>
          <w:bCs/>
        </w:rPr>
        <w:t>48 hours after the last dose of morphine</w:t>
      </w:r>
      <w:r w:rsidR="002B52CB">
        <w:rPr>
          <w:bCs/>
        </w:rPr>
        <w:t xml:space="preserve"> (when applicable)</w:t>
      </w:r>
      <w:r w:rsidR="002B39CB">
        <w:rPr>
          <w:bCs/>
        </w:rPr>
        <w:t xml:space="preserve"> prior to discharge</w:t>
      </w:r>
      <w:r w:rsidR="00965E80">
        <w:rPr>
          <w:bCs/>
        </w:rPr>
        <w:t>, based on gestational age</w:t>
      </w:r>
      <w:r w:rsidR="00ED5487">
        <w:rPr>
          <w:bCs/>
        </w:rPr>
        <w:t>;</w:t>
      </w:r>
    </w:p>
    <w:p w14:paraId="292A0E36" w14:textId="77777777" w:rsidR="00965E80" w:rsidRDefault="00965E80" w:rsidP="00965E80">
      <w:pPr>
        <w:ind w:left="1080"/>
        <w:rPr>
          <w:bCs/>
        </w:rPr>
      </w:pPr>
    </w:p>
    <w:p w14:paraId="1711249B" w14:textId="64611151" w:rsidR="002B39CB" w:rsidRPr="00D6522B" w:rsidRDefault="00965E80" w:rsidP="006B3A17">
      <w:pPr>
        <w:ind w:left="1080"/>
        <w:rPr>
          <w:bCs/>
          <w:vertAlign w:val="superscript"/>
        </w:rPr>
      </w:pPr>
      <w:r w:rsidRPr="006B3A17">
        <w:rPr>
          <w:bCs/>
          <w:i/>
          <w:iCs/>
        </w:rPr>
        <w:t>Note:</w:t>
      </w:r>
      <w:r>
        <w:rPr>
          <w:bCs/>
        </w:rPr>
        <w:t xml:space="preserve"> T</w:t>
      </w:r>
      <w:r w:rsidR="002B39CB" w:rsidRPr="006B3A17">
        <w:rPr>
          <w:bCs/>
        </w:rPr>
        <w:t>he half-life of morphine in term infants (</w:t>
      </w:r>
      <w:r w:rsidR="002B39CB" w:rsidRPr="00A40F93">
        <w:rPr>
          <w:bCs/>
        </w:rPr>
        <w:t>37 0/</w:t>
      </w:r>
      <w:r w:rsidR="00B74724" w:rsidRPr="000455A1">
        <w:rPr>
          <w:bCs/>
        </w:rPr>
        <w:t>7</w:t>
      </w:r>
      <w:r w:rsidR="002B39CB" w:rsidRPr="00A40F93">
        <w:rPr>
          <w:bCs/>
        </w:rPr>
        <w:t xml:space="preserve"> weeks</w:t>
      </w:r>
      <w:r w:rsidR="002B39CB" w:rsidRPr="006B3A17">
        <w:rPr>
          <w:bCs/>
        </w:rPr>
        <w:t xml:space="preserve"> and older) is estimated to be</w:t>
      </w:r>
      <w:r w:rsidR="00791469">
        <w:rPr>
          <w:bCs/>
        </w:rPr>
        <w:t xml:space="preserve"> six to twelve hours</w:t>
      </w:r>
      <w:r w:rsidR="001F4A50">
        <w:rPr>
          <w:bCs/>
        </w:rPr>
        <w:t>, but this is variable and</w:t>
      </w:r>
      <w:r w:rsidR="00791469">
        <w:rPr>
          <w:bCs/>
        </w:rPr>
        <w:t xml:space="preserve"> inversely related </w:t>
      </w:r>
      <w:r w:rsidR="001F4A50">
        <w:rPr>
          <w:bCs/>
        </w:rPr>
        <w:t>to gestational age at birth.</w:t>
      </w:r>
      <w:r w:rsidR="00520DF7">
        <w:rPr>
          <w:bCs/>
        </w:rPr>
        <w:t xml:space="preserve"> </w:t>
      </w:r>
      <w:r w:rsidR="002D7630">
        <w:rPr>
          <w:bCs/>
        </w:rPr>
        <w:t>As gestational age and birth weight increases, t</w:t>
      </w:r>
      <w:r w:rsidR="00520DF7">
        <w:rPr>
          <w:bCs/>
        </w:rPr>
        <w:t xml:space="preserve">he clearance </w:t>
      </w:r>
      <w:r w:rsidR="002D7630">
        <w:rPr>
          <w:bCs/>
        </w:rPr>
        <w:t xml:space="preserve">rate </w:t>
      </w:r>
      <w:r w:rsidR="00520DF7">
        <w:rPr>
          <w:bCs/>
        </w:rPr>
        <w:t xml:space="preserve">of morphine </w:t>
      </w:r>
      <w:r w:rsidR="00116571">
        <w:rPr>
          <w:bCs/>
        </w:rPr>
        <w:t>increases</w:t>
      </w:r>
      <w:r w:rsidR="00797479">
        <w:rPr>
          <w:bCs/>
        </w:rPr>
        <w:t xml:space="preserve"> as well</w:t>
      </w:r>
      <w:r w:rsidR="004C78DE">
        <w:rPr>
          <w:bCs/>
        </w:rPr>
        <w:t>.</w:t>
      </w:r>
      <w:r w:rsidR="00E02209">
        <w:rPr>
          <w:bCs/>
          <w:vertAlign w:val="superscript"/>
        </w:rPr>
        <w:t>24</w:t>
      </w:r>
    </w:p>
    <w:p w14:paraId="753BF741" w14:textId="77777777" w:rsidR="000455A1" w:rsidRDefault="000455A1" w:rsidP="006B3A17">
      <w:pPr>
        <w:ind w:left="1080"/>
        <w:rPr>
          <w:bCs/>
        </w:rPr>
      </w:pPr>
    </w:p>
    <w:p w14:paraId="6954049D" w14:textId="012AA016" w:rsidR="00C96847" w:rsidRPr="00B63AFC" w:rsidRDefault="00C96847" w:rsidP="009E441D">
      <w:pPr>
        <w:numPr>
          <w:ilvl w:val="1"/>
          <w:numId w:val="9"/>
        </w:numPr>
        <w:ind w:left="1080"/>
        <w:rPr>
          <w:bCs/>
        </w:rPr>
      </w:pPr>
      <w:r w:rsidRPr="00B63AFC">
        <w:rPr>
          <w:bCs/>
        </w:rPr>
        <w:lastRenderedPageBreak/>
        <w:t>Home situation is assessed and deemed adequate</w:t>
      </w:r>
      <w:r w:rsidR="00965E80">
        <w:rPr>
          <w:bCs/>
        </w:rPr>
        <w:t>;</w:t>
      </w:r>
    </w:p>
    <w:p w14:paraId="5741DCF7" w14:textId="5F795E83" w:rsidR="00C96847" w:rsidRDefault="00C96847" w:rsidP="009E441D">
      <w:pPr>
        <w:numPr>
          <w:ilvl w:val="1"/>
          <w:numId w:val="9"/>
        </w:numPr>
        <w:ind w:left="1080"/>
        <w:rPr>
          <w:bCs/>
        </w:rPr>
      </w:pPr>
      <w:r w:rsidRPr="00B63AFC">
        <w:rPr>
          <w:bCs/>
        </w:rPr>
        <w:t>Parent</w:t>
      </w:r>
      <w:r w:rsidR="00E74D62">
        <w:rPr>
          <w:bCs/>
        </w:rPr>
        <w:t>(s)</w:t>
      </w:r>
      <w:r w:rsidRPr="00B63AFC">
        <w:rPr>
          <w:bCs/>
        </w:rPr>
        <w:t xml:space="preserve"> or care</w:t>
      </w:r>
      <w:r w:rsidR="00E74D62">
        <w:rPr>
          <w:bCs/>
        </w:rPr>
        <w:t>giver(s)</w:t>
      </w:r>
      <w:r w:rsidRPr="00B63AFC">
        <w:rPr>
          <w:bCs/>
        </w:rPr>
        <w:t xml:space="preserve"> </w:t>
      </w:r>
      <w:proofErr w:type="gramStart"/>
      <w:r w:rsidR="00E74D62">
        <w:rPr>
          <w:bCs/>
        </w:rPr>
        <w:t>are</w:t>
      </w:r>
      <w:r w:rsidRPr="00B63AFC">
        <w:rPr>
          <w:bCs/>
        </w:rPr>
        <w:t xml:space="preserve"> </w:t>
      </w:r>
      <w:r w:rsidR="00E74D62">
        <w:rPr>
          <w:bCs/>
        </w:rPr>
        <w:t>able to</w:t>
      </w:r>
      <w:proofErr w:type="gramEnd"/>
      <w:r w:rsidR="00E74D62">
        <w:rPr>
          <w:bCs/>
        </w:rPr>
        <w:t xml:space="preserve"> engage with and agree to </w:t>
      </w:r>
      <w:r w:rsidRPr="00B63AFC">
        <w:rPr>
          <w:bCs/>
        </w:rPr>
        <w:t>the plan of care</w:t>
      </w:r>
      <w:r w:rsidR="00965E80">
        <w:rPr>
          <w:bCs/>
        </w:rPr>
        <w:t>;</w:t>
      </w:r>
    </w:p>
    <w:p w14:paraId="14C6D915" w14:textId="1DAACD34" w:rsidR="00C96847" w:rsidRPr="004F5883" w:rsidRDefault="00C96847" w:rsidP="009E441D">
      <w:pPr>
        <w:numPr>
          <w:ilvl w:val="1"/>
          <w:numId w:val="9"/>
        </w:numPr>
        <w:ind w:left="1080"/>
        <w:rPr>
          <w:bCs/>
        </w:rPr>
      </w:pPr>
      <w:r w:rsidRPr="004F5883">
        <w:rPr>
          <w:bCs/>
        </w:rPr>
        <w:t>Appropriate transportation is available for follow up appointments</w:t>
      </w:r>
      <w:r w:rsidR="00965E80" w:rsidRPr="004F5883">
        <w:rPr>
          <w:bCs/>
        </w:rPr>
        <w:t>;</w:t>
      </w:r>
    </w:p>
    <w:p w14:paraId="2B82BCF1" w14:textId="6B5312FF" w:rsidR="00C96847" w:rsidRPr="004F5883" w:rsidRDefault="00C96847" w:rsidP="009E441D">
      <w:pPr>
        <w:numPr>
          <w:ilvl w:val="1"/>
          <w:numId w:val="9"/>
        </w:numPr>
        <w:ind w:left="1080"/>
        <w:rPr>
          <w:bCs/>
        </w:rPr>
      </w:pPr>
      <w:r w:rsidRPr="004F5883">
        <w:rPr>
          <w:bCs/>
        </w:rPr>
        <w:t>Home care services are arranged for nursing assessments</w:t>
      </w:r>
      <w:r w:rsidR="00965E80" w:rsidRPr="004F5883">
        <w:rPr>
          <w:bCs/>
        </w:rPr>
        <w:t>;</w:t>
      </w:r>
      <w:r w:rsidRPr="004F5883">
        <w:rPr>
          <w:bCs/>
        </w:rPr>
        <w:t xml:space="preserve"> </w:t>
      </w:r>
    </w:p>
    <w:p w14:paraId="519739E0" w14:textId="23207566" w:rsidR="00C96847" w:rsidRPr="000455A1" w:rsidRDefault="00C96847" w:rsidP="009E441D">
      <w:pPr>
        <w:numPr>
          <w:ilvl w:val="1"/>
          <w:numId w:val="9"/>
        </w:numPr>
        <w:ind w:left="1080"/>
        <w:rPr>
          <w:color w:val="1F497D"/>
        </w:rPr>
      </w:pPr>
      <w:r w:rsidRPr="00B63AFC">
        <w:rPr>
          <w:bCs/>
        </w:rPr>
        <w:t>The responsible physician (neonatologist</w:t>
      </w:r>
      <w:r w:rsidR="00454E87">
        <w:rPr>
          <w:bCs/>
        </w:rPr>
        <w:t>,</w:t>
      </w:r>
      <w:r w:rsidRPr="00B63AFC">
        <w:rPr>
          <w:bCs/>
        </w:rPr>
        <w:t xml:space="preserve"> primary care pediatrician</w:t>
      </w:r>
      <w:r w:rsidR="00993E98">
        <w:rPr>
          <w:bCs/>
        </w:rPr>
        <w:t>, or family medicine provider</w:t>
      </w:r>
      <w:r w:rsidRPr="00B63AFC">
        <w:rPr>
          <w:bCs/>
        </w:rPr>
        <w:t>) and back-up health care facility (NICU, community hospital) should be c</w:t>
      </w:r>
      <w:r w:rsidR="003275BA">
        <w:rPr>
          <w:bCs/>
        </w:rPr>
        <w:t xml:space="preserve">onfirmed with </w:t>
      </w:r>
      <w:r w:rsidRPr="00B63AFC">
        <w:rPr>
          <w:bCs/>
        </w:rPr>
        <w:t>the family and home care agency prior</w:t>
      </w:r>
      <w:r>
        <w:t xml:space="preserve"> to discharge</w:t>
      </w:r>
      <w:r w:rsidR="00A5399C">
        <w:t>;</w:t>
      </w:r>
    </w:p>
    <w:p w14:paraId="78BEE328" w14:textId="65C15751" w:rsidR="00A5399C" w:rsidRDefault="00A5399C" w:rsidP="009E441D">
      <w:pPr>
        <w:numPr>
          <w:ilvl w:val="1"/>
          <w:numId w:val="9"/>
        </w:numPr>
        <w:ind w:left="1080"/>
      </w:pPr>
      <w:r w:rsidRPr="000455A1">
        <w:t>Follow up appointment</w:t>
      </w:r>
      <w:r w:rsidR="00CB1BD4" w:rsidRPr="000455A1">
        <w:t xml:space="preserve"> </w:t>
      </w:r>
      <w:r w:rsidR="00EE3407" w:rsidRPr="000455A1">
        <w:t xml:space="preserve">with the </w:t>
      </w:r>
      <w:r w:rsidR="00F8425F" w:rsidRPr="000455A1">
        <w:t>primary care pediatrician</w:t>
      </w:r>
      <w:r w:rsidR="00993E98">
        <w:t xml:space="preserve"> or family medicine provider</w:t>
      </w:r>
      <w:r w:rsidRPr="000455A1">
        <w:t xml:space="preserve"> is scheduled </w:t>
      </w:r>
      <w:r w:rsidR="00E876A2" w:rsidRPr="000455A1">
        <w:t>prior to discharge.</w:t>
      </w:r>
    </w:p>
    <w:p w14:paraId="04411B24" w14:textId="77777777" w:rsidR="00395938" w:rsidRDefault="00395938" w:rsidP="00CC4A04">
      <w:pPr>
        <w:ind w:left="1080"/>
      </w:pPr>
    </w:p>
    <w:p w14:paraId="004C0CF3" w14:textId="08CA5A86" w:rsidR="00CC4A04" w:rsidRPr="00D6522B" w:rsidRDefault="00323916" w:rsidP="00D6522B">
      <w:pPr>
        <w:ind w:left="1080"/>
        <w:rPr>
          <w:vertAlign w:val="superscript"/>
        </w:rPr>
      </w:pPr>
      <w:r w:rsidRPr="00D6522B">
        <w:rPr>
          <w:i/>
          <w:iCs/>
        </w:rPr>
        <w:t>Note</w:t>
      </w:r>
      <w:r w:rsidRPr="00D6522B">
        <w:t xml:space="preserve">: </w:t>
      </w:r>
      <w:r w:rsidR="00AA6252" w:rsidRPr="00D6522B">
        <w:t>It is recommended that an infant with opioid exposure should be seen by his or her provider within 48 hours of discharge to monitor for signs of withdrawal.</w:t>
      </w:r>
      <w:r w:rsidR="009539B1" w:rsidRPr="00D6522B">
        <w:rPr>
          <w:vertAlign w:val="superscript"/>
        </w:rPr>
        <w:t>22</w:t>
      </w:r>
    </w:p>
    <w:p w14:paraId="3194156D" w14:textId="77777777" w:rsidR="00153494" w:rsidRDefault="00153494" w:rsidP="009E441D">
      <w:pPr>
        <w:ind w:left="360"/>
        <w:rPr>
          <w:bCs/>
          <w:color w:val="000000"/>
        </w:rPr>
      </w:pPr>
    </w:p>
    <w:p w14:paraId="1906C247" w14:textId="73D19AC0" w:rsidR="003840CC" w:rsidRPr="000A28FE" w:rsidRDefault="00C96847" w:rsidP="009E441D">
      <w:pPr>
        <w:numPr>
          <w:ilvl w:val="0"/>
          <w:numId w:val="11"/>
        </w:numPr>
        <w:ind w:left="360"/>
        <w:rPr>
          <w:bCs/>
          <w:color w:val="000000"/>
        </w:rPr>
      </w:pPr>
      <w:r w:rsidRPr="000A28FE">
        <w:rPr>
          <w:bCs/>
          <w:color w:val="000000"/>
        </w:rPr>
        <w:t xml:space="preserve">It is the policy of health plans affiliated with Centene Corporation </w:t>
      </w:r>
      <w:r w:rsidRPr="000A28FE">
        <w:t>that i</w:t>
      </w:r>
      <w:r w:rsidRPr="000A28FE">
        <w:rPr>
          <w:bCs/>
        </w:rPr>
        <w:t xml:space="preserve">f the infant is clinically stable but remains in the nursery due to social issues, these days are considered </w:t>
      </w:r>
      <w:r w:rsidRPr="000A28FE">
        <w:rPr>
          <w:b/>
          <w:bCs/>
        </w:rPr>
        <w:t>not medically necessary</w:t>
      </w:r>
      <w:r w:rsidRPr="000A28FE">
        <w:rPr>
          <w:bCs/>
        </w:rPr>
        <w:t xml:space="preserve"> unless there is a benefit coverage requiring such days.</w:t>
      </w:r>
      <w:r w:rsidR="009B597E">
        <w:rPr>
          <w:bCs/>
        </w:rPr>
        <w:t xml:space="preserve"> </w:t>
      </w:r>
    </w:p>
    <w:p w14:paraId="3357E2CE" w14:textId="77777777" w:rsidR="00FB139B" w:rsidRDefault="00FB139B" w:rsidP="009E441D">
      <w:pPr>
        <w:rPr>
          <w:bCs/>
          <w:color w:val="000000"/>
        </w:rPr>
      </w:pPr>
    </w:p>
    <w:p w14:paraId="4DA4B77A" w14:textId="77777777" w:rsidR="00FB0592" w:rsidRDefault="00FB0592" w:rsidP="009E441D">
      <w:pPr>
        <w:pStyle w:val="Heading2"/>
        <w:rPr>
          <w:u w:val="none"/>
        </w:rPr>
      </w:pPr>
      <w:r w:rsidRPr="00B777AF">
        <w:rPr>
          <w:u w:val="none"/>
        </w:rPr>
        <w:t>Background</w:t>
      </w:r>
    </w:p>
    <w:p w14:paraId="431F9777" w14:textId="76285068" w:rsidR="0032027C" w:rsidRPr="0032027C" w:rsidRDefault="0032027C" w:rsidP="009E441D">
      <w:r>
        <w:t>The presentation of NAS is widely variable in the onset of symptoms</w:t>
      </w:r>
      <w:r w:rsidR="00C6448C">
        <w:t>,</w:t>
      </w:r>
      <w:r>
        <w:t xml:space="preserve"> types</w:t>
      </w:r>
      <w:r w:rsidR="008022F7">
        <w:t>,</w:t>
      </w:r>
      <w:r>
        <w:t xml:space="preserve"> and severity of clinical manifestations. Universal screening and subsequent close observation of </w:t>
      </w:r>
      <w:r w:rsidR="00445B9B">
        <w:t>high-risk</w:t>
      </w:r>
      <w:r>
        <w:t xml:space="preserve"> neonates is essential for timely diagnosis and treatment of the neonate.</w:t>
      </w:r>
      <w:r w:rsidR="00E75619">
        <w:rPr>
          <w:vertAlign w:val="superscript"/>
        </w:rPr>
        <w:t>15,16</w:t>
      </w:r>
      <w:r w:rsidR="00643C36">
        <w:rPr>
          <w:vertAlign w:val="superscript"/>
        </w:rPr>
        <w:t>,</w:t>
      </w:r>
      <w:r w:rsidR="00A00234">
        <w:rPr>
          <w:vertAlign w:val="superscript"/>
        </w:rPr>
        <w:t>20</w:t>
      </w:r>
      <w:r w:rsidR="00387E85">
        <w:rPr>
          <w:vertAlign w:val="superscript"/>
        </w:rPr>
        <w:t>,22</w:t>
      </w:r>
      <w:r>
        <w:t xml:space="preserve">  </w:t>
      </w:r>
    </w:p>
    <w:p w14:paraId="2E028966" w14:textId="340395F4" w:rsidR="00C96847" w:rsidRPr="00FC3343" w:rsidRDefault="00C96847" w:rsidP="009E441D">
      <w:pPr>
        <w:numPr>
          <w:ilvl w:val="0"/>
          <w:numId w:val="13"/>
        </w:numPr>
        <w:ind w:left="360"/>
        <w:rPr>
          <w:bCs/>
          <w:i/>
        </w:rPr>
      </w:pPr>
      <w:r w:rsidRPr="0032027C">
        <w:rPr>
          <w:bCs/>
          <w:i/>
        </w:rPr>
        <w:t>Screening</w:t>
      </w:r>
      <w:r w:rsidR="00454E87">
        <w:rPr>
          <w:bCs/>
        </w:rPr>
        <w:t xml:space="preserve"> </w:t>
      </w:r>
    </w:p>
    <w:p w14:paraId="325DC760" w14:textId="4E718234" w:rsidR="00C96847" w:rsidRPr="00694CBD" w:rsidRDefault="00C96847" w:rsidP="00C8157B">
      <w:pPr>
        <w:numPr>
          <w:ilvl w:val="0"/>
          <w:numId w:val="24"/>
        </w:numPr>
        <w:autoSpaceDE w:val="0"/>
        <w:autoSpaceDN w:val="0"/>
        <w:adjustRightInd w:val="0"/>
        <w:rPr>
          <w:bCs/>
        </w:rPr>
      </w:pPr>
      <w:r w:rsidRPr="00694CBD">
        <w:rPr>
          <w:bCs/>
        </w:rPr>
        <w:t xml:space="preserve">Universal screening for </w:t>
      </w:r>
      <w:r w:rsidR="009A5C0B">
        <w:rPr>
          <w:bCs/>
          <w:iCs/>
        </w:rPr>
        <w:t>prescription medications that may lead to an abstinence syndrome in the neonate and/or</w:t>
      </w:r>
      <w:r w:rsidR="009A5C0B" w:rsidRPr="00694CBD">
        <w:rPr>
          <w:bCs/>
        </w:rPr>
        <w:t xml:space="preserve"> </w:t>
      </w:r>
      <w:r w:rsidRPr="00694CBD">
        <w:rPr>
          <w:bCs/>
        </w:rPr>
        <w:t xml:space="preserve">maternal </w:t>
      </w:r>
      <w:r w:rsidR="009A5C0B">
        <w:rPr>
          <w:bCs/>
        </w:rPr>
        <w:t xml:space="preserve">substance use </w:t>
      </w:r>
      <w:r w:rsidR="00B70802">
        <w:rPr>
          <w:bCs/>
        </w:rPr>
        <w:t xml:space="preserve">through discussion with the </w:t>
      </w:r>
      <w:r w:rsidR="00A70C3F">
        <w:rPr>
          <w:bCs/>
        </w:rPr>
        <w:t>birthing individual</w:t>
      </w:r>
      <w:r w:rsidR="00007F8D">
        <w:rPr>
          <w:bCs/>
        </w:rPr>
        <w:t>.</w:t>
      </w:r>
    </w:p>
    <w:p w14:paraId="52B685FD" w14:textId="3A628517" w:rsidR="00C96847" w:rsidRPr="00694CBD" w:rsidRDefault="00C96847" w:rsidP="00C8157B">
      <w:pPr>
        <w:numPr>
          <w:ilvl w:val="0"/>
          <w:numId w:val="24"/>
        </w:numPr>
        <w:autoSpaceDE w:val="0"/>
        <w:autoSpaceDN w:val="0"/>
        <w:adjustRightInd w:val="0"/>
        <w:rPr>
          <w:bCs/>
        </w:rPr>
      </w:pPr>
      <w:r>
        <w:rPr>
          <w:bCs/>
        </w:rPr>
        <w:t>Maternal t</w:t>
      </w:r>
      <w:r w:rsidRPr="00694CBD">
        <w:rPr>
          <w:bCs/>
        </w:rPr>
        <w:t xml:space="preserve">oxicology testing in known or suspected cases of NAS </w:t>
      </w:r>
      <w:r>
        <w:rPr>
          <w:bCs/>
        </w:rPr>
        <w:t xml:space="preserve">based on any of the following characteristics (note </w:t>
      </w:r>
      <w:r w:rsidR="0035204D">
        <w:rPr>
          <w:bCs/>
        </w:rPr>
        <w:t>that</w:t>
      </w:r>
      <w:r w:rsidR="0071583C">
        <w:rPr>
          <w:bCs/>
        </w:rPr>
        <w:t xml:space="preserve"> </w:t>
      </w:r>
      <w:r>
        <w:rPr>
          <w:bCs/>
        </w:rPr>
        <w:t>legal implications of testing</w:t>
      </w:r>
      <w:r w:rsidR="00114360">
        <w:rPr>
          <w:bCs/>
        </w:rPr>
        <w:t>, including notification to child welfare,</w:t>
      </w:r>
      <w:r>
        <w:rPr>
          <w:bCs/>
        </w:rPr>
        <w:t xml:space="preserve"> and need for consent from the mother may vary among states)</w:t>
      </w:r>
      <w:r w:rsidR="00AC774E">
        <w:rPr>
          <w:bCs/>
        </w:rPr>
        <w:t>:</w:t>
      </w:r>
    </w:p>
    <w:p w14:paraId="3F3F2C21" w14:textId="6E34C1D7" w:rsidR="00C96847" w:rsidRPr="00694CBD" w:rsidRDefault="00C96847" w:rsidP="00C8157B">
      <w:pPr>
        <w:numPr>
          <w:ilvl w:val="1"/>
          <w:numId w:val="24"/>
        </w:numPr>
        <w:autoSpaceDE w:val="0"/>
        <w:autoSpaceDN w:val="0"/>
        <w:adjustRightInd w:val="0"/>
        <w:ind w:left="1080"/>
        <w:rPr>
          <w:bCs/>
        </w:rPr>
      </w:pPr>
      <w:r w:rsidRPr="00694CBD">
        <w:rPr>
          <w:bCs/>
        </w:rPr>
        <w:t>Known history of maternal</w:t>
      </w:r>
      <w:r w:rsidR="008366CB">
        <w:rPr>
          <w:bCs/>
        </w:rPr>
        <w:t xml:space="preserve"> illicit</w:t>
      </w:r>
      <w:r w:rsidRPr="00694CBD">
        <w:rPr>
          <w:bCs/>
        </w:rPr>
        <w:t xml:space="preserve"> substance </w:t>
      </w:r>
      <w:r w:rsidR="008366CB">
        <w:rPr>
          <w:bCs/>
        </w:rPr>
        <w:t>use</w:t>
      </w:r>
    </w:p>
    <w:p w14:paraId="758CB312" w14:textId="4CC698A7" w:rsidR="00C96847" w:rsidRPr="00694CBD" w:rsidRDefault="00C96847" w:rsidP="00C8157B">
      <w:pPr>
        <w:numPr>
          <w:ilvl w:val="1"/>
          <w:numId w:val="24"/>
        </w:numPr>
        <w:autoSpaceDE w:val="0"/>
        <w:autoSpaceDN w:val="0"/>
        <w:adjustRightInd w:val="0"/>
        <w:ind w:left="1080"/>
        <w:rPr>
          <w:bCs/>
        </w:rPr>
      </w:pPr>
      <w:r>
        <w:rPr>
          <w:bCs/>
        </w:rPr>
        <w:t>Maternal e</w:t>
      </w:r>
      <w:r w:rsidR="00153494">
        <w:rPr>
          <w:bCs/>
        </w:rPr>
        <w:t>ngagement in</w:t>
      </w:r>
      <w:r w:rsidR="00A67E9C">
        <w:rPr>
          <w:bCs/>
        </w:rPr>
        <w:t xml:space="preserve"> high</w:t>
      </w:r>
      <w:r w:rsidR="00A70569">
        <w:rPr>
          <w:bCs/>
        </w:rPr>
        <w:t>-</w:t>
      </w:r>
      <w:r w:rsidR="00A67E9C">
        <w:rPr>
          <w:bCs/>
        </w:rPr>
        <w:t>risk behaviors</w:t>
      </w:r>
      <w:r w:rsidR="008366CB">
        <w:rPr>
          <w:bCs/>
        </w:rPr>
        <w:t xml:space="preserve"> associated with substance use </w:t>
      </w:r>
      <w:r w:rsidRPr="00694CBD">
        <w:rPr>
          <w:bCs/>
        </w:rPr>
        <w:t xml:space="preserve"> </w:t>
      </w:r>
    </w:p>
    <w:p w14:paraId="31BEA583" w14:textId="5345A7DA" w:rsidR="00C96847" w:rsidRPr="00FA02E8" w:rsidRDefault="00C96847" w:rsidP="00C8157B">
      <w:pPr>
        <w:numPr>
          <w:ilvl w:val="1"/>
          <w:numId w:val="24"/>
        </w:numPr>
        <w:autoSpaceDE w:val="0"/>
        <w:autoSpaceDN w:val="0"/>
        <w:adjustRightInd w:val="0"/>
        <w:ind w:left="1080"/>
        <w:rPr>
          <w:bCs/>
        </w:rPr>
      </w:pPr>
      <w:r>
        <w:rPr>
          <w:bCs/>
        </w:rPr>
        <w:t>Disclosure of recent substance</w:t>
      </w:r>
      <w:r w:rsidR="008366CB">
        <w:rPr>
          <w:bCs/>
        </w:rPr>
        <w:t xml:space="preserve"> use </w:t>
      </w:r>
    </w:p>
    <w:p w14:paraId="79E062AF" w14:textId="77777777" w:rsidR="00C96847" w:rsidRDefault="00C96847" w:rsidP="00C8157B">
      <w:pPr>
        <w:numPr>
          <w:ilvl w:val="1"/>
          <w:numId w:val="24"/>
        </w:numPr>
        <w:autoSpaceDE w:val="0"/>
        <w:autoSpaceDN w:val="0"/>
        <w:adjustRightInd w:val="0"/>
        <w:ind w:left="1080"/>
        <w:rPr>
          <w:bCs/>
        </w:rPr>
      </w:pPr>
      <w:r>
        <w:rPr>
          <w:bCs/>
        </w:rPr>
        <w:t>Acting in an intoxicated manner on admission or during office visits</w:t>
      </w:r>
    </w:p>
    <w:p w14:paraId="3036DA72" w14:textId="5C047B50" w:rsidR="00C96847" w:rsidRDefault="00C96847" w:rsidP="00C8157B">
      <w:pPr>
        <w:numPr>
          <w:ilvl w:val="1"/>
          <w:numId w:val="24"/>
        </w:numPr>
        <w:autoSpaceDE w:val="0"/>
        <w:autoSpaceDN w:val="0"/>
        <w:adjustRightInd w:val="0"/>
        <w:ind w:left="1080"/>
        <w:rPr>
          <w:bCs/>
        </w:rPr>
      </w:pPr>
      <w:r>
        <w:rPr>
          <w:bCs/>
        </w:rPr>
        <w:t>Previous</w:t>
      </w:r>
      <w:r w:rsidR="00F50B87">
        <w:rPr>
          <w:bCs/>
        </w:rPr>
        <w:t>ly</w:t>
      </w:r>
      <w:r>
        <w:rPr>
          <w:bCs/>
        </w:rPr>
        <w:t xml:space="preserve"> unexplained late fetal demise </w:t>
      </w:r>
      <w:r w:rsidR="00E4482C">
        <w:rPr>
          <w:bCs/>
        </w:rPr>
        <w:t xml:space="preserve">or </w:t>
      </w:r>
      <w:r>
        <w:rPr>
          <w:bCs/>
        </w:rPr>
        <w:t>repeated spontaneous abortion</w:t>
      </w:r>
    </w:p>
    <w:p w14:paraId="43671F74" w14:textId="51B89D2E" w:rsidR="00C96847" w:rsidRDefault="00C96847" w:rsidP="00C8157B">
      <w:pPr>
        <w:numPr>
          <w:ilvl w:val="1"/>
          <w:numId w:val="24"/>
        </w:numPr>
        <w:autoSpaceDE w:val="0"/>
        <w:autoSpaceDN w:val="0"/>
        <w:adjustRightInd w:val="0"/>
        <w:ind w:left="1080"/>
        <w:rPr>
          <w:bCs/>
        </w:rPr>
      </w:pPr>
      <w:r>
        <w:rPr>
          <w:bCs/>
        </w:rPr>
        <w:t xml:space="preserve">Precipitous labor, </w:t>
      </w:r>
      <w:r w:rsidR="00153494">
        <w:rPr>
          <w:bCs/>
        </w:rPr>
        <w:t>placental abruption</w:t>
      </w:r>
      <w:r>
        <w:rPr>
          <w:bCs/>
        </w:rPr>
        <w:t xml:space="preserve">, hypertensive episodes, </w:t>
      </w:r>
      <w:r w:rsidR="00E4482C">
        <w:rPr>
          <w:bCs/>
        </w:rPr>
        <w:t xml:space="preserve">or </w:t>
      </w:r>
      <w:r>
        <w:rPr>
          <w:bCs/>
        </w:rPr>
        <w:t>severe mood swings</w:t>
      </w:r>
    </w:p>
    <w:p w14:paraId="662E8F63" w14:textId="7C0DB9FE" w:rsidR="00C96847" w:rsidRPr="00FA02E8" w:rsidRDefault="00C96847" w:rsidP="00C8157B">
      <w:pPr>
        <w:numPr>
          <w:ilvl w:val="1"/>
          <w:numId w:val="24"/>
        </w:numPr>
        <w:autoSpaceDE w:val="0"/>
        <w:autoSpaceDN w:val="0"/>
        <w:adjustRightInd w:val="0"/>
        <w:ind w:left="1080"/>
        <w:rPr>
          <w:bCs/>
        </w:rPr>
      </w:pPr>
      <w:r>
        <w:rPr>
          <w:bCs/>
        </w:rPr>
        <w:t>Cerebrovascular accidents</w:t>
      </w:r>
      <w:r w:rsidR="00CE1F5E">
        <w:rPr>
          <w:bCs/>
        </w:rPr>
        <w:t xml:space="preserve"> or</w:t>
      </w:r>
      <w:r>
        <w:rPr>
          <w:bCs/>
        </w:rPr>
        <w:t xml:space="preserve"> myocardial infarction</w:t>
      </w:r>
    </w:p>
    <w:p w14:paraId="233FB889" w14:textId="324544A4" w:rsidR="00C96847" w:rsidRPr="005A0DC9" w:rsidRDefault="00C96847" w:rsidP="00C8157B">
      <w:pPr>
        <w:numPr>
          <w:ilvl w:val="0"/>
          <w:numId w:val="24"/>
        </w:numPr>
        <w:autoSpaceDE w:val="0"/>
        <w:autoSpaceDN w:val="0"/>
        <w:adjustRightInd w:val="0"/>
        <w:rPr>
          <w:b/>
          <w:bCs/>
        </w:rPr>
      </w:pPr>
      <w:r>
        <w:rPr>
          <w:bCs/>
        </w:rPr>
        <w:t>Newborn urine and/or meconium screening</w:t>
      </w:r>
      <w:r w:rsidR="002B39CB">
        <w:rPr>
          <w:bCs/>
        </w:rPr>
        <w:t xml:space="preserve"> and/or umbilical cord </w:t>
      </w:r>
      <w:r w:rsidR="00795145">
        <w:rPr>
          <w:bCs/>
        </w:rPr>
        <w:t>testing</w:t>
      </w:r>
      <w:r>
        <w:rPr>
          <w:bCs/>
        </w:rPr>
        <w:t xml:space="preserve"> can be performed for recent substance use.</w:t>
      </w:r>
    </w:p>
    <w:p w14:paraId="6C5FFF16" w14:textId="09463B12" w:rsidR="00795145" w:rsidRDefault="00C96847" w:rsidP="00C8157B">
      <w:pPr>
        <w:numPr>
          <w:ilvl w:val="1"/>
          <w:numId w:val="24"/>
        </w:numPr>
        <w:autoSpaceDE w:val="0"/>
        <w:autoSpaceDN w:val="0"/>
        <w:adjustRightInd w:val="0"/>
        <w:ind w:left="1080"/>
        <w:rPr>
          <w:bCs/>
        </w:rPr>
      </w:pPr>
      <w:r>
        <w:rPr>
          <w:bCs/>
        </w:rPr>
        <w:t>False</w:t>
      </w:r>
      <w:r w:rsidR="000E30E9">
        <w:rPr>
          <w:bCs/>
        </w:rPr>
        <w:t xml:space="preserve"> </w:t>
      </w:r>
      <w:r>
        <w:rPr>
          <w:bCs/>
        </w:rPr>
        <w:t>negatives may occur more commonly with urine testing due to ur</w:t>
      </w:r>
      <w:r w:rsidR="00153494">
        <w:rPr>
          <w:bCs/>
        </w:rPr>
        <w:t>inary excretion of most drugs being</w:t>
      </w:r>
      <w:r>
        <w:rPr>
          <w:bCs/>
        </w:rPr>
        <w:t xml:space="preserve"> relatively short</w:t>
      </w:r>
      <w:r w:rsidR="000E30E9" w:rsidDel="000E30E9">
        <w:rPr>
          <w:bCs/>
        </w:rPr>
        <w:t xml:space="preserve"> </w:t>
      </w:r>
    </w:p>
    <w:p w14:paraId="6654CB1F" w14:textId="69A75F67" w:rsidR="00114360" w:rsidRPr="006B3A17" w:rsidRDefault="00114360" w:rsidP="00C8157B">
      <w:pPr>
        <w:numPr>
          <w:ilvl w:val="1"/>
          <w:numId w:val="24"/>
        </w:numPr>
        <w:autoSpaceDE w:val="0"/>
        <w:autoSpaceDN w:val="0"/>
        <w:adjustRightInd w:val="0"/>
        <w:ind w:left="1080"/>
        <w:rPr>
          <w:bCs/>
        </w:rPr>
      </w:pPr>
      <w:r>
        <w:rPr>
          <w:bCs/>
        </w:rPr>
        <w:t>False positives may also occur and should be confirmed prior to any reporting to child welfare (in states where that is required)</w:t>
      </w:r>
    </w:p>
    <w:p w14:paraId="51D9346D" w14:textId="396848E0" w:rsidR="00C96847" w:rsidRPr="006B3A17" w:rsidRDefault="00607BBB" w:rsidP="00C8157B">
      <w:pPr>
        <w:numPr>
          <w:ilvl w:val="1"/>
          <w:numId w:val="24"/>
        </w:numPr>
        <w:autoSpaceDE w:val="0"/>
        <w:autoSpaceDN w:val="0"/>
        <w:adjustRightInd w:val="0"/>
        <w:ind w:left="1080"/>
        <w:rPr>
          <w:b/>
          <w:bCs/>
        </w:rPr>
      </w:pPr>
      <w:r>
        <w:rPr>
          <w:bCs/>
        </w:rPr>
        <w:t xml:space="preserve">Meconium screening and </w:t>
      </w:r>
      <w:r w:rsidR="000E30E9">
        <w:rPr>
          <w:bCs/>
        </w:rPr>
        <w:t>u</w:t>
      </w:r>
      <w:r w:rsidR="00C96847">
        <w:rPr>
          <w:bCs/>
        </w:rPr>
        <w:t xml:space="preserve">mbilical cord </w:t>
      </w:r>
      <w:r>
        <w:rPr>
          <w:bCs/>
        </w:rPr>
        <w:t xml:space="preserve">testing both have a window of detection up to 20 weeks prior to delivery </w:t>
      </w:r>
    </w:p>
    <w:p w14:paraId="14BD13E4" w14:textId="3F8C2587" w:rsidR="00C96847" w:rsidRPr="0032027C" w:rsidRDefault="00C96847" w:rsidP="009E441D">
      <w:pPr>
        <w:numPr>
          <w:ilvl w:val="0"/>
          <w:numId w:val="13"/>
        </w:numPr>
        <w:ind w:left="360"/>
        <w:rPr>
          <w:bCs/>
          <w:i/>
        </w:rPr>
      </w:pPr>
      <w:r w:rsidRPr="0032027C">
        <w:rPr>
          <w:bCs/>
          <w:i/>
        </w:rPr>
        <w:t>Observation</w:t>
      </w:r>
      <w:r w:rsidR="005D625A">
        <w:rPr>
          <w:bCs/>
          <w:i/>
        </w:rPr>
        <w:t xml:space="preserve"> location</w:t>
      </w:r>
      <w:r w:rsidR="00D918A6">
        <w:rPr>
          <w:bCs/>
          <w:i/>
        </w:rPr>
        <w:t>/</w:t>
      </w:r>
      <w:r w:rsidRPr="0032027C">
        <w:rPr>
          <w:bCs/>
          <w:i/>
        </w:rPr>
        <w:t>Assessment</w:t>
      </w:r>
      <w:r w:rsidR="005D625A">
        <w:rPr>
          <w:bCs/>
          <w:i/>
        </w:rPr>
        <w:t xml:space="preserve"> tool</w:t>
      </w:r>
      <w:r w:rsidR="00F50B87">
        <w:rPr>
          <w:bCs/>
          <w:i/>
        </w:rPr>
        <w:t>/Level of Care</w:t>
      </w:r>
    </w:p>
    <w:p w14:paraId="09508FD2" w14:textId="4F7224D3" w:rsidR="005D625A" w:rsidRDefault="005D625A">
      <w:pPr>
        <w:numPr>
          <w:ilvl w:val="0"/>
          <w:numId w:val="14"/>
        </w:numPr>
        <w:autoSpaceDE w:val="0"/>
        <w:autoSpaceDN w:val="0"/>
        <w:adjustRightInd w:val="0"/>
        <w:rPr>
          <w:bCs/>
        </w:rPr>
      </w:pPr>
      <w:r>
        <w:rPr>
          <w:bCs/>
        </w:rPr>
        <w:t>If the hospital uses the Eat, Sleep, Console</w:t>
      </w:r>
      <w:r w:rsidR="004224E6">
        <w:rPr>
          <w:bCs/>
        </w:rPr>
        <w:t xml:space="preserve"> (ESC)</w:t>
      </w:r>
      <w:r>
        <w:rPr>
          <w:bCs/>
        </w:rPr>
        <w:t xml:space="preserve"> assessment tool for infants at risk for NAS, </w:t>
      </w:r>
      <w:r w:rsidR="00F50B87">
        <w:rPr>
          <w:bCs/>
        </w:rPr>
        <w:t>the infant</w:t>
      </w:r>
      <w:r>
        <w:rPr>
          <w:bCs/>
        </w:rPr>
        <w:t xml:space="preserve"> may remain </w:t>
      </w:r>
      <w:r w:rsidR="008C63D7">
        <w:rPr>
          <w:bCs/>
        </w:rPr>
        <w:t xml:space="preserve">in the room </w:t>
      </w:r>
      <w:r>
        <w:rPr>
          <w:bCs/>
        </w:rPr>
        <w:t xml:space="preserve">with the </w:t>
      </w:r>
      <w:r w:rsidR="004224E6">
        <w:rPr>
          <w:bCs/>
        </w:rPr>
        <w:t xml:space="preserve">primary </w:t>
      </w:r>
      <w:r>
        <w:rPr>
          <w:bCs/>
        </w:rPr>
        <w:t>caregiver</w:t>
      </w:r>
      <w:r w:rsidR="004224E6">
        <w:rPr>
          <w:bCs/>
        </w:rPr>
        <w:t xml:space="preserve"> </w:t>
      </w:r>
      <w:r>
        <w:rPr>
          <w:bCs/>
        </w:rPr>
        <w:t xml:space="preserve">to provide intensive </w:t>
      </w:r>
      <w:r>
        <w:rPr>
          <w:bCs/>
        </w:rPr>
        <w:lastRenderedPageBreak/>
        <w:t xml:space="preserve">comfort care measures and to promote </w:t>
      </w:r>
      <w:r w:rsidR="008C63D7">
        <w:rPr>
          <w:bCs/>
        </w:rPr>
        <w:t>caregiver</w:t>
      </w:r>
      <w:r>
        <w:rPr>
          <w:bCs/>
        </w:rPr>
        <w:t xml:space="preserve"> bonding and breastfeeding</w:t>
      </w:r>
      <w:r w:rsidR="00321E91">
        <w:rPr>
          <w:bCs/>
        </w:rPr>
        <w:t>/chestfeeding</w:t>
      </w:r>
      <w:r>
        <w:rPr>
          <w:bCs/>
        </w:rPr>
        <w:t xml:space="preserve">.  This </w:t>
      </w:r>
      <w:r w:rsidR="008C63D7">
        <w:rPr>
          <w:bCs/>
        </w:rPr>
        <w:t>is</w:t>
      </w:r>
      <w:r>
        <w:rPr>
          <w:bCs/>
        </w:rPr>
        <w:t xml:space="preserve"> considered Level II care</w:t>
      </w:r>
      <w:r w:rsidR="008C63D7">
        <w:rPr>
          <w:bCs/>
        </w:rPr>
        <w:t xml:space="preserve"> with or without the need for medications</w:t>
      </w:r>
      <w:r>
        <w:rPr>
          <w:bCs/>
        </w:rPr>
        <w:t>.</w:t>
      </w:r>
      <w:r w:rsidR="008C63D7">
        <w:rPr>
          <w:bCs/>
        </w:rPr>
        <w:t xml:space="preserve"> The baby does not have to be transferred from his/her caregiver to </w:t>
      </w:r>
      <w:r w:rsidR="005959BF">
        <w:rPr>
          <w:bCs/>
        </w:rPr>
        <w:t xml:space="preserve">the neonatal intensive care unit </w:t>
      </w:r>
      <w:r w:rsidR="005959BF" w:rsidRPr="00C83D8E">
        <w:rPr>
          <w:bCs/>
        </w:rPr>
        <w:t>(</w:t>
      </w:r>
      <w:r w:rsidR="008C63D7" w:rsidRPr="00C83D8E">
        <w:rPr>
          <w:bCs/>
        </w:rPr>
        <w:t>NICU</w:t>
      </w:r>
      <w:r w:rsidR="005959BF" w:rsidRPr="00C83D8E">
        <w:rPr>
          <w:bCs/>
        </w:rPr>
        <w:t>)</w:t>
      </w:r>
      <w:r w:rsidR="008C63D7" w:rsidRPr="00C83D8E">
        <w:rPr>
          <w:bCs/>
        </w:rPr>
        <w:t xml:space="preserve"> for Level II</w:t>
      </w:r>
      <w:r w:rsidR="008C63D7">
        <w:rPr>
          <w:bCs/>
        </w:rPr>
        <w:t xml:space="preserve"> care to be authorized so long as the </w:t>
      </w:r>
      <w:r w:rsidR="004224E6">
        <w:rPr>
          <w:bCs/>
        </w:rPr>
        <w:t>ESC</w:t>
      </w:r>
      <w:r w:rsidR="008C63D7">
        <w:rPr>
          <w:bCs/>
        </w:rPr>
        <w:t xml:space="preserve"> assessment tool is being used and followed.   </w:t>
      </w:r>
    </w:p>
    <w:p w14:paraId="34B0C096" w14:textId="1C042E94" w:rsidR="00C96847" w:rsidRPr="00AD55E8" w:rsidRDefault="005D625A">
      <w:pPr>
        <w:numPr>
          <w:ilvl w:val="0"/>
          <w:numId w:val="14"/>
        </w:numPr>
        <w:autoSpaceDE w:val="0"/>
        <w:autoSpaceDN w:val="0"/>
        <w:adjustRightInd w:val="0"/>
        <w:rPr>
          <w:bCs/>
        </w:rPr>
      </w:pPr>
      <w:r>
        <w:rPr>
          <w:bCs/>
        </w:rPr>
        <w:t>If the hospital uses the</w:t>
      </w:r>
      <w:r w:rsidR="0011328A">
        <w:rPr>
          <w:bCs/>
        </w:rPr>
        <w:t xml:space="preserve"> older</w:t>
      </w:r>
      <w:r>
        <w:rPr>
          <w:bCs/>
        </w:rPr>
        <w:t xml:space="preserve"> </w:t>
      </w:r>
      <w:r w:rsidR="00C96847" w:rsidRPr="005A0DC9">
        <w:rPr>
          <w:bCs/>
        </w:rPr>
        <w:t>mod</w:t>
      </w:r>
      <w:r w:rsidR="00C96847">
        <w:rPr>
          <w:bCs/>
        </w:rPr>
        <w:t>ified Finnegan Neonatal Abstinence Scoring Tool</w:t>
      </w:r>
      <w:r w:rsidR="008300FA">
        <w:rPr>
          <w:bCs/>
        </w:rPr>
        <w:t xml:space="preserve"> (FNAST)</w:t>
      </w:r>
      <w:r>
        <w:rPr>
          <w:bCs/>
        </w:rPr>
        <w:t>, infants</w:t>
      </w:r>
      <w:r w:rsidR="009F7EBD">
        <w:rPr>
          <w:bCs/>
        </w:rPr>
        <w:t xml:space="preserve"> at risk for NAS should be observed in the neonatal nursery for signs/symptoms of neonatal withdrawal. Level II care is appropriate under the modified </w:t>
      </w:r>
      <w:r w:rsidR="00101CCB">
        <w:rPr>
          <w:bCs/>
        </w:rPr>
        <w:t xml:space="preserve">FNAST </w:t>
      </w:r>
      <w:r w:rsidR="009F7EBD">
        <w:rPr>
          <w:bCs/>
        </w:rPr>
        <w:t xml:space="preserve">if medications are given and/or if the baby is transferred to the NICU. A copy of the </w:t>
      </w:r>
      <w:r w:rsidR="009F7EBD" w:rsidRPr="00E521E8">
        <w:rPr>
          <w:bCs/>
        </w:rPr>
        <w:t xml:space="preserve">modified </w:t>
      </w:r>
      <w:r w:rsidR="009F601B">
        <w:rPr>
          <w:bCs/>
        </w:rPr>
        <w:t>FNAST</w:t>
      </w:r>
      <w:r w:rsidR="009F7EBD">
        <w:rPr>
          <w:bCs/>
        </w:rPr>
        <w:t xml:space="preserve"> is available at</w:t>
      </w:r>
      <w:r w:rsidR="004224E6">
        <w:rPr>
          <w:bCs/>
        </w:rPr>
        <w:t xml:space="preserve"> </w:t>
      </w:r>
      <w:hyperlink r:id="rId17" w:history="1">
        <w:r w:rsidR="00AD55E8" w:rsidRPr="00AD55E8">
          <w:rPr>
            <w:rStyle w:val="Hyperlink"/>
            <w:bCs/>
          </w:rPr>
          <w:t>http://www.academyofneonatalnursing.org/NAS/FinneganNASTool.pdf</w:t>
        </w:r>
      </w:hyperlink>
    </w:p>
    <w:p w14:paraId="7BD8FB27" w14:textId="7302AE8F" w:rsidR="00C96847" w:rsidRDefault="00AD55E8" w:rsidP="009E441D">
      <w:pPr>
        <w:numPr>
          <w:ilvl w:val="0"/>
          <w:numId w:val="14"/>
        </w:numPr>
        <w:autoSpaceDE w:val="0"/>
        <w:autoSpaceDN w:val="0"/>
        <w:adjustRightInd w:val="0"/>
        <w:rPr>
          <w:bCs/>
        </w:rPr>
      </w:pPr>
      <w:r>
        <w:rPr>
          <w:bCs/>
        </w:rPr>
        <w:t>T</w:t>
      </w:r>
      <w:r w:rsidR="00C96847">
        <w:rPr>
          <w:bCs/>
        </w:rPr>
        <w:t xml:space="preserve">iming and severity of withdrawal symptoms depends upon the maternal </w:t>
      </w:r>
      <w:r w:rsidR="009E341E">
        <w:rPr>
          <w:bCs/>
        </w:rPr>
        <w:t>substances</w:t>
      </w:r>
      <w:r w:rsidR="00C96847">
        <w:rPr>
          <w:bCs/>
        </w:rPr>
        <w:t xml:space="preserve">(s) used and last time of use. Duration of neonatal nursery observation should be dependent on the half-life of the </w:t>
      </w:r>
      <w:r w:rsidR="00D16659">
        <w:rPr>
          <w:bCs/>
        </w:rPr>
        <w:t>medication/substance</w:t>
      </w:r>
      <w:r w:rsidR="000C5F51">
        <w:rPr>
          <w:bCs/>
        </w:rPr>
        <w:t xml:space="preserve"> based on usage/prescription history</w:t>
      </w:r>
      <w:r w:rsidR="00C96847">
        <w:rPr>
          <w:bCs/>
        </w:rPr>
        <w:t>.</w:t>
      </w:r>
    </w:p>
    <w:p w14:paraId="4E27FE01" w14:textId="6B24FA49" w:rsidR="00C96847" w:rsidRDefault="00C96847" w:rsidP="009E441D">
      <w:pPr>
        <w:numPr>
          <w:ilvl w:val="0"/>
          <w:numId w:val="19"/>
        </w:numPr>
        <w:autoSpaceDE w:val="0"/>
        <w:autoSpaceDN w:val="0"/>
        <w:adjustRightInd w:val="0"/>
        <w:ind w:left="1080"/>
        <w:rPr>
          <w:bCs/>
        </w:rPr>
      </w:pPr>
      <w:r>
        <w:rPr>
          <w:bCs/>
        </w:rPr>
        <w:t>For example</w:t>
      </w:r>
      <w:r w:rsidR="00153494">
        <w:rPr>
          <w:bCs/>
        </w:rPr>
        <w:t xml:space="preserve"> use of </w:t>
      </w:r>
      <w:r>
        <w:rPr>
          <w:bCs/>
        </w:rPr>
        <w:t xml:space="preserve">a </w:t>
      </w:r>
      <w:r w:rsidR="000200FC">
        <w:rPr>
          <w:bCs/>
        </w:rPr>
        <w:t xml:space="preserve">substance/medication by a </w:t>
      </w:r>
      <w:r w:rsidR="00A70C3F">
        <w:rPr>
          <w:bCs/>
        </w:rPr>
        <w:t xml:space="preserve">birthing </w:t>
      </w:r>
      <w:r w:rsidR="003C3D4E">
        <w:rPr>
          <w:bCs/>
        </w:rPr>
        <w:t xml:space="preserve">individual </w:t>
      </w:r>
      <w:r>
        <w:rPr>
          <w:bCs/>
        </w:rPr>
        <w:t xml:space="preserve">with a </w:t>
      </w:r>
      <w:r w:rsidRPr="00E521E8">
        <w:rPr>
          <w:bCs/>
        </w:rPr>
        <w:t>short half-life</w:t>
      </w:r>
      <w:r>
        <w:rPr>
          <w:bCs/>
        </w:rPr>
        <w:t xml:space="preserve"> of </w:t>
      </w:r>
      <w:r w:rsidR="00E96D65">
        <w:rPr>
          <w:bCs/>
        </w:rPr>
        <w:t>four</w:t>
      </w:r>
      <w:r>
        <w:rPr>
          <w:bCs/>
        </w:rPr>
        <w:t xml:space="preserve"> hours (</w:t>
      </w:r>
      <w:r w:rsidR="00B87EE2">
        <w:rPr>
          <w:bCs/>
        </w:rPr>
        <w:t>e.g.</w:t>
      </w:r>
      <w:r>
        <w:rPr>
          <w:bCs/>
        </w:rPr>
        <w:t xml:space="preserve"> hydrocodone) </w:t>
      </w:r>
      <w:r w:rsidR="00153494">
        <w:rPr>
          <w:bCs/>
        </w:rPr>
        <w:t xml:space="preserve">indicates an infant </w:t>
      </w:r>
      <w:r>
        <w:rPr>
          <w:bCs/>
        </w:rPr>
        <w:t>may be safely discharged if there are no</w:t>
      </w:r>
      <w:r w:rsidR="002F4F3A">
        <w:rPr>
          <w:bCs/>
        </w:rPr>
        <w:t xml:space="preserve"> concerning symptoms</w:t>
      </w:r>
      <w:r>
        <w:rPr>
          <w:bCs/>
        </w:rPr>
        <w:t xml:space="preserve"> by </w:t>
      </w:r>
      <w:r w:rsidR="005E600F">
        <w:rPr>
          <w:bCs/>
        </w:rPr>
        <w:t>three</w:t>
      </w:r>
      <w:r>
        <w:rPr>
          <w:bCs/>
        </w:rPr>
        <w:t xml:space="preserve"> days of age.</w:t>
      </w:r>
    </w:p>
    <w:p w14:paraId="36C874E9" w14:textId="1DE382E1" w:rsidR="005D625A" w:rsidRDefault="00153494" w:rsidP="009E441D">
      <w:pPr>
        <w:numPr>
          <w:ilvl w:val="0"/>
          <w:numId w:val="19"/>
        </w:numPr>
        <w:autoSpaceDE w:val="0"/>
        <w:autoSpaceDN w:val="0"/>
        <w:adjustRightInd w:val="0"/>
        <w:ind w:left="1080"/>
        <w:rPr>
          <w:bCs/>
        </w:rPr>
      </w:pPr>
      <w:r>
        <w:rPr>
          <w:bCs/>
        </w:rPr>
        <w:t>Maternal use of a</w:t>
      </w:r>
      <w:r w:rsidR="00C96847">
        <w:rPr>
          <w:bCs/>
        </w:rPr>
        <w:t xml:space="preserve"> </w:t>
      </w:r>
      <w:r w:rsidR="002F4F3A">
        <w:rPr>
          <w:bCs/>
        </w:rPr>
        <w:t>substance/medication</w:t>
      </w:r>
      <w:r w:rsidR="00C96847">
        <w:rPr>
          <w:bCs/>
        </w:rPr>
        <w:t xml:space="preserve"> with a </w:t>
      </w:r>
      <w:r w:rsidR="00C96847" w:rsidRPr="00E521E8">
        <w:rPr>
          <w:bCs/>
        </w:rPr>
        <w:t>prolonged half-life</w:t>
      </w:r>
      <w:r w:rsidR="00C96847">
        <w:rPr>
          <w:bCs/>
        </w:rPr>
        <w:t xml:space="preserve"> (</w:t>
      </w:r>
      <w:r w:rsidR="00B87EE2">
        <w:rPr>
          <w:bCs/>
        </w:rPr>
        <w:t>e.g.</w:t>
      </w:r>
      <w:r w:rsidR="00FC3343">
        <w:rPr>
          <w:bCs/>
        </w:rPr>
        <w:t>,</w:t>
      </w:r>
      <w:r w:rsidR="00C96847">
        <w:rPr>
          <w:bCs/>
        </w:rPr>
        <w:t xml:space="preserve"> methadone) </w:t>
      </w:r>
      <w:r>
        <w:rPr>
          <w:bCs/>
        </w:rPr>
        <w:t xml:space="preserve">indicates an infant </w:t>
      </w:r>
      <w:r w:rsidR="00C96847">
        <w:rPr>
          <w:bCs/>
        </w:rPr>
        <w:t xml:space="preserve">should be observed for a minimum of </w:t>
      </w:r>
      <w:r w:rsidR="005E600F">
        <w:rPr>
          <w:bCs/>
        </w:rPr>
        <w:t>five</w:t>
      </w:r>
      <w:r w:rsidR="00C96847">
        <w:rPr>
          <w:bCs/>
        </w:rPr>
        <w:t xml:space="preserve"> to </w:t>
      </w:r>
      <w:r w:rsidR="005E600F">
        <w:rPr>
          <w:bCs/>
        </w:rPr>
        <w:t>seven</w:t>
      </w:r>
      <w:r w:rsidR="00C96847">
        <w:rPr>
          <w:bCs/>
        </w:rPr>
        <w:t xml:space="preserve"> days.</w:t>
      </w:r>
    </w:p>
    <w:p w14:paraId="6385FEC8" w14:textId="77777777" w:rsidR="003436BD" w:rsidRDefault="005D625A" w:rsidP="003E4947">
      <w:pPr>
        <w:numPr>
          <w:ilvl w:val="0"/>
          <w:numId w:val="19"/>
        </w:numPr>
        <w:autoSpaceDE w:val="0"/>
        <w:autoSpaceDN w:val="0"/>
        <w:adjustRightInd w:val="0"/>
        <w:ind w:left="1080"/>
        <w:rPr>
          <w:bCs/>
        </w:rPr>
      </w:pPr>
      <w:r w:rsidRPr="00E521E8">
        <w:rPr>
          <w:bCs/>
        </w:rPr>
        <w:t>Polysubstance abuse</w:t>
      </w:r>
      <w:r>
        <w:rPr>
          <w:bCs/>
        </w:rPr>
        <w:t xml:space="preserve"> and/or unknown substance use should be observed for a minimum of </w:t>
      </w:r>
      <w:r w:rsidR="00295A49">
        <w:rPr>
          <w:bCs/>
        </w:rPr>
        <w:t>five</w:t>
      </w:r>
      <w:r>
        <w:rPr>
          <w:bCs/>
        </w:rPr>
        <w:t xml:space="preserve"> to </w:t>
      </w:r>
      <w:r w:rsidR="00295A49">
        <w:rPr>
          <w:bCs/>
        </w:rPr>
        <w:t>seven</w:t>
      </w:r>
      <w:r>
        <w:rPr>
          <w:bCs/>
        </w:rPr>
        <w:t xml:space="preserve"> days.</w:t>
      </w:r>
    </w:p>
    <w:p w14:paraId="5A0F70C2" w14:textId="1D65AC0E" w:rsidR="006E403B" w:rsidRPr="006E403B" w:rsidRDefault="003D3089" w:rsidP="006E403B">
      <w:pPr>
        <w:pStyle w:val="ListParagraph"/>
        <w:numPr>
          <w:ilvl w:val="0"/>
          <w:numId w:val="14"/>
        </w:numPr>
        <w:tabs>
          <w:tab w:val="left" w:pos="270"/>
        </w:tabs>
        <w:autoSpaceDE w:val="0"/>
        <w:autoSpaceDN w:val="0"/>
        <w:adjustRightInd w:val="0"/>
        <w:rPr>
          <w:bCs/>
        </w:rPr>
      </w:pPr>
      <w:r w:rsidRPr="006E403B">
        <w:rPr>
          <w:bCs/>
        </w:rPr>
        <w:t xml:space="preserve">Some hospitals may </w:t>
      </w:r>
      <w:r w:rsidR="003E4947" w:rsidRPr="006E403B">
        <w:rPr>
          <w:bCs/>
        </w:rPr>
        <w:t xml:space="preserve">continue to </w:t>
      </w:r>
      <w:r w:rsidR="002A3C4B" w:rsidRPr="006E403B">
        <w:rPr>
          <w:bCs/>
        </w:rPr>
        <w:t xml:space="preserve">assess using </w:t>
      </w:r>
      <w:r w:rsidR="0011328A" w:rsidRPr="006E403B">
        <w:rPr>
          <w:bCs/>
        </w:rPr>
        <w:t xml:space="preserve">modified Finnegan scoring </w:t>
      </w:r>
      <w:r w:rsidR="00980157" w:rsidRPr="006E403B">
        <w:rPr>
          <w:bCs/>
        </w:rPr>
        <w:t xml:space="preserve">along </w:t>
      </w:r>
      <w:r w:rsidR="0011328A" w:rsidRPr="006E403B">
        <w:rPr>
          <w:bCs/>
        </w:rPr>
        <w:t xml:space="preserve">with </w:t>
      </w:r>
      <w:r w:rsidR="004224E6" w:rsidRPr="006E403B">
        <w:rPr>
          <w:bCs/>
        </w:rPr>
        <w:t>ESC</w:t>
      </w:r>
    </w:p>
    <w:p w14:paraId="3BC572FD" w14:textId="37BF5438" w:rsidR="003E4947" w:rsidRPr="006E403B" w:rsidRDefault="0011328A" w:rsidP="0048354B">
      <w:pPr>
        <w:pStyle w:val="ListParagraph"/>
        <w:tabs>
          <w:tab w:val="left" w:pos="270"/>
        </w:tabs>
        <w:autoSpaceDE w:val="0"/>
        <w:autoSpaceDN w:val="0"/>
        <w:adjustRightInd w:val="0"/>
        <w:rPr>
          <w:bCs/>
        </w:rPr>
      </w:pPr>
      <w:r w:rsidRPr="006E403B">
        <w:rPr>
          <w:bCs/>
        </w:rPr>
        <w:t>scoring</w:t>
      </w:r>
      <w:r w:rsidR="003D3089" w:rsidRPr="006E403B">
        <w:rPr>
          <w:bCs/>
        </w:rPr>
        <w:t xml:space="preserve">. </w:t>
      </w:r>
      <w:r w:rsidR="00980157" w:rsidRPr="006E403B">
        <w:rPr>
          <w:bCs/>
        </w:rPr>
        <w:t>However, only the scoring system used to direct care decisions should inform medical necessity for the requested level of care.</w:t>
      </w:r>
      <w:r w:rsidR="003D3089" w:rsidRPr="006E403B">
        <w:rPr>
          <w:bCs/>
        </w:rPr>
        <w:t xml:space="preserve"> </w:t>
      </w:r>
    </w:p>
    <w:p w14:paraId="433884DF" w14:textId="77777777" w:rsidR="00C96847" w:rsidRPr="0032027C" w:rsidRDefault="00C96847" w:rsidP="00A628EB">
      <w:pPr>
        <w:numPr>
          <w:ilvl w:val="0"/>
          <w:numId w:val="13"/>
        </w:numPr>
        <w:ind w:left="360"/>
        <w:rPr>
          <w:bCs/>
          <w:i/>
        </w:rPr>
      </w:pPr>
      <w:r w:rsidRPr="0032027C">
        <w:rPr>
          <w:bCs/>
          <w:i/>
        </w:rPr>
        <w:t>Diagnosis</w:t>
      </w:r>
    </w:p>
    <w:p w14:paraId="6A4E430A" w14:textId="0CF8A170" w:rsidR="00C96847" w:rsidRDefault="00C96847" w:rsidP="009E441D">
      <w:pPr>
        <w:numPr>
          <w:ilvl w:val="0"/>
          <w:numId w:val="18"/>
        </w:numPr>
        <w:autoSpaceDE w:val="0"/>
        <w:autoSpaceDN w:val="0"/>
        <w:adjustRightInd w:val="0"/>
        <w:rPr>
          <w:bCs/>
        </w:rPr>
      </w:pPr>
      <w:r>
        <w:rPr>
          <w:bCs/>
        </w:rPr>
        <w:t xml:space="preserve">Withdrawal symptoms such as seizures, fever, irritability, and poor feeding can all be signs of other conditions. Appropriate assessment and diagnostic tests are </w:t>
      </w:r>
      <w:r w:rsidR="002A349F">
        <w:rPr>
          <w:bCs/>
        </w:rPr>
        <w:t xml:space="preserve">necessary </w:t>
      </w:r>
      <w:r>
        <w:rPr>
          <w:bCs/>
        </w:rPr>
        <w:t xml:space="preserve">to differentiate NAS from other diagnoses.  </w:t>
      </w:r>
    </w:p>
    <w:p w14:paraId="576EC347" w14:textId="21F268B8" w:rsidR="00C96847" w:rsidRDefault="00C96847" w:rsidP="009E441D">
      <w:pPr>
        <w:numPr>
          <w:ilvl w:val="0"/>
          <w:numId w:val="18"/>
        </w:numPr>
        <w:autoSpaceDE w:val="0"/>
        <w:autoSpaceDN w:val="0"/>
        <w:adjustRightInd w:val="0"/>
        <w:rPr>
          <w:bCs/>
        </w:rPr>
      </w:pPr>
      <w:r>
        <w:rPr>
          <w:bCs/>
        </w:rPr>
        <w:t xml:space="preserve">Clinical diagnosis is made based on history of </w:t>
      </w:r>
      <w:r w:rsidR="003577D4">
        <w:rPr>
          <w:bCs/>
        </w:rPr>
        <w:t>substance/medication use</w:t>
      </w:r>
      <w:r w:rsidR="00FE5678">
        <w:rPr>
          <w:bCs/>
        </w:rPr>
        <w:t xml:space="preserve"> in the </w:t>
      </w:r>
      <w:r w:rsidR="00A70C3F">
        <w:rPr>
          <w:bCs/>
        </w:rPr>
        <w:t xml:space="preserve">birthing </w:t>
      </w:r>
      <w:r w:rsidR="003C3D4E">
        <w:rPr>
          <w:bCs/>
        </w:rPr>
        <w:t xml:space="preserve">individual </w:t>
      </w:r>
      <w:r>
        <w:rPr>
          <w:bCs/>
        </w:rPr>
        <w:t>and neonatal screening, observation</w:t>
      </w:r>
      <w:r w:rsidR="00B87EE2">
        <w:rPr>
          <w:bCs/>
        </w:rPr>
        <w:t>,</w:t>
      </w:r>
      <w:r>
        <w:rPr>
          <w:bCs/>
        </w:rPr>
        <w:t xml:space="preserve"> and assessment findings</w:t>
      </w:r>
      <w:r w:rsidR="00B87EE2">
        <w:rPr>
          <w:bCs/>
        </w:rPr>
        <w:t>.</w:t>
      </w:r>
    </w:p>
    <w:p w14:paraId="4F46632B" w14:textId="77777777" w:rsidR="00C96847" w:rsidRPr="0032027C" w:rsidRDefault="00C96847" w:rsidP="009E441D">
      <w:pPr>
        <w:numPr>
          <w:ilvl w:val="0"/>
          <w:numId w:val="13"/>
        </w:numPr>
        <w:ind w:left="360"/>
        <w:rPr>
          <w:bCs/>
          <w:i/>
        </w:rPr>
      </w:pPr>
      <w:r w:rsidRPr="0032027C">
        <w:rPr>
          <w:bCs/>
          <w:i/>
        </w:rPr>
        <w:t>Treatment</w:t>
      </w:r>
    </w:p>
    <w:p w14:paraId="5A57436F" w14:textId="77777777" w:rsidR="00C96847" w:rsidRDefault="00C96847" w:rsidP="009E441D">
      <w:pPr>
        <w:numPr>
          <w:ilvl w:val="0"/>
          <w:numId w:val="15"/>
        </w:numPr>
        <w:autoSpaceDE w:val="0"/>
        <w:autoSpaceDN w:val="0"/>
        <w:adjustRightInd w:val="0"/>
        <w:rPr>
          <w:bCs/>
        </w:rPr>
      </w:pPr>
      <w:r>
        <w:rPr>
          <w:bCs/>
        </w:rPr>
        <w:t>Nonpharmacologic</w:t>
      </w:r>
    </w:p>
    <w:p w14:paraId="60C2D8DB" w14:textId="5827600A" w:rsidR="00C96847" w:rsidRPr="005909CF" w:rsidRDefault="00C96847" w:rsidP="005909CF">
      <w:pPr>
        <w:numPr>
          <w:ilvl w:val="0"/>
          <w:numId w:val="16"/>
        </w:numPr>
        <w:autoSpaceDE w:val="0"/>
        <w:autoSpaceDN w:val="0"/>
        <w:adjustRightInd w:val="0"/>
        <w:ind w:left="1080"/>
        <w:rPr>
          <w:bCs/>
        </w:rPr>
      </w:pPr>
      <w:r w:rsidRPr="005909CF">
        <w:rPr>
          <w:bCs/>
        </w:rPr>
        <w:t>Infants showing early signs of withdrawal</w:t>
      </w:r>
      <w:r w:rsidR="00895174">
        <w:rPr>
          <w:bCs/>
        </w:rPr>
        <w:t>, or problems with neonatal adaptation,</w:t>
      </w:r>
      <w:r w:rsidRPr="005909CF">
        <w:rPr>
          <w:bCs/>
        </w:rPr>
        <w:t xml:space="preserve"> should have treatment directed at minimizing environmental stimuli. This includes placing the infant in a dark, quiet environment, careful positioning</w:t>
      </w:r>
      <w:r w:rsidR="00F33525">
        <w:rPr>
          <w:bCs/>
        </w:rPr>
        <w:t>,</w:t>
      </w:r>
      <w:r w:rsidRPr="005909CF">
        <w:rPr>
          <w:bCs/>
        </w:rPr>
        <w:t xml:space="preserve"> and comfort techniques such as swaddling, responding early to an infant’s signals, and </w:t>
      </w:r>
      <w:r w:rsidR="00F50B87">
        <w:rPr>
          <w:bCs/>
        </w:rPr>
        <w:t>breastfeeding</w:t>
      </w:r>
      <w:r w:rsidR="00321E91">
        <w:rPr>
          <w:bCs/>
        </w:rPr>
        <w:t>/chestfeeding</w:t>
      </w:r>
      <w:r w:rsidR="00F50B87">
        <w:rPr>
          <w:bCs/>
        </w:rPr>
        <w:t xml:space="preserve"> or formula </w:t>
      </w:r>
      <w:r w:rsidR="00980157">
        <w:rPr>
          <w:bCs/>
        </w:rPr>
        <w:t xml:space="preserve">feeding </w:t>
      </w:r>
      <w:r w:rsidR="00F50B87">
        <w:rPr>
          <w:bCs/>
        </w:rPr>
        <w:t>as indicated</w:t>
      </w:r>
      <w:r w:rsidRPr="005909CF">
        <w:rPr>
          <w:bCs/>
        </w:rPr>
        <w:t xml:space="preserve">. </w:t>
      </w:r>
      <w:r w:rsidR="005909CF" w:rsidRPr="005909CF">
        <w:rPr>
          <w:bCs/>
        </w:rPr>
        <w:t>Rooming-in (</w:t>
      </w:r>
      <w:r w:rsidR="00A1040A" w:rsidRPr="005909CF">
        <w:rPr>
          <w:bCs/>
        </w:rPr>
        <w:t>i.e.</w:t>
      </w:r>
      <w:r w:rsidR="005909CF" w:rsidRPr="005909CF">
        <w:rPr>
          <w:bCs/>
        </w:rPr>
        <w:t>, the co</w:t>
      </w:r>
      <w:r w:rsidR="00F50B87">
        <w:rPr>
          <w:bCs/>
        </w:rPr>
        <w:t>-</w:t>
      </w:r>
      <w:r w:rsidR="005909CF" w:rsidRPr="005909CF">
        <w:rPr>
          <w:bCs/>
        </w:rPr>
        <w:t>location of maternal and infant care after delivery and beyond) has been shown to reduce NAS severity</w:t>
      </w:r>
      <w:r w:rsidR="005909CF">
        <w:rPr>
          <w:bCs/>
        </w:rPr>
        <w:t>.</w:t>
      </w:r>
    </w:p>
    <w:p w14:paraId="2E063A1A" w14:textId="77777777" w:rsidR="00C96847" w:rsidRDefault="00C96847" w:rsidP="009E441D">
      <w:pPr>
        <w:numPr>
          <w:ilvl w:val="0"/>
          <w:numId w:val="16"/>
        </w:numPr>
        <w:autoSpaceDE w:val="0"/>
        <w:autoSpaceDN w:val="0"/>
        <w:adjustRightInd w:val="0"/>
        <w:ind w:left="1080"/>
        <w:rPr>
          <w:bCs/>
        </w:rPr>
      </w:pPr>
      <w:r>
        <w:rPr>
          <w:bCs/>
        </w:rPr>
        <w:t>Careful observation for signs of fever, dehydration or weight loss</w:t>
      </w:r>
      <w:r w:rsidR="00153494">
        <w:rPr>
          <w:bCs/>
        </w:rPr>
        <w:t>.</w:t>
      </w:r>
    </w:p>
    <w:p w14:paraId="3FEFCA8B" w14:textId="77777777" w:rsidR="00C96847" w:rsidRPr="00586830" w:rsidRDefault="00C96847" w:rsidP="009E441D">
      <w:pPr>
        <w:numPr>
          <w:ilvl w:val="0"/>
          <w:numId w:val="16"/>
        </w:numPr>
        <w:autoSpaceDE w:val="0"/>
        <w:autoSpaceDN w:val="0"/>
        <w:adjustRightInd w:val="0"/>
        <w:ind w:left="1080"/>
        <w:rPr>
          <w:bCs/>
        </w:rPr>
      </w:pPr>
      <w:r>
        <w:rPr>
          <w:bCs/>
        </w:rPr>
        <w:t>Ensure adequate sleep and caloric intake</w:t>
      </w:r>
      <w:r w:rsidR="00153494">
        <w:rPr>
          <w:bCs/>
        </w:rPr>
        <w:t>.</w:t>
      </w:r>
    </w:p>
    <w:p w14:paraId="6D39FAD4" w14:textId="118F0CB2" w:rsidR="00C96847" w:rsidRDefault="00C96847" w:rsidP="009E441D">
      <w:pPr>
        <w:numPr>
          <w:ilvl w:val="0"/>
          <w:numId w:val="16"/>
        </w:numPr>
        <w:autoSpaceDE w:val="0"/>
        <w:autoSpaceDN w:val="0"/>
        <w:adjustRightInd w:val="0"/>
        <w:ind w:left="1080"/>
        <w:rPr>
          <w:bCs/>
        </w:rPr>
      </w:pPr>
      <w:r>
        <w:rPr>
          <w:bCs/>
        </w:rPr>
        <w:t xml:space="preserve">Additional supportive care such as </w:t>
      </w:r>
      <w:r w:rsidR="00943106">
        <w:rPr>
          <w:bCs/>
        </w:rPr>
        <w:t>intravenous</w:t>
      </w:r>
      <w:r>
        <w:rPr>
          <w:bCs/>
        </w:rPr>
        <w:t xml:space="preserve"> fluids, electrolyte replacement and gavage feedings may be indicated to stabilize the infant in the acute phase and obviate the need for pharmacologic intervention</w:t>
      </w:r>
      <w:r w:rsidR="00B87EE2">
        <w:rPr>
          <w:bCs/>
        </w:rPr>
        <w:t>.</w:t>
      </w:r>
    </w:p>
    <w:p w14:paraId="541124F1" w14:textId="36560A15" w:rsidR="00F50B87" w:rsidRPr="005E600F" w:rsidRDefault="00C96847" w:rsidP="005E600F">
      <w:pPr>
        <w:numPr>
          <w:ilvl w:val="0"/>
          <w:numId w:val="16"/>
        </w:numPr>
        <w:autoSpaceDE w:val="0"/>
        <w:autoSpaceDN w:val="0"/>
        <w:adjustRightInd w:val="0"/>
        <w:ind w:left="1080"/>
        <w:rPr>
          <w:bCs/>
        </w:rPr>
      </w:pPr>
      <w:r>
        <w:rPr>
          <w:bCs/>
        </w:rPr>
        <w:t>Breastfeeding</w:t>
      </w:r>
      <w:r w:rsidR="00FE5678">
        <w:rPr>
          <w:bCs/>
        </w:rPr>
        <w:t>/chestfeeding</w:t>
      </w:r>
      <w:r w:rsidR="00114360">
        <w:rPr>
          <w:bCs/>
        </w:rPr>
        <w:t>, for birthing parents who are adherent to medication for opioid use disorder and not using any illicit opioids/substances</w:t>
      </w:r>
      <w:r w:rsidR="00FE5678">
        <w:rPr>
          <w:bCs/>
        </w:rPr>
        <w:t>,</w:t>
      </w:r>
      <w:r>
        <w:rPr>
          <w:bCs/>
        </w:rPr>
        <w:t xml:space="preserve"> has been associated </w:t>
      </w:r>
      <w:r>
        <w:rPr>
          <w:bCs/>
        </w:rPr>
        <w:lastRenderedPageBreak/>
        <w:t xml:space="preserve">with less severe NAS and should be encouraged in </w:t>
      </w:r>
      <w:r w:rsidR="00114360">
        <w:rPr>
          <w:bCs/>
        </w:rPr>
        <w:t>parents engaged in</w:t>
      </w:r>
      <w:r>
        <w:rPr>
          <w:bCs/>
        </w:rPr>
        <w:t xml:space="preserve"> a supervised drug treatment program</w:t>
      </w:r>
      <w:r w:rsidR="00541B3A">
        <w:rPr>
          <w:bCs/>
        </w:rPr>
        <w:t xml:space="preserve"> </w:t>
      </w:r>
      <w:r w:rsidR="004224E6">
        <w:rPr>
          <w:bCs/>
        </w:rPr>
        <w:t>including</w:t>
      </w:r>
      <w:r w:rsidR="00541B3A">
        <w:rPr>
          <w:bCs/>
        </w:rPr>
        <w:t xml:space="preserve"> methadone or buprenorphine</w:t>
      </w:r>
      <w:r>
        <w:rPr>
          <w:bCs/>
        </w:rPr>
        <w:t xml:space="preserve">.  </w:t>
      </w:r>
    </w:p>
    <w:p w14:paraId="33B427DA" w14:textId="77777777" w:rsidR="00C96847" w:rsidRDefault="00C96847" w:rsidP="009E441D">
      <w:pPr>
        <w:numPr>
          <w:ilvl w:val="0"/>
          <w:numId w:val="15"/>
        </w:numPr>
        <w:autoSpaceDE w:val="0"/>
        <w:autoSpaceDN w:val="0"/>
        <w:adjustRightInd w:val="0"/>
        <w:rPr>
          <w:bCs/>
        </w:rPr>
      </w:pPr>
      <w:r>
        <w:rPr>
          <w:bCs/>
        </w:rPr>
        <w:t xml:space="preserve">Pharmacologic </w:t>
      </w:r>
    </w:p>
    <w:p w14:paraId="2169B2F5" w14:textId="34ECD26A" w:rsidR="00C96847" w:rsidRDefault="00C96847" w:rsidP="009E441D">
      <w:pPr>
        <w:numPr>
          <w:ilvl w:val="0"/>
          <w:numId w:val="17"/>
        </w:numPr>
        <w:autoSpaceDE w:val="0"/>
        <w:autoSpaceDN w:val="0"/>
        <w:adjustRightInd w:val="0"/>
        <w:ind w:left="1080"/>
        <w:rPr>
          <w:bCs/>
        </w:rPr>
      </w:pPr>
      <w:r>
        <w:rPr>
          <w:bCs/>
        </w:rPr>
        <w:t>Pharmacologic therapy should be reserved for the infants with moderate to severe signs of</w:t>
      </w:r>
      <w:r w:rsidR="00A4712F">
        <w:rPr>
          <w:bCs/>
        </w:rPr>
        <w:t xml:space="preserve"> </w:t>
      </w:r>
      <w:r>
        <w:rPr>
          <w:bCs/>
        </w:rPr>
        <w:t>NAS and</w:t>
      </w:r>
      <w:r w:rsidR="00FF3F84">
        <w:rPr>
          <w:bCs/>
        </w:rPr>
        <w:t>,</w:t>
      </w:r>
      <w:r>
        <w:rPr>
          <w:bCs/>
        </w:rPr>
        <w:t xml:space="preserve"> to relieve complications of such</w:t>
      </w:r>
      <w:r w:rsidR="00144CDE">
        <w:rPr>
          <w:bCs/>
        </w:rPr>
        <w:t>,</w:t>
      </w:r>
      <w:r>
        <w:rPr>
          <w:bCs/>
        </w:rPr>
        <w:t xml:space="preserve"> when nonpharmacologic support is ineffective. </w:t>
      </w:r>
      <w:r w:rsidR="00DB7421">
        <w:rPr>
          <w:bCs/>
        </w:rPr>
        <w:t xml:space="preserve">Pharmacologic therapy is typically not </w:t>
      </w:r>
      <w:r w:rsidR="00114360">
        <w:rPr>
          <w:bCs/>
        </w:rPr>
        <w:t>indicated</w:t>
      </w:r>
      <w:r w:rsidR="00DB7421">
        <w:rPr>
          <w:bCs/>
        </w:rPr>
        <w:t xml:space="preserve"> for infants with poor neonatal adaptation syndrome from SSRI/S</w:t>
      </w:r>
      <w:r w:rsidR="00CA632E">
        <w:rPr>
          <w:bCs/>
        </w:rPr>
        <w:t>NRIS.</w:t>
      </w:r>
      <w:r w:rsidR="00DB7421">
        <w:rPr>
          <w:bCs/>
        </w:rPr>
        <w:t xml:space="preserve"> </w:t>
      </w:r>
      <w:r>
        <w:rPr>
          <w:bCs/>
        </w:rPr>
        <w:t xml:space="preserve">Drug withdrawal may be life-threatening, but it is ultimately a self-limited process and unnecessary pharmacologic treatment prolongs exposure to harmful </w:t>
      </w:r>
      <w:r w:rsidR="00FE5678">
        <w:rPr>
          <w:bCs/>
        </w:rPr>
        <w:t>substances</w:t>
      </w:r>
      <w:r>
        <w:rPr>
          <w:bCs/>
        </w:rPr>
        <w:t>. Studies have only shown clear benefits of pharmacologic therapy for the short-term amelioration of clinical signs of NAS. Long term benefits or harm have not been clearly studied.</w:t>
      </w:r>
    </w:p>
    <w:p w14:paraId="6F0335E5" w14:textId="0FA8477B" w:rsidR="00C96847" w:rsidRPr="00615364" w:rsidRDefault="00C96847" w:rsidP="005C68D0">
      <w:pPr>
        <w:numPr>
          <w:ilvl w:val="0"/>
          <w:numId w:val="17"/>
        </w:numPr>
        <w:autoSpaceDE w:val="0"/>
        <w:autoSpaceDN w:val="0"/>
        <w:adjustRightInd w:val="0"/>
        <w:ind w:left="1080"/>
        <w:rPr>
          <w:bCs/>
        </w:rPr>
      </w:pPr>
      <w:r w:rsidRPr="00615364">
        <w:rPr>
          <w:bCs/>
        </w:rPr>
        <w:t>The optimal screening</w:t>
      </w:r>
      <w:r w:rsidR="00E312F0">
        <w:rPr>
          <w:bCs/>
        </w:rPr>
        <w:t xml:space="preserve"> modified</w:t>
      </w:r>
      <w:r w:rsidRPr="00615364">
        <w:rPr>
          <w:bCs/>
        </w:rPr>
        <w:t xml:space="preserve"> </w:t>
      </w:r>
      <w:r w:rsidR="00E312F0">
        <w:rPr>
          <w:bCs/>
        </w:rPr>
        <w:t xml:space="preserve">Finnegan </w:t>
      </w:r>
      <w:r w:rsidRPr="00615364">
        <w:rPr>
          <w:bCs/>
        </w:rPr>
        <w:t>score for the initiation of pharmacologic therapy is not clearly defined. However</w:t>
      </w:r>
      <w:r w:rsidR="00153494" w:rsidRPr="00615364">
        <w:rPr>
          <w:bCs/>
        </w:rPr>
        <w:t>,</w:t>
      </w:r>
      <w:r w:rsidRPr="00615364">
        <w:rPr>
          <w:bCs/>
        </w:rPr>
        <w:t xml:space="preserve"> pharmacologic therapy is generally started for the neonate who has </w:t>
      </w:r>
      <w:r w:rsidR="005519CD">
        <w:rPr>
          <w:bCs/>
        </w:rPr>
        <w:t>three</w:t>
      </w:r>
      <w:r w:rsidRPr="00615364">
        <w:rPr>
          <w:bCs/>
        </w:rPr>
        <w:t xml:space="preserve"> or more consecutive scores above </w:t>
      </w:r>
      <w:r w:rsidR="005E600F">
        <w:rPr>
          <w:bCs/>
        </w:rPr>
        <w:t>eight</w:t>
      </w:r>
      <w:r w:rsidR="00295C38">
        <w:rPr>
          <w:bCs/>
        </w:rPr>
        <w:t>,</w:t>
      </w:r>
      <w:r w:rsidRPr="00615364">
        <w:rPr>
          <w:bCs/>
        </w:rPr>
        <w:t xml:space="preserve"> or </w:t>
      </w:r>
      <w:r w:rsidR="005E600F">
        <w:rPr>
          <w:bCs/>
        </w:rPr>
        <w:t>two</w:t>
      </w:r>
      <w:r w:rsidRPr="00615364">
        <w:rPr>
          <w:bCs/>
        </w:rPr>
        <w:t xml:space="preserve"> </w:t>
      </w:r>
      <w:r w:rsidR="005C68D0" w:rsidRPr="005C68D0">
        <w:rPr>
          <w:bCs/>
        </w:rPr>
        <w:t xml:space="preserve">consecutive </w:t>
      </w:r>
      <w:r w:rsidRPr="00615364">
        <w:rPr>
          <w:bCs/>
        </w:rPr>
        <w:t xml:space="preserve">scores </w:t>
      </w:r>
      <w:r w:rsidR="005C68D0">
        <w:rPr>
          <w:bCs/>
        </w:rPr>
        <w:t xml:space="preserve">averaging </w:t>
      </w:r>
      <w:r w:rsidR="00D918A6">
        <w:rPr>
          <w:bCs/>
        </w:rPr>
        <w:t>12</w:t>
      </w:r>
      <w:r w:rsidRPr="00615364">
        <w:rPr>
          <w:bCs/>
        </w:rPr>
        <w:t xml:space="preserve"> or greater despite adequate supportive care. </w:t>
      </w:r>
    </w:p>
    <w:p w14:paraId="537E1A7A" w14:textId="00D09DD9" w:rsidR="00541B3A" w:rsidRDefault="00541B3A" w:rsidP="009E441D">
      <w:pPr>
        <w:numPr>
          <w:ilvl w:val="0"/>
          <w:numId w:val="17"/>
        </w:numPr>
        <w:autoSpaceDE w:val="0"/>
        <w:autoSpaceDN w:val="0"/>
        <w:adjustRightInd w:val="0"/>
        <w:ind w:left="1080"/>
        <w:rPr>
          <w:bCs/>
        </w:rPr>
      </w:pPr>
      <w:r>
        <w:rPr>
          <w:bCs/>
        </w:rPr>
        <w:t xml:space="preserve">The </w:t>
      </w:r>
      <w:r w:rsidR="004224E6">
        <w:rPr>
          <w:bCs/>
        </w:rPr>
        <w:t>ESC</w:t>
      </w:r>
      <w:r>
        <w:rPr>
          <w:bCs/>
        </w:rPr>
        <w:t xml:space="preserve"> method is a functional scoring approach</w:t>
      </w:r>
      <w:r w:rsidR="00887060">
        <w:rPr>
          <w:bCs/>
        </w:rPr>
        <w:t>, considering whether the baby ca</w:t>
      </w:r>
      <w:r w:rsidR="004224E6">
        <w:rPr>
          <w:bCs/>
        </w:rPr>
        <w:t>n</w:t>
      </w:r>
      <w:r w:rsidR="00887060">
        <w:rPr>
          <w:bCs/>
        </w:rPr>
        <w:t>:</w:t>
      </w:r>
      <w:r>
        <w:rPr>
          <w:bCs/>
        </w:rPr>
        <w:t xml:space="preserve"> </w:t>
      </w:r>
    </w:p>
    <w:p w14:paraId="1C4CB57A" w14:textId="1A22E6BA" w:rsidR="00541B3A" w:rsidRDefault="00541B3A" w:rsidP="006B3A17">
      <w:pPr>
        <w:numPr>
          <w:ilvl w:val="1"/>
          <w:numId w:val="23"/>
        </w:numPr>
        <w:autoSpaceDE w:val="0"/>
        <w:autoSpaceDN w:val="0"/>
        <w:adjustRightInd w:val="0"/>
        <w:ind w:left="1440"/>
        <w:rPr>
          <w:bCs/>
        </w:rPr>
      </w:pPr>
      <w:r>
        <w:rPr>
          <w:bCs/>
        </w:rPr>
        <w:t>Breastfeed</w:t>
      </w:r>
      <w:r w:rsidR="00FE5678">
        <w:rPr>
          <w:bCs/>
        </w:rPr>
        <w:t>/</w:t>
      </w:r>
      <w:r w:rsidR="00072D65">
        <w:rPr>
          <w:bCs/>
        </w:rPr>
        <w:t>chestfeed</w:t>
      </w:r>
      <w:r>
        <w:rPr>
          <w:bCs/>
        </w:rPr>
        <w:t xml:space="preserve"> well or greater than </w:t>
      </w:r>
      <w:r w:rsidR="00E96D65">
        <w:rPr>
          <w:bCs/>
        </w:rPr>
        <w:t xml:space="preserve">one </w:t>
      </w:r>
      <w:r w:rsidR="00A10B10">
        <w:rPr>
          <w:bCs/>
        </w:rPr>
        <w:t>ounce</w:t>
      </w:r>
      <w:r w:rsidR="003C6ABE">
        <w:rPr>
          <w:bCs/>
        </w:rPr>
        <w:t xml:space="preserve"> per feed</w:t>
      </w:r>
      <w:r w:rsidR="00A10B10">
        <w:rPr>
          <w:bCs/>
        </w:rPr>
        <w:t xml:space="preserve"> </w:t>
      </w:r>
      <w:r>
        <w:rPr>
          <w:bCs/>
        </w:rPr>
        <w:t>(30 ml)</w:t>
      </w:r>
    </w:p>
    <w:p w14:paraId="154DF8F9" w14:textId="480C288A" w:rsidR="00541B3A" w:rsidRDefault="00541B3A" w:rsidP="006B3A17">
      <w:pPr>
        <w:numPr>
          <w:ilvl w:val="1"/>
          <w:numId w:val="23"/>
        </w:numPr>
        <w:autoSpaceDE w:val="0"/>
        <w:autoSpaceDN w:val="0"/>
        <w:adjustRightInd w:val="0"/>
        <w:ind w:left="1440"/>
        <w:rPr>
          <w:bCs/>
        </w:rPr>
      </w:pPr>
      <w:r>
        <w:rPr>
          <w:bCs/>
        </w:rPr>
        <w:t xml:space="preserve">Sleep undisturbed for greater than or equal to </w:t>
      </w:r>
      <w:r w:rsidR="005E600F">
        <w:rPr>
          <w:bCs/>
        </w:rPr>
        <w:t>one</w:t>
      </w:r>
      <w:r>
        <w:rPr>
          <w:bCs/>
        </w:rPr>
        <w:t xml:space="preserve"> hour</w:t>
      </w:r>
    </w:p>
    <w:p w14:paraId="25981B3C" w14:textId="0B07EB7B" w:rsidR="00541B3A" w:rsidRDefault="00541B3A" w:rsidP="006B3A17">
      <w:pPr>
        <w:numPr>
          <w:ilvl w:val="1"/>
          <w:numId w:val="23"/>
        </w:numPr>
        <w:autoSpaceDE w:val="0"/>
        <w:autoSpaceDN w:val="0"/>
        <w:adjustRightInd w:val="0"/>
        <w:ind w:left="1440"/>
        <w:rPr>
          <w:bCs/>
        </w:rPr>
      </w:pPr>
      <w:r>
        <w:rPr>
          <w:bCs/>
        </w:rPr>
        <w:t>Be consoled within 10 minutes</w:t>
      </w:r>
    </w:p>
    <w:p w14:paraId="49E18B20" w14:textId="2BD67452" w:rsidR="00541B3A" w:rsidRDefault="00541B3A" w:rsidP="006B3A17">
      <w:pPr>
        <w:autoSpaceDE w:val="0"/>
        <w:autoSpaceDN w:val="0"/>
        <w:adjustRightInd w:val="0"/>
        <w:ind w:left="1080"/>
        <w:rPr>
          <w:bCs/>
        </w:rPr>
      </w:pPr>
      <w:r>
        <w:rPr>
          <w:bCs/>
        </w:rPr>
        <w:t xml:space="preserve">If the </w:t>
      </w:r>
      <w:r w:rsidR="00FE5678">
        <w:rPr>
          <w:bCs/>
        </w:rPr>
        <w:t xml:space="preserve">infant </w:t>
      </w:r>
      <w:proofErr w:type="gramStart"/>
      <w:r>
        <w:rPr>
          <w:bCs/>
        </w:rPr>
        <w:t>is able to</w:t>
      </w:r>
      <w:proofErr w:type="gramEnd"/>
      <w:r>
        <w:rPr>
          <w:bCs/>
        </w:rPr>
        <w:t xml:space="preserve"> do these things, then his/her NAS is being treated adequately. If not, </w:t>
      </w:r>
      <w:r w:rsidR="007350B1">
        <w:rPr>
          <w:bCs/>
        </w:rPr>
        <w:t xml:space="preserve">intensive comfort </w:t>
      </w:r>
      <w:r w:rsidR="00D918A6">
        <w:rPr>
          <w:bCs/>
        </w:rPr>
        <w:t xml:space="preserve">care </w:t>
      </w:r>
      <w:r w:rsidR="007350B1">
        <w:rPr>
          <w:bCs/>
        </w:rPr>
        <w:t>measures involving the caregiver are utilized first. After which,</w:t>
      </w:r>
      <w:r w:rsidR="00123360">
        <w:rPr>
          <w:bCs/>
        </w:rPr>
        <w:t xml:space="preserve"> for infants with neonatal opioid withdrawal syndrome,</w:t>
      </w:r>
      <w:r w:rsidR="007350B1">
        <w:rPr>
          <w:bCs/>
        </w:rPr>
        <w:t xml:space="preserve"> </w:t>
      </w:r>
      <w:r w:rsidR="00802D6A">
        <w:rPr>
          <w:bCs/>
        </w:rPr>
        <w:t xml:space="preserve">opioid </w:t>
      </w:r>
      <w:r>
        <w:rPr>
          <w:bCs/>
        </w:rPr>
        <w:t>medication, usually morphine, can be given to lessen the withdrawal so the baby can eat, sleep, or be consoled.</w:t>
      </w:r>
      <w:r w:rsidR="004224E6">
        <w:rPr>
          <w:bCs/>
        </w:rPr>
        <w:t xml:space="preserve"> </w:t>
      </w:r>
      <w:r w:rsidR="00802D6A">
        <w:rPr>
          <w:bCs/>
        </w:rPr>
        <w:t xml:space="preserve">Once started, opioid medication, usually morphine, does not have to be continued or increased unless the baby fails to eat, sleep, or be consoled.  </w:t>
      </w:r>
    </w:p>
    <w:p w14:paraId="1E521434" w14:textId="7B001595" w:rsidR="00C96847" w:rsidRPr="009E441D" w:rsidRDefault="00C96847" w:rsidP="009E441D">
      <w:pPr>
        <w:numPr>
          <w:ilvl w:val="0"/>
          <w:numId w:val="17"/>
        </w:numPr>
        <w:autoSpaceDE w:val="0"/>
        <w:autoSpaceDN w:val="0"/>
        <w:adjustRightInd w:val="0"/>
        <w:ind w:left="1080"/>
        <w:rPr>
          <w:bCs/>
        </w:rPr>
      </w:pPr>
      <w:r w:rsidRPr="00E521E8">
        <w:rPr>
          <w:bCs/>
        </w:rPr>
        <w:t xml:space="preserve">When nonpharmacologic </w:t>
      </w:r>
      <w:r w:rsidRPr="009E441D">
        <w:rPr>
          <w:bCs/>
        </w:rPr>
        <w:t>treatment fails</w:t>
      </w:r>
      <w:r w:rsidR="002134C1" w:rsidRPr="002134C1">
        <w:rPr>
          <w:bCs/>
        </w:rPr>
        <w:t xml:space="preserve"> </w:t>
      </w:r>
      <w:r w:rsidR="002134C1">
        <w:rPr>
          <w:bCs/>
        </w:rPr>
        <w:t>for an opioid-exposed infant</w:t>
      </w:r>
      <w:r w:rsidRPr="009E441D">
        <w:rPr>
          <w:bCs/>
        </w:rPr>
        <w:t xml:space="preserve">, </w:t>
      </w:r>
      <w:r w:rsidRPr="00D267D4">
        <w:rPr>
          <w:bCs/>
        </w:rPr>
        <w:t>the recommended first drug of choice</w:t>
      </w:r>
      <w:r w:rsidR="00123360">
        <w:rPr>
          <w:bCs/>
        </w:rPr>
        <w:t xml:space="preserve"> </w:t>
      </w:r>
      <w:r w:rsidRPr="00D267D4">
        <w:rPr>
          <w:bCs/>
        </w:rPr>
        <w:t xml:space="preserve">is an opioid, either morphine or methadone. </w:t>
      </w:r>
      <w:r w:rsidR="007350B1" w:rsidRPr="00D267D4">
        <w:rPr>
          <w:bCs/>
        </w:rPr>
        <w:t xml:space="preserve">Clonidine and </w:t>
      </w:r>
      <w:r w:rsidR="004224E6" w:rsidRPr="00D267D4">
        <w:rPr>
          <w:bCs/>
        </w:rPr>
        <w:t>p</w:t>
      </w:r>
      <w:r w:rsidR="007350B1" w:rsidRPr="00D267D4">
        <w:rPr>
          <w:bCs/>
        </w:rPr>
        <w:t>henobarbital are second</w:t>
      </w:r>
      <w:r w:rsidR="00327783">
        <w:rPr>
          <w:bCs/>
        </w:rPr>
        <w:t>-</w:t>
      </w:r>
      <w:r w:rsidR="007350B1" w:rsidRPr="00D267D4">
        <w:rPr>
          <w:bCs/>
        </w:rPr>
        <w:t>line drugs to be used in addition to an opioid to treat NAS.</w:t>
      </w:r>
      <w:r w:rsidR="007350B1">
        <w:rPr>
          <w:bCs/>
        </w:rPr>
        <w:t xml:space="preserve"> Phenobarbital is an anti-seizure medicine that can help calm a</w:t>
      </w:r>
      <w:r w:rsidR="00EC247E">
        <w:rPr>
          <w:bCs/>
        </w:rPr>
        <w:t>n infant</w:t>
      </w:r>
      <w:r w:rsidR="007350B1">
        <w:rPr>
          <w:bCs/>
        </w:rPr>
        <w:t>. Clonidine is a centrally acting alph</w:t>
      </w:r>
      <w:r w:rsidR="00027407">
        <w:rPr>
          <w:bCs/>
        </w:rPr>
        <w:t>a</w:t>
      </w:r>
      <w:r w:rsidR="007350B1">
        <w:rPr>
          <w:bCs/>
        </w:rPr>
        <w:t>-adrenergic receptor agonist</w:t>
      </w:r>
      <w:r w:rsidR="00EC247E">
        <w:rPr>
          <w:bCs/>
        </w:rPr>
        <w:t xml:space="preserve"> that helps lower</w:t>
      </w:r>
      <w:r w:rsidR="007350B1">
        <w:rPr>
          <w:bCs/>
        </w:rPr>
        <w:t xml:space="preserve"> </w:t>
      </w:r>
      <w:r w:rsidR="00027407">
        <w:rPr>
          <w:bCs/>
        </w:rPr>
        <w:t xml:space="preserve">blood </w:t>
      </w:r>
      <w:r w:rsidR="00027407" w:rsidRPr="00A71E38">
        <w:rPr>
          <w:bCs/>
        </w:rPr>
        <w:t>pressure and heart rate</w:t>
      </w:r>
      <w:r w:rsidR="004D72C9">
        <w:rPr>
          <w:bCs/>
        </w:rPr>
        <w:t>;</w:t>
      </w:r>
      <w:r w:rsidR="00D6522B">
        <w:rPr>
          <w:bCs/>
        </w:rPr>
        <w:t xml:space="preserve"> </w:t>
      </w:r>
      <w:r w:rsidR="004D72C9">
        <w:rPr>
          <w:bCs/>
        </w:rPr>
        <w:t>i</w:t>
      </w:r>
      <w:r w:rsidR="00027407" w:rsidRPr="00A71E38">
        <w:rPr>
          <w:bCs/>
        </w:rPr>
        <w:t>t</w:t>
      </w:r>
      <w:r w:rsidR="007350B1" w:rsidRPr="00A71E38">
        <w:rPr>
          <w:bCs/>
        </w:rPr>
        <w:t xml:space="preserve"> helps relieve neuromotor symptoms such as hypertonia, jitteriness, and agitation. </w:t>
      </w:r>
      <w:r w:rsidRPr="00A71E38">
        <w:rPr>
          <w:bCs/>
        </w:rPr>
        <w:t>Paregoric and diazepam are no longer recommended.</w:t>
      </w:r>
      <w:r w:rsidR="00D249A7">
        <w:rPr>
          <w:bCs/>
        </w:rPr>
        <w:t xml:space="preserve"> </w:t>
      </w:r>
      <w:r w:rsidR="00D249A7" w:rsidRPr="00E521E8">
        <w:rPr>
          <w:bCs/>
        </w:rPr>
        <w:t>Buprenorphine is a</w:t>
      </w:r>
      <w:r w:rsidR="00D249A7" w:rsidRPr="002C13E3">
        <w:rPr>
          <w:bCs/>
          <w:color w:val="FF0000"/>
        </w:rPr>
        <w:t xml:space="preserve"> </w:t>
      </w:r>
      <w:r w:rsidR="00D249A7" w:rsidRPr="00E521E8">
        <w:rPr>
          <w:bCs/>
        </w:rPr>
        <w:t>potential pharmacologic alternative to morphine and methadone</w:t>
      </w:r>
      <w:r w:rsidR="004D72C9">
        <w:rPr>
          <w:bCs/>
        </w:rPr>
        <w:t>;</w:t>
      </w:r>
      <w:r w:rsidR="00D249A7" w:rsidRPr="00E521E8">
        <w:rPr>
          <w:bCs/>
        </w:rPr>
        <w:t xml:space="preserve"> however</w:t>
      </w:r>
      <w:r w:rsidR="004D72C9">
        <w:rPr>
          <w:bCs/>
        </w:rPr>
        <w:t>,</w:t>
      </w:r>
      <w:r w:rsidR="00D249A7" w:rsidRPr="00E521E8">
        <w:rPr>
          <w:bCs/>
        </w:rPr>
        <w:t xml:space="preserve"> there are limitations related to its methods of administration</w:t>
      </w:r>
      <w:r w:rsidR="004D72C9">
        <w:rPr>
          <w:bCs/>
        </w:rPr>
        <w:t>,</w:t>
      </w:r>
      <w:r w:rsidR="00D249A7" w:rsidRPr="00E521E8">
        <w:rPr>
          <w:bCs/>
        </w:rPr>
        <w:t xml:space="preserve"> and studies are ongoing.</w:t>
      </w:r>
      <w:r w:rsidR="00D249A7" w:rsidRPr="002C13E3">
        <w:rPr>
          <w:bCs/>
          <w:color w:val="FF0000"/>
        </w:rPr>
        <w:t xml:space="preserve"> </w:t>
      </w:r>
    </w:p>
    <w:p w14:paraId="4DDDC79C" w14:textId="43B171AB" w:rsidR="00C96847" w:rsidRDefault="00C96847" w:rsidP="009E441D">
      <w:pPr>
        <w:numPr>
          <w:ilvl w:val="0"/>
          <w:numId w:val="17"/>
        </w:numPr>
        <w:autoSpaceDE w:val="0"/>
        <w:autoSpaceDN w:val="0"/>
        <w:adjustRightInd w:val="0"/>
        <w:ind w:left="1080"/>
        <w:rPr>
          <w:bCs/>
        </w:rPr>
      </w:pPr>
      <w:r>
        <w:rPr>
          <w:bCs/>
        </w:rPr>
        <w:t>The general course of opioid therapy is determined by the response of the infant based on abstinence scoring.</w:t>
      </w:r>
      <w:r w:rsidR="008548AB">
        <w:rPr>
          <w:bCs/>
        </w:rPr>
        <w:t xml:space="preserve"> </w:t>
      </w:r>
      <w:r>
        <w:rPr>
          <w:bCs/>
        </w:rPr>
        <w:t>If the infant remains symptomatic based on abstinence scoring, an increased dose is indicated. Once the infant responds to therapy with a decrease in scoring and weight gain is established, weaning of the medication can begin. Metabolic demands need to be considered as part of the weaning process. The rate of wean is dependent on the infant</w:t>
      </w:r>
      <w:r w:rsidR="00153494">
        <w:rPr>
          <w:bCs/>
        </w:rPr>
        <w:t>’</w:t>
      </w:r>
      <w:r>
        <w:rPr>
          <w:bCs/>
        </w:rPr>
        <w:t xml:space="preserve">s clinical status with use of the abstinence score facilitating this process. </w:t>
      </w:r>
    </w:p>
    <w:p w14:paraId="503F98C4" w14:textId="2E23C78F" w:rsidR="00C96847" w:rsidRDefault="00C96847" w:rsidP="009E441D">
      <w:pPr>
        <w:numPr>
          <w:ilvl w:val="0"/>
          <w:numId w:val="17"/>
        </w:numPr>
        <w:autoSpaceDE w:val="0"/>
        <w:autoSpaceDN w:val="0"/>
        <w:adjustRightInd w:val="0"/>
        <w:ind w:left="1080"/>
        <w:rPr>
          <w:bCs/>
        </w:rPr>
      </w:pPr>
      <w:r w:rsidRPr="00E521E8">
        <w:rPr>
          <w:bCs/>
        </w:rPr>
        <w:t xml:space="preserve">Weaning </w:t>
      </w:r>
      <w:r w:rsidR="007350B1" w:rsidRPr="00E521E8">
        <w:rPr>
          <w:bCs/>
        </w:rPr>
        <w:t xml:space="preserve">of morphine </w:t>
      </w:r>
      <w:r w:rsidRPr="00E521E8">
        <w:rPr>
          <w:bCs/>
        </w:rPr>
        <w:t>may occur every 24 to 48 hours</w:t>
      </w:r>
      <w:r>
        <w:rPr>
          <w:bCs/>
        </w:rPr>
        <w:t xml:space="preserve"> for infants on single drug regimens and no more frequently than every 48 hours for infants on multiple drug regimens or those who have recently failed a wean. </w:t>
      </w:r>
      <w:r w:rsidR="00027407">
        <w:rPr>
          <w:bCs/>
        </w:rPr>
        <w:t xml:space="preserve">Morphine may be discontinued after reaching 0.02 mg/kg/dose </w:t>
      </w:r>
      <w:r w:rsidR="00E52087">
        <w:rPr>
          <w:bCs/>
        </w:rPr>
        <w:t>every three to four</w:t>
      </w:r>
      <w:r w:rsidR="00027407">
        <w:rPr>
          <w:bCs/>
        </w:rPr>
        <w:t xml:space="preserve"> hours. Morphine should not be </w:t>
      </w:r>
      <w:r w:rsidR="00027407">
        <w:rPr>
          <w:bCs/>
        </w:rPr>
        <w:lastRenderedPageBreak/>
        <w:t xml:space="preserve">spaced out further than every </w:t>
      </w:r>
      <w:r w:rsidR="00E52087">
        <w:rPr>
          <w:bCs/>
        </w:rPr>
        <w:t>three to four</w:t>
      </w:r>
      <w:r w:rsidR="00027407">
        <w:rPr>
          <w:bCs/>
        </w:rPr>
        <w:t xml:space="preserve"> hours to avoid subtherapeutic levels of morphine before the next dose. </w:t>
      </w:r>
      <w:r w:rsidR="00EC247E">
        <w:rPr>
          <w:bCs/>
        </w:rPr>
        <w:t>C</w:t>
      </w:r>
      <w:r>
        <w:rPr>
          <w:bCs/>
        </w:rPr>
        <w:t xml:space="preserve">linical judgment </w:t>
      </w:r>
      <w:r w:rsidR="00EC247E">
        <w:rPr>
          <w:bCs/>
        </w:rPr>
        <w:t>is vital i</w:t>
      </w:r>
      <w:r>
        <w:rPr>
          <w:bCs/>
        </w:rPr>
        <w:t>n the management of pharmacotherapy.</w:t>
      </w:r>
    </w:p>
    <w:p w14:paraId="640DB30C" w14:textId="4C592196" w:rsidR="00027407" w:rsidRDefault="00027407" w:rsidP="009E441D">
      <w:pPr>
        <w:numPr>
          <w:ilvl w:val="0"/>
          <w:numId w:val="17"/>
        </w:numPr>
        <w:autoSpaceDE w:val="0"/>
        <w:autoSpaceDN w:val="0"/>
        <w:adjustRightInd w:val="0"/>
        <w:ind w:left="1080"/>
        <w:rPr>
          <w:bCs/>
        </w:rPr>
      </w:pPr>
      <w:r w:rsidRPr="00E521E8">
        <w:rPr>
          <w:bCs/>
        </w:rPr>
        <w:t>Weaning of clonidine may occur every 24 hours by 0.25 to 0.5</w:t>
      </w:r>
      <w:r>
        <w:rPr>
          <w:bCs/>
        </w:rPr>
        <w:t xml:space="preserve"> mcg/kg/dose as tolerated. Blood pressure and vital signs must be monitored every </w:t>
      </w:r>
      <w:r w:rsidR="004224E6">
        <w:rPr>
          <w:bCs/>
        </w:rPr>
        <w:t xml:space="preserve">two </w:t>
      </w:r>
      <w:r>
        <w:rPr>
          <w:bCs/>
        </w:rPr>
        <w:t xml:space="preserve">hours for 12 hours after clonidine is </w:t>
      </w:r>
      <w:r w:rsidR="00EC247E">
        <w:rPr>
          <w:bCs/>
        </w:rPr>
        <w:t xml:space="preserve">completely </w:t>
      </w:r>
      <w:r>
        <w:rPr>
          <w:bCs/>
        </w:rPr>
        <w:t xml:space="preserve">weaned to </w:t>
      </w:r>
      <w:r w:rsidR="00EC247E">
        <w:rPr>
          <w:bCs/>
        </w:rPr>
        <w:t>prevent</w:t>
      </w:r>
      <w:r>
        <w:rPr>
          <w:bCs/>
        </w:rPr>
        <w:t xml:space="preserve"> rebound hypertension or tachycardia.</w:t>
      </w:r>
    </w:p>
    <w:p w14:paraId="51F9C6D9" w14:textId="490B81C5" w:rsidR="00027407" w:rsidRDefault="00027407" w:rsidP="009E441D">
      <w:pPr>
        <w:numPr>
          <w:ilvl w:val="0"/>
          <w:numId w:val="17"/>
        </w:numPr>
        <w:autoSpaceDE w:val="0"/>
        <w:autoSpaceDN w:val="0"/>
        <w:adjustRightInd w:val="0"/>
        <w:ind w:left="1080"/>
        <w:rPr>
          <w:bCs/>
        </w:rPr>
      </w:pPr>
      <w:r w:rsidRPr="00E521E8">
        <w:rPr>
          <w:bCs/>
        </w:rPr>
        <w:t>Weaning of phenobarbital may occur every 48 hours by decreasing the dose by 20%.</w:t>
      </w:r>
      <w:r w:rsidR="007A52B6">
        <w:rPr>
          <w:bCs/>
        </w:rPr>
        <w:t xml:space="preserve">  </w:t>
      </w:r>
      <w:r>
        <w:rPr>
          <w:bCs/>
        </w:rPr>
        <w:t xml:space="preserve">  Alternatively, the </w:t>
      </w:r>
      <w:r w:rsidR="007F69FA">
        <w:rPr>
          <w:bCs/>
        </w:rPr>
        <w:t xml:space="preserve">baby </w:t>
      </w:r>
      <w:r>
        <w:rPr>
          <w:bCs/>
        </w:rPr>
        <w:t xml:space="preserve">can be discharged home on phenobarbital and </w:t>
      </w:r>
      <w:r w:rsidR="007F69FA">
        <w:rPr>
          <w:bCs/>
        </w:rPr>
        <w:t>be allowed</w:t>
      </w:r>
      <w:r w:rsidR="00EC247E">
        <w:rPr>
          <w:bCs/>
        </w:rPr>
        <w:t xml:space="preserve"> to outgrow the dose within</w:t>
      </w:r>
      <w:r w:rsidR="007F69FA">
        <w:rPr>
          <w:bCs/>
        </w:rPr>
        <w:t xml:space="preserve"> </w:t>
      </w:r>
      <w:r w:rsidR="005E600F">
        <w:rPr>
          <w:bCs/>
        </w:rPr>
        <w:t>two to three</w:t>
      </w:r>
      <w:r w:rsidR="007F69FA">
        <w:rPr>
          <w:bCs/>
        </w:rPr>
        <w:t xml:space="preserve"> weeks</w:t>
      </w:r>
      <w:r>
        <w:rPr>
          <w:bCs/>
        </w:rPr>
        <w:t xml:space="preserve"> </w:t>
      </w:r>
      <w:r w:rsidR="007F69FA">
        <w:rPr>
          <w:bCs/>
        </w:rPr>
        <w:t>before stopping it.</w:t>
      </w:r>
    </w:p>
    <w:p w14:paraId="32D48307" w14:textId="77777777" w:rsidR="00C96847" w:rsidRDefault="00C96847" w:rsidP="00C96847">
      <w:pPr>
        <w:rPr>
          <w:b/>
          <w:bCs/>
        </w:rPr>
      </w:pPr>
    </w:p>
    <w:p w14:paraId="1DB365A2" w14:textId="77777777" w:rsidR="00C96847" w:rsidRPr="00F80E62" w:rsidRDefault="00C96847" w:rsidP="00C96847">
      <w:pPr>
        <w:rPr>
          <w:bCs/>
          <w:i/>
        </w:rPr>
      </w:pPr>
      <w:r w:rsidRPr="00F80E62">
        <w:rPr>
          <w:bCs/>
          <w:i/>
        </w:rPr>
        <w:t>Prematurity</w:t>
      </w:r>
    </w:p>
    <w:p w14:paraId="064EB346" w14:textId="06D94A35" w:rsidR="00C96847" w:rsidRDefault="00C96847" w:rsidP="00C96847">
      <w:pPr>
        <w:rPr>
          <w:bCs/>
        </w:rPr>
      </w:pPr>
      <w:r>
        <w:rPr>
          <w:bCs/>
        </w:rPr>
        <w:t xml:space="preserve">Preterm infants have been found to be at lower risk of </w:t>
      </w:r>
      <w:r w:rsidR="00C63AEB">
        <w:rPr>
          <w:bCs/>
        </w:rPr>
        <w:t>substance/medication</w:t>
      </w:r>
      <w:r>
        <w:rPr>
          <w:bCs/>
        </w:rPr>
        <w:t xml:space="preserve"> withdrawal with less severe and/or prolonged courses of NAS. Several possible causes of this effect include relation to developmental immaturity of the </w:t>
      </w:r>
      <w:r w:rsidR="005C778B">
        <w:rPr>
          <w:bCs/>
        </w:rPr>
        <w:t>central nervous system (</w:t>
      </w:r>
      <w:r>
        <w:rPr>
          <w:bCs/>
        </w:rPr>
        <w:t>CNS</w:t>
      </w:r>
      <w:r w:rsidR="005C778B">
        <w:rPr>
          <w:bCs/>
        </w:rPr>
        <w:t>)</w:t>
      </w:r>
      <w:r>
        <w:rPr>
          <w:bCs/>
        </w:rPr>
        <w:t xml:space="preserve"> in preterm infants, lower </w:t>
      </w:r>
      <w:r w:rsidR="00C63AEB">
        <w:rPr>
          <w:bCs/>
        </w:rPr>
        <w:t>cumulative</w:t>
      </w:r>
      <w:r w:rsidR="00FE5678">
        <w:rPr>
          <w:bCs/>
        </w:rPr>
        <w:t xml:space="preserve"> substance</w:t>
      </w:r>
      <w:r>
        <w:rPr>
          <w:bCs/>
        </w:rPr>
        <w:t xml:space="preserve"> exposure, less fat depo</w:t>
      </w:r>
      <w:r w:rsidR="004224E6">
        <w:rPr>
          <w:bCs/>
        </w:rPr>
        <w:t>sit</w:t>
      </w:r>
      <w:r>
        <w:rPr>
          <w:bCs/>
        </w:rPr>
        <w:t xml:space="preserve">s of the </w:t>
      </w:r>
      <w:r w:rsidR="00C63AEB">
        <w:rPr>
          <w:bCs/>
        </w:rPr>
        <w:t>substance/medication</w:t>
      </w:r>
      <w:r>
        <w:rPr>
          <w:bCs/>
        </w:rPr>
        <w:t>, or possibly that the severity of NAS is more difficult to determine in preterm infants due to scoring tools being developed for full-term infants.</w:t>
      </w:r>
      <w:r w:rsidR="007174B0">
        <w:rPr>
          <w:bCs/>
          <w:vertAlign w:val="superscript"/>
        </w:rPr>
        <w:t>21</w:t>
      </w:r>
      <w:r>
        <w:rPr>
          <w:bCs/>
        </w:rPr>
        <w:t xml:space="preserve">  </w:t>
      </w:r>
    </w:p>
    <w:p w14:paraId="1440397B" w14:textId="77777777" w:rsidR="00C96847" w:rsidRDefault="00C96847" w:rsidP="00C96847">
      <w:pPr>
        <w:rPr>
          <w:b/>
          <w:bCs/>
        </w:rPr>
      </w:pPr>
    </w:p>
    <w:p w14:paraId="7EE9EE3C" w14:textId="77777777" w:rsidR="00C96847" w:rsidRPr="00F80E62" w:rsidRDefault="00C96847" w:rsidP="00C96847">
      <w:pPr>
        <w:rPr>
          <w:bCs/>
          <w:i/>
        </w:rPr>
      </w:pPr>
      <w:r w:rsidRPr="00F80E62">
        <w:rPr>
          <w:bCs/>
          <w:i/>
        </w:rPr>
        <w:t>Opioids</w:t>
      </w:r>
    </w:p>
    <w:p w14:paraId="6F6569BB" w14:textId="6DB96147" w:rsidR="00C96847" w:rsidRDefault="00C96847" w:rsidP="00C96847">
      <w:pPr>
        <w:rPr>
          <w:bCs/>
        </w:rPr>
      </w:pPr>
      <w:r>
        <w:rPr>
          <w:bCs/>
        </w:rPr>
        <w:t>The clinical presentation of NAS is dependent on multiple variables, including</w:t>
      </w:r>
      <w:r w:rsidR="00C63AEB">
        <w:rPr>
          <w:bCs/>
        </w:rPr>
        <w:t xml:space="preserve"> substance/medication</w:t>
      </w:r>
      <w:r>
        <w:rPr>
          <w:bCs/>
        </w:rPr>
        <w:t xml:space="preserve"> used; maternal</w:t>
      </w:r>
      <w:r w:rsidR="00C63AEB">
        <w:rPr>
          <w:bCs/>
        </w:rPr>
        <w:t xml:space="preserve"> prescription and substance</w:t>
      </w:r>
      <w:r>
        <w:rPr>
          <w:bCs/>
        </w:rPr>
        <w:t xml:space="preserve"> use history; maternal, placental and infant metabolism; and other factors. Because </w:t>
      </w:r>
      <w:r w:rsidRPr="00E521E8">
        <w:rPr>
          <w:bCs/>
        </w:rPr>
        <w:t xml:space="preserve">opioid receptors focus </w:t>
      </w:r>
      <w:proofErr w:type="gramStart"/>
      <w:r w:rsidRPr="00E521E8">
        <w:rPr>
          <w:bCs/>
        </w:rPr>
        <w:t>in</w:t>
      </w:r>
      <w:proofErr w:type="gramEnd"/>
      <w:r w:rsidRPr="00E521E8">
        <w:rPr>
          <w:bCs/>
        </w:rPr>
        <w:t xml:space="preserve"> the CNS</w:t>
      </w:r>
      <w:r>
        <w:rPr>
          <w:bCs/>
        </w:rPr>
        <w:t xml:space="preserve"> and gastrointestinal (GI) tract, </w:t>
      </w:r>
      <w:proofErr w:type="gramStart"/>
      <w:r>
        <w:rPr>
          <w:bCs/>
        </w:rPr>
        <w:t>the majority of</w:t>
      </w:r>
      <w:proofErr w:type="gramEnd"/>
      <w:r>
        <w:rPr>
          <w:bCs/>
        </w:rPr>
        <w:t xml:space="preserve"> NAS symptoms reflect CNS irritability, autonomic over-reactivity, and GI tract dysfunction. Excess stimuli and hunger exacerbate the perceived severity of NAS.</w:t>
      </w:r>
      <w:r w:rsidR="00440493">
        <w:rPr>
          <w:bCs/>
          <w:vertAlign w:val="superscript"/>
        </w:rPr>
        <w:t>4</w:t>
      </w:r>
      <w:r>
        <w:rPr>
          <w:bCs/>
        </w:rPr>
        <w:t xml:space="preserve"> </w:t>
      </w:r>
    </w:p>
    <w:p w14:paraId="2096278B" w14:textId="77777777" w:rsidR="00C96847" w:rsidRDefault="00C96847" w:rsidP="00C96847">
      <w:pPr>
        <w:rPr>
          <w:bCs/>
        </w:rPr>
      </w:pPr>
    </w:p>
    <w:p w14:paraId="3B77B5AB" w14:textId="77777777" w:rsidR="00C96847" w:rsidRPr="00F80E62" w:rsidRDefault="00C96847" w:rsidP="00C96847">
      <w:pPr>
        <w:rPr>
          <w:bCs/>
          <w:i/>
        </w:rPr>
      </w:pPr>
      <w:r w:rsidRPr="00F80E62">
        <w:rPr>
          <w:bCs/>
          <w:i/>
        </w:rPr>
        <w:t>Cocaine and other CNS stimulants</w:t>
      </w:r>
    </w:p>
    <w:p w14:paraId="16BA58FC" w14:textId="0E9CF1DE" w:rsidR="00002A70" w:rsidRDefault="00C96847" w:rsidP="00C96847">
      <w:pPr>
        <w:rPr>
          <w:bCs/>
        </w:rPr>
      </w:pPr>
      <w:r>
        <w:rPr>
          <w:bCs/>
        </w:rPr>
        <w:t xml:space="preserve">Neurobehavioral symptoms from intrauterine exposure to CNS stimulants such as cocaine and amphetamine frequently occur on the second or third day postnatal. Symptoms include irritability, hyperactivity, tremors, high-pitched cry, and excessive sucking. However, since cocaine and its metabolites can be detected in the neonatal urine for up to </w:t>
      </w:r>
      <w:r w:rsidR="00B97484">
        <w:rPr>
          <w:bCs/>
        </w:rPr>
        <w:t>three</w:t>
      </w:r>
      <w:r>
        <w:rPr>
          <w:bCs/>
        </w:rPr>
        <w:t xml:space="preserve"> days postnatal, symptoms may reflect drug effect rather than withdrawal.</w:t>
      </w:r>
      <w:r w:rsidR="00BF212F">
        <w:rPr>
          <w:bCs/>
        </w:rPr>
        <w:t xml:space="preserve"> </w:t>
      </w:r>
      <w:r>
        <w:rPr>
          <w:bCs/>
        </w:rPr>
        <w:t>Pharmacological treatment of infants with neurobehavioral symptoms due to intrauterine cocaine exposure has not been carefully evaluated</w:t>
      </w:r>
      <w:r w:rsidR="00513004">
        <w:rPr>
          <w:bCs/>
        </w:rPr>
        <w:t>;</w:t>
      </w:r>
      <w:r>
        <w:rPr>
          <w:bCs/>
        </w:rPr>
        <w:t xml:space="preserve"> thus</w:t>
      </w:r>
      <w:r w:rsidR="00513004">
        <w:rPr>
          <w:bCs/>
        </w:rPr>
        <w:t>,</w:t>
      </w:r>
      <w:r>
        <w:rPr>
          <w:bCs/>
        </w:rPr>
        <w:t xml:space="preserve"> no standard of care exists.</w:t>
      </w:r>
      <w:r w:rsidR="005D196E">
        <w:rPr>
          <w:bCs/>
          <w:vertAlign w:val="superscript"/>
        </w:rPr>
        <w:t>4</w:t>
      </w:r>
      <w:r>
        <w:rPr>
          <w:bCs/>
        </w:rPr>
        <w:t xml:space="preserve"> </w:t>
      </w:r>
    </w:p>
    <w:p w14:paraId="419E450C" w14:textId="77777777" w:rsidR="00002A70" w:rsidRDefault="00002A70" w:rsidP="00C96847">
      <w:pPr>
        <w:rPr>
          <w:bCs/>
        </w:rPr>
      </w:pPr>
    </w:p>
    <w:p w14:paraId="294C89D7" w14:textId="77777777" w:rsidR="00C96847" w:rsidRPr="00F80E62" w:rsidRDefault="00144CDE" w:rsidP="00C96847">
      <w:pPr>
        <w:rPr>
          <w:bCs/>
          <w:i/>
        </w:rPr>
      </w:pPr>
      <w:r>
        <w:rPr>
          <w:bCs/>
          <w:i/>
        </w:rPr>
        <w:t>Selective s</w:t>
      </w:r>
      <w:r w:rsidR="00C96847" w:rsidRPr="00F80E62">
        <w:rPr>
          <w:bCs/>
          <w:i/>
        </w:rPr>
        <w:t>erotonin reuptake inhibitors</w:t>
      </w:r>
    </w:p>
    <w:p w14:paraId="2A81749E" w14:textId="54F0B164" w:rsidR="00CE699D" w:rsidRPr="00D6522B" w:rsidRDefault="00C96847" w:rsidP="00FB0592">
      <w:pPr>
        <w:rPr>
          <w:bCs/>
          <w:vertAlign w:val="superscript"/>
        </w:rPr>
      </w:pPr>
      <w:r>
        <w:rPr>
          <w:bCs/>
        </w:rPr>
        <w:t>Selective serotonin reuptake inhibitors (SSRIs)</w:t>
      </w:r>
      <w:r w:rsidR="00702CF8">
        <w:rPr>
          <w:bCs/>
        </w:rPr>
        <w:t>/</w:t>
      </w:r>
      <w:r w:rsidR="001E21D2">
        <w:rPr>
          <w:bCs/>
        </w:rPr>
        <w:t>s</w:t>
      </w:r>
      <w:r w:rsidR="00702CF8">
        <w:rPr>
          <w:bCs/>
        </w:rPr>
        <w:t>erotonin-</w:t>
      </w:r>
      <w:r w:rsidR="001E21D2">
        <w:rPr>
          <w:bCs/>
        </w:rPr>
        <w:t>n</w:t>
      </w:r>
      <w:r w:rsidR="00702CF8">
        <w:rPr>
          <w:bCs/>
        </w:rPr>
        <w:t>orepinephrine reuptake inhibitors (SNRIs)</w:t>
      </w:r>
      <w:r>
        <w:rPr>
          <w:bCs/>
        </w:rPr>
        <w:t xml:space="preserve"> </w:t>
      </w:r>
      <w:r w:rsidR="007B0553">
        <w:rPr>
          <w:bCs/>
        </w:rPr>
        <w:t>are</w:t>
      </w:r>
      <w:r>
        <w:rPr>
          <w:bCs/>
        </w:rPr>
        <w:t xml:space="preserve"> the most common class</w:t>
      </w:r>
      <w:r w:rsidR="0065236F">
        <w:rPr>
          <w:bCs/>
        </w:rPr>
        <w:t>es</w:t>
      </w:r>
      <w:r>
        <w:rPr>
          <w:bCs/>
        </w:rPr>
        <w:t xml:space="preserve"> of anti-depressants used to treat depression. Studies have linked third trimester use of SSRIs</w:t>
      </w:r>
      <w:r w:rsidR="0065236F">
        <w:rPr>
          <w:bCs/>
        </w:rPr>
        <w:t>/SNRIs</w:t>
      </w:r>
      <w:r>
        <w:rPr>
          <w:bCs/>
        </w:rPr>
        <w:t xml:space="preserve"> to a group of symptoms including continuous crying, irritability, jitteriness, and/or restlessness, shivering, fever, tremors, hypertonia or rigidity, tachypnea or respiratory distress, feeding difficulty, sleep disturbance, hypoglycemia, and seizures. Onset of these symptoms generally begins several hours to several days after birth and subsides within </w:t>
      </w:r>
      <w:r w:rsidR="003B23D7">
        <w:rPr>
          <w:bCs/>
        </w:rPr>
        <w:t>one</w:t>
      </w:r>
      <w:r w:rsidR="00144CDE">
        <w:rPr>
          <w:bCs/>
        </w:rPr>
        <w:t xml:space="preserve"> to </w:t>
      </w:r>
      <w:r w:rsidR="00B97484">
        <w:rPr>
          <w:bCs/>
        </w:rPr>
        <w:t>two</w:t>
      </w:r>
      <w:r w:rsidR="00144CDE">
        <w:rPr>
          <w:bCs/>
        </w:rPr>
        <w:t xml:space="preserve"> weeks. It is not clear if </w:t>
      </w:r>
      <w:r>
        <w:rPr>
          <w:bCs/>
        </w:rPr>
        <w:t xml:space="preserve">these symptoms </w:t>
      </w:r>
      <w:r w:rsidR="00445B9B">
        <w:rPr>
          <w:bCs/>
        </w:rPr>
        <w:t>reflect</w:t>
      </w:r>
      <w:r>
        <w:rPr>
          <w:bCs/>
        </w:rPr>
        <w:t xml:space="preserve"> serotonin syndrome or SSRI withdrawal</w:t>
      </w:r>
      <w:r w:rsidR="0065236F">
        <w:rPr>
          <w:bCs/>
        </w:rPr>
        <w:t xml:space="preserve"> and is currently best described </w:t>
      </w:r>
      <w:r w:rsidR="003F7E32">
        <w:rPr>
          <w:bCs/>
        </w:rPr>
        <w:t>as</w:t>
      </w:r>
      <w:r w:rsidR="0065236F">
        <w:rPr>
          <w:bCs/>
        </w:rPr>
        <w:t xml:space="preserve"> </w:t>
      </w:r>
      <w:r w:rsidR="003F7E32">
        <w:rPr>
          <w:bCs/>
        </w:rPr>
        <w:t>p</w:t>
      </w:r>
      <w:r w:rsidR="0065236F">
        <w:rPr>
          <w:bCs/>
        </w:rPr>
        <w:t>oor neonatal adaptation</w:t>
      </w:r>
      <w:r>
        <w:rPr>
          <w:bCs/>
        </w:rPr>
        <w:t>. Clinicians should arrange for early follow</w:t>
      </w:r>
      <w:r w:rsidR="00B75002">
        <w:rPr>
          <w:bCs/>
        </w:rPr>
        <w:t>-</w:t>
      </w:r>
      <w:r>
        <w:rPr>
          <w:bCs/>
        </w:rPr>
        <w:t xml:space="preserve">up after hospital </w:t>
      </w:r>
      <w:r w:rsidR="000150F0">
        <w:rPr>
          <w:bCs/>
        </w:rPr>
        <w:t>discharge for infants at risk f</w:t>
      </w:r>
      <w:r>
        <w:rPr>
          <w:bCs/>
        </w:rPr>
        <w:t>r</w:t>
      </w:r>
      <w:r w:rsidR="000150F0">
        <w:rPr>
          <w:bCs/>
        </w:rPr>
        <w:t xml:space="preserve">om the effects of SSRI </w:t>
      </w:r>
      <w:r w:rsidR="000150F0">
        <w:rPr>
          <w:bCs/>
        </w:rPr>
        <w:lastRenderedPageBreak/>
        <w:t>exposure</w:t>
      </w:r>
      <w:r>
        <w:rPr>
          <w:bCs/>
        </w:rPr>
        <w:t xml:space="preserve"> in utero.</w:t>
      </w:r>
      <w:r w:rsidR="0065236F">
        <w:rPr>
          <w:bCs/>
        </w:rPr>
        <w:t xml:space="preserve"> </w:t>
      </w:r>
      <w:r w:rsidR="000E24FB">
        <w:rPr>
          <w:bCs/>
        </w:rPr>
        <w:t>Pharmacological</w:t>
      </w:r>
      <w:r w:rsidR="0065236F">
        <w:rPr>
          <w:bCs/>
        </w:rPr>
        <w:t xml:space="preserve"> treatment of </w:t>
      </w:r>
      <w:r w:rsidR="00BE37D8">
        <w:rPr>
          <w:bCs/>
        </w:rPr>
        <w:t xml:space="preserve">infants with neurobehavioral symptoms due to intrauterine SSRI/SNRI exposure is not </w:t>
      </w:r>
      <w:r w:rsidR="003F7E32">
        <w:rPr>
          <w:bCs/>
        </w:rPr>
        <w:t>typically indicated</w:t>
      </w:r>
      <w:r w:rsidR="00CE699D">
        <w:rPr>
          <w:bCs/>
        </w:rPr>
        <w:t>.</w:t>
      </w:r>
      <w:r w:rsidR="00927ACD">
        <w:rPr>
          <w:bCs/>
          <w:vertAlign w:val="superscript"/>
        </w:rPr>
        <w:t>4</w:t>
      </w:r>
    </w:p>
    <w:p w14:paraId="4BC57D00" w14:textId="77777777" w:rsidR="00CE699D" w:rsidRDefault="00CE699D" w:rsidP="00FB0592">
      <w:pPr>
        <w:rPr>
          <w:bCs/>
        </w:rPr>
      </w:pPr>
    </w:p>
    <w:p w14:paraId="5ADA32AC" w14:textId="77777777" w:rsidR="00CE699D" w:rsidRPr="00E521E8" w:rsidRDefault="00CE699D" w:rsidP="00CE699D">
      <w:pPr>
        <w:rPr>
          <w:bCs/>
          <w:i/>
          <w:iCs/>
        </w:rPr>
      </w:pPr>
      <w:r w:rsidRPr="00E521E8">
        <w:rPr>
          <w:bCs/>
          <w:i/>
          <w:iCs/>
        </w:rPr>
        <w:t xml:space="preserve">Marijuana </w:t>
      </w:r>
    </w:p>
    <w:p w14:paraId="7850C422" w14:textId="1BBF7EC6" w:rsidR="002E48E7" w:rsidRDefault="00310221" w:rsidP="00FB0592">
      <w:pPr>
        <w:rPr>
          <w:bCs/>
        </w:rPr>
      </w:pPr>
      <w:r>
        <w:rPr>
          <w:bCs/>
        </w:rPr>
        <w:t xml:space="preserve">The American College of Obstetricians and Gynecologists (ACOG) recommends </w:t>
      </w:r>
      <w:r w:rsidR="009B7521">
        <w:rPr>
          <w:bCs/>
        </w:rPr>
        <w:t>women not use marijuana during pregnancy.</w:t>
      </w:r>
      <w:r>
        <w:rPr>
          <w:bCs/>
        </w:rPr>
        <w:t xml:space="preserve"> </w:t>
      </w:r>
      <w:r w:rsidR="00DC4E3F">
        <w:rPr>
          <w:bCs/>
        </w:rPr>
        <w:t xml:space="preserve">Research is limited, but </w:t>
      </w:r>
      <w:r w:rsidR="00FD3B08">
        <w:rPr>
          <w:bCs/>
        </w:rPr>
        <w:t xml:space="preserve">there are </w:t>
      </w:r>
      <w:r w:rsidR="00FE4A57">
        <w:rPr>
          <w:bCs/>
        </w:rPr>
        <w:t xml:space="preserve">potential </w:t>
      </w:r>
      <w:r w:rsidR="000D4864">
        <w:rPr>
          <w:bCs/>
        </w:rPr>
        <w:t xml:space="preserve">risks </w:t>
      </w:r>
      <w:r w:rsidR="00FD3B08">
        <w:rPr>
          <w:bCs/>
        </w:rPr>
        <w:t>with</w:t>
      </w:r>
      <w:r w:rsidR="000D4864">
        <w:rPr>
          <w:bCs/>
        </w:rPr>
        <w:t xml:space="preserve"> marijuana use</w:t>
      </w:r>
      <w:r w:rsidR="002E2619">
        <w:rPr>
          <w:bCs/>
        </w:rPr>
        <w:t xml:space="preserve"> during pregnancy, including babies that are smaller at birth and stillbirth.</w:t>
      </w:r>
      <w:r w:rsidR="00081534">
        <w:rPr>
          <w:bCs/>
          <w:vertAlign w:val="superscript"/>
        </w:rPr>
        <w:t>19</w:t>
      </w:r>
      <w:r w:rsidR="00607755">
        <w:rPr>
          <w:bCs/>
        </w:rPr>
        <w:t xml:space="preserve"> </w:t>
      </w:r>
    </w:p>
    <w:p w14:paraId="1E8DE6AA" w14:textId="02B6D568" w:rsidR="005909CF" w:rsidRDefault="005909CF" w:rsidP="00FB0592">
      <w:pPr>
        <w:rPr>
          <w:bCs/>
        </w:rPr>
      </w:pPr>
    </w:p>
    <w:p w14:paraId="3B25AC81" w14:textId="6572A7BB" w:rsidR="005909CF" w:rsidRPr="00FE68B6" w:rsidRDefault="005909CF" w:rsidP="00FB0592">
      <w:pPr>
        <w:rPr>
          <w:bCs/>
          <w:i/>
        </w:rPr>
      </w:pPr>
      <w:r w:rsidRPr="00FE68B6">
        <w:rPr>
          <w:bCs/>
          <w:i/>
        </w:rPr>
        <w:t>Eat, Sleep, Console</w:t>
      </w:r>
      <w:r w:rsidR="0071583C">
        <w:rPr>
          <w:bCs/>
          <w:i/>
        </w:rPr>
        <w:t xml:space="preserve"> (ESC)</w:t>
      </w:r>
      <w:r w:rsidRPr="00FE68B6">
        <w:rPr>
          <w:bCs/>
          <w:i/>
        </w:rPr>
        <w:t xml:space="preserve"> Assessment Approach</w:t>
      </w:r>
    </w:p>
    <w:p w14:paraId="2F038D51" w14:textId="2D0FF2F8" w:rsidR="005909CF" w:rsidRPr="00FE68B6" w:rsidRDefault="00D1426F" w:rsidP="00FB0592">
      <w:pPr>
        <w:rPr>
          <w:vertAlign w:val="superscript"/>
        </w:rPr>
      </w:pPr>
      <w:r w:rsidRPr="00D1426F">
        <w:t xml:space="preserve">The Finnegan </w:t>
      </w:r>
      <w:r w:rsidR="006504D6">
        <w:t>Neonatal Abstinence Scoring Tool (FNAST)</w:t>
      </w:r>
      <w:r w:rsidRPr="00D1426F">
        <w:t>, the most widely ad</w:t>
      </w:r>
      <w:r w:rsidR="00F27A2F">
        <w:t>o</w:t>
      </w:r>
      <w:r w:rsidRPr="00D1426F">
        <w:t>pted scoring system, and modified versions of this tool are de</w:t>
      </w:r>
      <w:r>
        <w:t>signed for use in term infants.</w:t>
      </w:r>
      <w:r w:rsidR="005A212E">
        <w:rPr>
          <w:vertAlign w:val="superscript"/>
        </w:rPr>
        <w:t>22</w:t>
      </w:r>
      <w:r>
        <w:t xml:space="preserve"> </w:t>
      </w:r>
      <w:r w:rsidRPr="00D1426F">
        <w:t>Other assessment tools have been developed including the</w:t>
      </w:r>
      <w:r w:rsidR="005909CF" w:rsidRPr="005909CF">
        <w:t xml:space="preserve"> ESC assessment approach </w:t>
      </w:r>
      <w:r>
        <w:t xml:space="preserve">that </w:t>
      </w:r>
      <w:r w:rsidR="005909CF" w:rsidRPr="005909CF">
        <w:t>evaluates the neonates' ability to eat, sleep, and be consoled</w:t>
      </w:r>
      <w:r w:rsidR="005909CF">
        <w:t>.</w:t>
      </w:r>
      <w:r w:rsidR="005909CF" w:rsidRPr="005909CF">
        <w:t xml:space="preserve"> </w:t>
      </w:r>
      <w:r>
        <w:t>T</w:t>
      </w:r>
      <w:r w:rsidRPr="00D1426F">
        <w:t>he ESC</w:t>
      </w:r>
      <w:r w:rsidR="00340905">
        <w:t xml:space="preserve"> </w:t>
      </w:r>
      <w:r w:rsidR="00627867">
        <w:t>includes</w:t>
      </w:r>
      <w:r w:rsidRPr="00D1426F">
        <w:t xml:space="preserve"> the </w:t>
      </w:r>
      <w:r w:rsidR="00627867" w:rsidRPr="00D1426F">
        <w:t>non-pharm</w:t>
      </w:r>
      <w:r w:rsidR="00627867">
        <w:t>acologic</w:t>
      </w:r>
      <w:r w:rsidR="00627867" w:rsidRPr="00D1426F">
        <w:t xml:space="preserve"> and pharmacologic </w:t>
      </w:r>
      <w:r w:rsidRPr="00D1426F">
        <w:t xml:space="preserve">treatment </w:t>
      </w:r>
      <w:r w:rsidR="00631707">
        <w:t>of the infant</w:t>
      </w:r>
      <w:r w:rsidRPr="00D1426F">
        <w:t xml:space="preserve"> </w:t>
      </w:r>
      <w:r w:rsidR="00DA34A5">
        <w:t xml:space="preserve">and </w:t>
      </w:r>
      <w:r w:rsidR="00995055">
        <w:t>is</w:t>
      </w:r>
      <w:r w:rsidRPr="00D1426F">
        <w:t xml:space="preserve"> based on infant function and comfort, rather than reducing signs and symptoms of withdrawal</w:t>
      </w:r>
      <w:r>
        <w:t xml:space="preserve">. </w:t>
      </w:r>
      <w:r w:rsidR="00603094">
        <w:t>T</w:t>
      </w:r>
      <w:r w:rsidR="005909CF" w:rsidRPr="005909CF">
        <w:t>his tool emphasizes maternal</w:t>
      </w:r>
      <w:r w:rsidR="00056E02">
        <w:t>/caregiver</w:t>
      </w:r>
      <w:r w:rsidR="005909CF" w:rsidRPr="005909CF">
        <w:t xml:space="preserve"> involvement with a goal of reducing opioid therapy and </w:t>
      </w:r>
      <w:r w:rsidR="005909CF">
        <w:t>length of birth hospitalization.</w:t>
      </w:r>
      <w:r w:rsidR="005909CF" w:rsidRPr="005909CF">
        <w:t xml:space="preserve"> </w:t>
      </w:r>
      <w:r w:rsidR="00367D3F">
        <w:t xml:space="preserve">The effectiveness of the </w:t>
      </w:r>
      <w:r w:rsidR="00BC5B56">
        <w:t>ESC</w:t>
      </w:r>
      <w:r w:rsidR="00367D3F">
        <w:t xml:space="preserve"> </w:t>
      </w:r>
      <w:r w:rsidR="00BC5B56">
        <w:t>m</w:t>
      </w:r>
      <w:r w:rsidR="00367D3F">
        <w:t>ethod has been validated by quality improvement initiatives and reviews.</w:t>
      </w:r>
      <w:r w:rsidR="00056E02" w:rsidRPr="00056E02">
        <w:rPr>
          <w:vertAlign w:val="superscript"/>
        </w:rPr>
        <w:t>4</w:t>
      </w:r>
      <w:r w:rsidR="00056E02">
        <w:rPr>
          <w:vertAlign w:val="superscript"/>
        </w:rPr>
        <w:t>,9,10</w:t>
      </w:r>
      <w:r w:rsidR="00367D3F">
        <w:t xml:space="preserve"> </w:t>
      </w:r>
      <w:r w:rsidR="002C0F20">
        <w:t xml:space="preserve">While </w:t>
      </w:r>
      <w:r w:rsidR="0030361E">
        <w:t xml:space="preserve">the American Academy of Pediatrics </w:t>
      </w:r>
      <w:r w:rsidR="006D1D3E">
        <w:t>does not endorse one scoring system over another</w:t>
      </w:r>
      <w:r w:rsidR="00F45ADE">
        <w:t>, t</w:t>
      </w:r>
      <w:r w:rsidR="00367D3F">
        <w:t>he E</w:t>
      </w:r>
      <w:r w:rsidR="0000462E">
        <w:t>SC</w:t>
      </w:r>
      <w:r w:rsidR="00153983">
        <w:t>’s</w:t>
      </w:r>
      <w:r w:rsidR="00367D3F">
        <w:t xml:space="preserve"> functional assessment and family</w:t>
      </w:r>
      <w:r w:rsidR="005A212E">
        <w:t>-</w:t>
      </w:r>
      <w:r w:rsidR="00367D3F">
        <w:t xml:space="preserve">centered treatment methodology is slowly replacing the modified </w:t>
      </w:r>
      <w:r w:rsidR="00400572">
        <w:t>FNAST</w:t>
      </w:r>
      <w:r w:rsidR="00367D3F">
        <w:t xml:space="preserve"> for the </w:t>
      </w:r>
      <w:r w:rsidR="00056E02">
        <w:t xml:space="preserve">assessment and </w:t>
      </w:r>
      <w:r w:rsidR="00367D3F">
        <w:t xml:space="preserve">treatment of </w:t>
      </w:r>
      <w:r w:rsidR="0000462E">
        <w:t>NAS</w:t>
      </w:r>
      <w:r w:rsidR="00367D3F">
        <w:t>.</w:t>
      </w:r>
      <w:r w:rsidR="004B3C95">
        <w:rPr>
          <w:vertAlign w:val="superscript"/>
        </w:rPr>
        <w:t>22</w:t>
      </w:r>
      <w:r w:rsidR="00367D3F">
        <w:t xml:space="preserve">  </w:t>
      </w:r>
    </w:p>
    <w:p w14:paraId="4D81540C" w14:textId="77777777" w:rsidR="00FE290A" w:rsidRPr="000465DE" w:rsidRDefault="00FE290A">
      <w:pPr>
        <w:rPr>
          <w:b/>
          <w:bCs/>
        </w:rPr>
      </w:pPr>
    </w:p>
    <w:tbl>
      <w:tblPr>
        <w:tblStyle w:val="LightList-Accent1"/>
        <w:tblpPr w:leftFromText="180" w:rightFromText="180" w:vertAnchor="text" w:tblpY="1"/>
        <w:tblOverlap w:val="never"/>
        <w:tblW w:w="964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20" w:firstRow="1" w:lastRow="0" w:firstColumn="0" w:lastColumn="0" w:noHBand="0" w:noVBand="0"/>
      </w:tblPr>
      <w:tblGrid>
        <w:gridCol w:w="7280"/>
        <w:gridCol w:w="1108"/>
        <w:gridCol w:w="1260"/>
      </w:tblGrid>
      <w:tr w:rsidR="00B777AF" w:rsidRPr="00B777AF" w14:paraId="2F972179" w14:textId="77777777" w:rsidTr="00BB772B">
        <w:trPr>
          <w:cnfStyle w:val="100000000000" w:firstRow="1" w:lastRow="0" w:firstColumn="0" w:lastColumn="0" w:oddVBand="0" w:evenVBand="0" w:oddHBand="0" w:evenHBand="0" w:firstRowFirstColumn="0" w:firstRowLastColumn="0" w:lastRowFirstColumn="0" w:lastRowLastColumn="0"/>
          <w:tblHeader/>
        </w:trPr>
        <w:tc>
          <w:tcPr>
            <w:cnfStyle w:val="000010000000" w:firstRow="0" w:lastRow="0" w:firstColumn="0" w:lastColumn="0" w:oddVBand="1" w:evenVBand="0" w:oddHBand="0" w:evenHBand="0" w:firstRowFirstColumn="0" w:firstRowLastColumn="0" w:lastRowFirstColumn="0" w:lastRowLastColumn="0"/>
            <w:tcW w:w="7280" w:type="dxa"/>
            <w:tcBorders>
              <w:left w:val="none" w:sz="0" w:space="0" w:color="auto"/>
              <w:bottom w:val="single" w:sz="4" w:space="0" w:color="auto"/>
              <w:right w:val="none" w:sz="0" w:space="0" w:color="auto"/>
            </w:tcBorders>
            <w:shd w:val="clear" w:color="auto" w:fill="00548C"/>
          </w:tcPr>
          <w:p w14:paraId="75822866" w14:textId="77777777" w:rsidR="00B777AF" w:rsidRPr="00B777AF" w:rsidRDefault="00B777AF">
            <w:pPr>
              <w:rPr>
                <w:bCs w:val="0"/>
              </w:rPr>
            </w:pPr>
            <w:bookmarkStart w:id="0" w:name="Revision_Log"/>
            <w:r w:rsidRPr="00B777AF">
              <w:rPr>
                <w:bCs w:val="0"/>
              </w:rPr>
              <w:t>Reviews</w:t>
            </w:r>
            <w:r>
              <w:rPr>
                <w:bCs w:val="0"/>
              </w:rPr>
              <w:t>, Revisions, and Approvals</w:t>
            </w:r>
            <w:bookmarkEnd w:id="0"/>
          </w:p>
        </w:tc>
        <w:tc>
          <w:tcPr>
            <w:tcW w:w="1108" w:type="dxa"/>
            <w:tcBorders>
              <w:bottom w:val="single" w:sz="4" w:space="0" w:color="auto"/>
            </w:tcBorders>
            <w:shd w:val="clear" w:color="auto" w:fill="00548C"/>
          </w:tcPr>
          <w:p w14:paraId="2E2DE2A9" w14:textId="77777777" w:rsidR="003E6569" w:rsidRDefault="003E6569">
            <w:pPr>
              <w:jc w:val="center"/>
              <w:cnfStyle w:val="100000000000" w:firstRow="1" w:lastRow="0" w:firstColumn="0" w:lastColumn="0" w:oddVBand="0" w:evenVBand="0" w:oddHBand="0" w:evenHBand="0" w:firstRowFirstColumn="0" w:firstRowLastColumn="0" w:lastRowFirstColumn="0" w:lastRowLastColumn="0"/>
              <w:rPr>
                <w:bCs w:val="0"/>
              </w:rPr>
            </w:pPr>
            <w:r>
              <w:rPr>
                <w:bCs w:val="0"/>
              </w:rPr>
              <w:t>Revision</w:t>
            </w:r>
          </w:p>
          <w:p w14:paraId="1D54BB4E" w14:textId="21AABD53" w:rsidR="00B777AF" w:rsidRPr="00B777AF" w:rsidRDefault="00B777AF">
            <w:pPr>
              <w:jc w:val="center"/>
              <w:cnfStyle w:val="100000000000" w:firstRow="1" w:lastRow="0" w:firstColumn="0" w:lastColumn="0" w:oddVBand="0" w:evenVBand="0" w:oddHBand="0" w:evenHBand="0" w:firstRowFirstColumn="0" w:firstRowLastColumn="0" w:lastRowFirstColumn="0" w:lastRowLastColumn="0"/>
              <w:rPr>
                <w:bCs w:val="0"/>
              </w:rPr>
            </w:pPr>
            <w:r w:rsidRPr="00B777AF">
              <w:rPr>
                <w:bCs w:val="0"/>
              </w:rPr>
              <w:t>Date</w:t>
            </w:r>
          </w:p>
        </w:tc>
        <w:tc>
          <w:tcPr>
            <w:cnfStyle w:val="000010000000" w:firstRow="0" w:lastRow="0" w:firstColumn="0" w:lastColumn="0" w:oddVBand="1" w:evenVBand="0" w:oddHBand="0" w:evenHBand="0" w:firstRowFirstColumn="0" w:firstRowLastColumn="0" w:lastRowFirstColumn="0" w:lastRowLastColumn="0"/>
            <w:tcW w:w="1260" w:type="dxa"/>
            <w:tcBorders>
              <w:left w:val="none" w:sz="0" w:space="0" w:color="auto"/>
              <w:bottom w:val="single" w:sz="4" w:space="0" w:color="auto"/>
              <w:right w:val="none" w:sz="0" w:space="0" w:color="auto"/>
            </w:tcBorders>
            <w:shd w:val="clear" w:color="auto" w:fill="00548C"/>
          </w:tcPr>
          <w:p w14:paraId="56A268B1" w14:textId="77777777" w:rsidR="00B777AF" w:rsidRPr="00B777AF" w:rsidRDefault="001818D7">
            <w:pPr>
              <w:jc w:val="center"/>
              <w:rPr>
                <w:bCs w:val="0"/>
              </w:rPr>
            </w:pPr>
            <w:r>
              <w:rPr>
                <w:bCs w:val="0"/>
              </w:rPr>
              <w:t>Approval</w:t>
            </w:r>
            <w:r w:rsidR="00B777AF" w:rsidRPr="00B777AF">
              <w:rPr>
                <w:bCs w:val="0"/>
              </w:rPr>
              <w:t xml:space="preserve"> Date</w:t>
            </w:r>
          </w:p>
        </w:tc>
      </w:tr>
      <w:tr w:rsidR="00B777AF" w14:paraId="7477B03F" w14:textId="77777777" w:rsidTr="00BB772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280" w:type="dxa"/>
            <w:tcBorders>
              <w:top w:val="single" w:sz="4" w:space="0" w:color="auto"/>
              <w:left w:val="single" w:sz="4" w:space="0" w:color="auto"/>
              <w:bottom w:val="single" w:sz="4" w:space="0" w:color="auto"/>
              <w:right w:val="single" w:sz="4" w:space="0" w:color="auto"/>
            </w:tcBorders>
          </w:tcPr>
          <w:p w14:paraId="53EBEA42" w14:textId="77777777" w:rsidR="00B777AF" w:rsidRDefault="00F80E62">
            <w:pPr>
              <w:tabs>
                <w:tab w:val="num" w:pos="720"/>
              </w:tabs>
            </w:pPr>
            <w:r>
              <w:t>Policy created</w:t>
            </w:r>
            <w:r w:rsidR="007B0553">
              <w:t>; reviewed by Neonatologist</w:t>
            </w:r>
          </w:p>
        </w:tc>
        <w:tc>
          <w:tcPr>
            <w:tcW w:w="1108" w:type="dxa"/>
            <w:tcBorders>
              <w:top w:val="single" w:sz="4" w:space="0" w:color="auto"/>
              <w:left w:val="single" w:sz="4" w:space="0" w:color="auto"/>
              <w:bottom w:val="single" w:sz="4" w:space="0" w:color="auto"/>
              <w:right w:val="single" w:sz="4" w:space="0" w:color="auto"/>
            </w:tcBorders>
          </w:tcPr>
          <w:p w14:paraId="1C86D4DF" w14:textId="77777777" w:rsidR="00B777AF" w:rsidRDefault="00F80E62">
            <w:pPr>
              <w:jc w:val="center"/>
              <w:cnfStyle w:val="000000100000" w:firstRow="0" w:lastRow="0" w:firstColumn="0" w:lastColumn="0" w:oddVBand="0" w:evenVBand="0" w:oddHBand="1" w:evenHBand="0" w:firstRowFirstColumn="0" w:firstRowLastColumn="0" w:lastRowFirstColumn="0" w:lastRowLastColumn="0"/>
            </w:pPr>
            <w:r>
              <w:t>10/13</w:t>
            </w:r>
          </w:p>
        </w:tc>
        <w:tc>
          <w:tcPr>
            <w:cnfStyle w:val="000010000000" w:firstRow="0" w:lastRow="0" w:firstColumn="0" w:lastColumn="0" w:oddVBand="1" w:evenVBand="0" w:oddHBand="0" w:evenHBand="0" w:firstRowFirstColumn="0" w:firstRowLastColumn="0" w:lastRowFirstColumn="0" w:lastRowLastColumn="0"/>
            <w:tcW w:w="1260" w:type="dxa"/>
            <w:tcBorders>
              <w:top w:val="single" w:sz="4" w:space="0" w:color="auto"/>
              <w:left w:val="single" w:sz="4" w:space="0" w:color="auto"/>
              <w:bottom w:val="single" w:sz="4" w:space="0" w:color="auto"/>
              <w:right w:val="single" w:sz="4" w:space="0" w:color="auto"/>
            </w:tcBorders>
          </w:tcPr>
          <w:p w14:paraId="7BA14241" w14:textId="77777777" w:rsidR="00B777AF" w:rsidRDefault="00F80E62">
            <w:pPr>
              <w:jc w:val="center"/>
            </w:pPr>
            <w:r>
              <w:t>10/13</w:t>
            </w:r>
          </w:p>
        </w:tc>
      </w:tr>
      <w:tr w:rsidR="003E6569" w14:paraId="6C193EB7" w14:textId="77777777" w:rsidTr="00BB772B">
        <w:tc>
          <w:tcPr>
            <w:cnfStyle w:val="000010000000" w:firstRow="0" w:lastRow="0" w:firstColumn="0" w:lastColumn="0" w:oddVBand="1" w:evenVBand="0" w:oddHBand="0" w:evenHBand="0" w:firstRowFirstColumn="0" w:firstRowLastColumn="0" w:lastRowFirstColumn="0" w:lastRowLastColumn="0"/>
            <w:tcW w:w="7280" w:type="dxa"/>
            <w:tcBorders>
              <w:top w:val="single" w:sz="4" w:space="0" w:color="auto"/>
              <w:left w:val="single" w:sz="4" w:space="0" w:color="auto"/>
              <w:bottom w:val="single" w:sz="4" w:space="0" w:color="auto"/>
              <w:right w:val="single" w:sz="4" w:space="0" w:color="auto"/>
            </w:tcBorders>
          </w:tcPr>
          <w:p w14:paraId="64502A63" w14:textId="69453B1E" w:rsidR="003E6569" w:rsidRDefault="003E6569" w:rsidP="00FC0474">
            <w:pPr>
              <w:tabs>
                <w:tab w:val="num" w:pos="720"/>
              </w:tabs>
              <w:rPr>
                <w:bCs/>
              </w:rPr>
            </w:pPr>
            <w:r>
              <w:rPr>
                <w:bCs/>
              </w:rPr>
              <w:t>Annual review</w:t>
            </w:r>
            <w:r w:rsidR="009B5DC7">
              <w:rPr>
                <w:bCs/>
              </w:rPr>
              <w:t>.</w:t>
            </w:r>
            <w:r>
              <w:rPr>
                <w:bCs/>
              </w:rPr>
              <w:t xml:space="preserve"> References reviewed, updated and reformatted.  </w:t>
            </w:r>
            <w:r>
              <w:t>Changed “Last Review Date” in header to “Date of Last Revision” and changed “Date” in Revision log to “Revision Date</w:t>
            </w:r>
            <w:r w:rsidR="00FC0474">
              <w:t>.</w:t>
            </w:r>
            <w:r>
              <w:t>”</w:t>
            </w:r>
            <w:r w:rsidR="000C7939">
              <w:t xml:space="preserve"> </w:t>
            </w:r>
            <w:r w:rsidR="005E01A3">
              <w:t>Website for Modified Finnegan scoring added</w:t>
            </w:r>
            <w:r w:rsidR="00E65A80">
              <w:t xml:space="preserve"> to the background under B.1.</w:t>
            </w:r>
            <w:r w:rsidR="00882805">
              <w:t>Clarifying edits added to I.A.1 regarding “duration of observation for symptoms</w:t>
            </w:r>
            <w:r w:rsidR="00FC0474">
              <w:t>.</w:t>
            </w:r>
            <w:r w:rsidR="00882805">
              <w:t xml:space="preserve">” Clarifying edits added to Note </w:t>
            </w:r>
            <w:r w:rsidR="003A7116">
              <w:t xml:space="preserve">in </w:t>
            </w:r>
            <w:r w:rsidR="00882805">
              <w:t>I.B regarding</w:t>
            </w:r>
            <w:r w:rsidR="003A7116">
              <w:t xml:space="preserve"> “medications to treat withdrawal symptoms</w:t>
            </w:r>
            <w:r w:rsidR="00FC0474">
              <w:t>.</w:t>
            </w:r>
            <w:r w:rsidR="003A7116">
              <w:t xml:space="preserve">”  </w:t>
            </w:r>
          </w:p>
        </w:tc>
        <w:tc>
          <w:tcPr>
            <w:tcW w:w="1108" w:type="dxa"/>
            <w:tcBorders>
              <w:top w:val="single" w:sz="4" w:space="0" w:color="auto"/>
              <w:left w:val="single" w:sz="4" w:space="0" w:color="auto"/>
              <w:bottom w:val="single" w:sz="4" w:space="0" w:color="auto"/>
              <w:right w:val="single" w:sz="4" w:space="0" w:color="auto"/>
            </w:tcBorders>
          </w:tcPr>
          <w:p w14:paraId="7277043C" w14:textId="55321B61" w:rsidR="003E6569" w:rsidRDefault="003E6569" w:rsidP="00BB772B">
            <w:pPr>
              <w:jc w:val="center"/>
              <w:cnfStyle w:val="000000000000" w:firstRow="0" w:lastRow="0" w:firstColumn="0" w:lastColumn="0" w:oddVBand="0" w:evenVBand="0" w:oddHBand="0" w:evenHBand="0" w:firstRowFirstColumn="0" w:firstRowLastColumn="0" w:lastRowFirstColumn="0" w:lastRowLastColumn="0"/>
            </w:pPr>
            <w:r>
              <w:t>09/21</w:t>
            </w:r>
          </w:p>
        </w:tc>
        <w:tc>
          <w:tcPr>
            <w:cnfStyle w:val="000010000000" w:firstRow="0" w:lastRow="0" w:firstColumn="0" w:lastColumn="0" w:oddVBand="1" w:evenVBand="0" w:oddHBand="0" w:evenHBand="0" w:firstRowFirstColumn="0" w:firstRowLastColumn="0" w:lastRowFirstColumn="0" w:lastRowLastColumn="0"/>
            <w:tcW w:w="1260" w:type="dxa"/>
            <w:tcBorders>
              <w:top w:val="single" w:sz="4" w:space="0" w:color="auto"/>
              <w:left w:val="single" w:sz="4" w:space="0" w:color="auto"/>
              <w:bottom w:val="single" w:sz="4" w:space="0" w:color="auto"/>
              <w:right w:val="single" w:sz="4" w:space="0" w:color="auto"/>
            </w:tcBorders>
          </w:tcPr>
          <w:p w14:paraId="5AEA5DB1" w14:textId="10C93267" w:rsidR="00FC0474" w:rsidRDefault="00FC0474">
            <w:r>
              <w:t>09/21</w:t>
            </w:r>
          </w:p>
          <w:p w14:paraId="745F0F4D" w14:textId="10DD20CE" w:rsidR="003E6569" w:rsidRPr="00FC0474" w:rsidRDefault="003E6569" w:rsidP="00FC0474"/>
        </w:tc>
      </w:tr>
      <w:tr w:rsidR="0052740C" w14:paraId="2A9B0C06" w14:textId="77777777" w:rsidTr="00BB772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280" w:type="dxa"/>
            <w:tcBorders>
              <w:top w:val="single" w:sz="4" w:space="0" w:color="auto"/>
              <w:left w:val="single" w:sz="4" w:space="0" w:color="auto"/>
              <w:bottom w:val="single" w:sz="4" w:space="0" w:color="auto"/>
              <w:right w:val="single" w:sz="4" w:space="0" w:color="auto"/>
            </w:tcBorders>
          </w:tcPr>
          <w:p w14:paraId="05D6EAFE" w14:textId="5EAF62F0" w:rsidR="0052740C" w:rsidRDefault="0052740C" w:rsidP="00FC0474">
            <w:pPr>
              <w:tabs>
                <w:tab w:val="num" w:pos="720"/>
              </w:tabs>
              <w:rPr>
                <w:bCs/>
              </w:rPr>
            </w:pPr>
            <w:r>
              <w:rPr>
                <w:bCs/>
              </w:rPr>
              <w:t xml:space="preserve">Annual review. </w:t>
            </w:r>
            <w:r w:rsidR="00BC5B56">
              <w:rPr>
                <w:bCs/>
              </w:rPr>
              <w:t>Description updated. Added cocaine</w:t>
            </w:r>
            <w:r w:rsidR="000E4E32">
              <w:rPr>
                <w:bCs/>
              </w:rPr>
              <w:t xml:space="preserve"> and </w:t>
            </w:r>
            <w:r w:rsidR="00BC5B56">
              <w:rPr>
                <w:bCs/>
              </w:rPr>
              <w:t>SSRIs, to the NAS symptom onset table. In I.B</w:t>
            </w:r>
            <w:r w:rsidR="00993E98">
              <w:rPr>
                <w:bCs/>
              </w:rPr>
              <w:t>.</w:t>
            </w:r>
            <w:r w:rsidR="00BC5B56">
              <w:rPr>
                <w:bCs/>
              </w:rPr>
              <w:t xml:space="preserve">, replaced portion of note reflecting a </w:t>
            </w:r>
            <w:r w:rsidR="00993E98">
              <w:rPr>
                <w:bCs/>
              </w:rPr>
              <w:t>6-hour</w:t>
            </w:r>
            <w:r w:rsidR="00BC5B56">
              <w:rPr>
                <w:bCs/>
              </w:rPr>
              <w:t xml:space="preserve"> dosing interval with a </w:t>
            </w:r>
            <w:r w:rsidR="00993E98">
              <w:rPr>
                <w:bCs/>
              </w:rPr>
              <w:t>4-hour</w:t>
            </w:r>
            <w:r w:rsidR="00BC5B56">
              <w:rPr>
                <w:bCs/>
              </w:rPr>
              <w:t xml:space="preserve"> morphine dosing interval. </w:t>
            </w:r>
            <w:r w:rsidR="00FA60AF">
              <w:rPr>
                <w:bCs/>
              </w:rPr>
              <w:t xml:space="preserve">Added requirement in I.C.2 discharge criteria that infant is consolable with appropriate measures </w:t>
            </w:r>
            <w:r w:rsidR="00FA60AF" w:rsidRPr="00FA60AF">
              <w:rPr>
                <w:bCs/>
              </w:rPr>
              <w:t>24-48 hours after the last dose of morphine prior to discharge, based on gestational age</w:t>
            </w:r>
            <w:r w:rsidR="00FA60AF">
              <w:rPr>
                <w:bCs/>
              </w:rPr>
              <w:t>, with note about morphine half-lives applicable to a range of gestational ages</w:t>
            </w:r>
            <w:r w:rsidR="00FA60AF" w:rsidRPr="00FA60AF">
              <w:rPr>
                <w:bCs/>
              </w:rPr>
              <w:t>.</w:t>
            </w:r>
            <w:r w:rsidR="00FA60AF">
              <w:rPr>
                <w:bCs/>
              </w:rPr>
              <w:t xml:space="preserve"> Noted in background section A.3.b regarding screening that meconium and umbilical blood reflect drug use for 20 weeks of gestation and later. </w:t>
            </w:r>
            <w:r w:rsidR="00B26CAE">
              <w:rPr>
                <w:bCs/>
              </w:rPr>
              <w:t xml:space="preserve">Background: </w:t>
            </w:r>
            <w:r w:rsidR="00FA60AF">
              <w:rPr>
                <w:bCs/>
              </w:rPr>
              <w:t>Changed background heading “Observation/Assessment” to “</w:t>
            </w:r>
            <w:r w:rsidR="00FA60AF">
              <w:t xml:space="preserve"> </w:t>
            </w:r>
            <w:r w:rsidR="00FA60AF" w:rsidRPr="00FA60AF">
              <w:rPr>
                <w:bCs/>
              </w:rPr>
              <w:t>B.</w:t>
            </w:r>
            <w:r w:rsidR="00927806">
              <w:rPr>
                <w:bCs/>
              </w:rPr>
              <w:t xml:space="preserve"> </w:t>
            </w:r>
            <w:r w:rsidR="00FA60AF" w:rsidRPr="00FA60AF">
              <w:rPr>
                <w:bCs/>
              </w:rPr>
              <w:t>Observation location//Assessment tool/Level of Care</w:t>
            </w:r>
            <w:r w:rsidR="00FA60AF">
              <w:rPr>
                <w:bCs/>
              </w:rPr>
              <w:t>,” and in that section: expanded information regarding LOC for Finnegan scoring, and added section for LOC for ESC scoring; in 3.c</w:t>
            </w:r>
            <w:r w:rsidR="00993E98">
              <w:rPr>
                <w:bCs/>
              </w:rPr>
              <w:t>.</w:t>
            </w:r>
            <w:r w:rsidR="00FA60AF">
              <w:rPr>
                <w:bCs/>
              </w:rPr>
              <w:t xml:space="preserve">, added that polysubstance use should correspond to observation for 5-7 days, and added note that when more than 1 scoring system is used, LOC should be determined according to </w:t>
            </w:r>
            <w:r w:rsidR="00FA60AF">
              <w:rPr>
                <w:bCs/>
              </w:rPr>
              <w:lastRenderedPageBreak/>
              <w:t xml:space="preserve">the scoring system driving the care decisions. </w:t>
            </w:r>
            <w:r w:rsidR="00707DBC">
              <w:rPr>
                <w:bCs/>
              </w:rPr>
              <w:t xml:space="preserve">In nonpharmacologic treatment section, changed recommendation from frequent feedings of calorie dense formular or fortified breastmilk to “breastfeeding or formula feeding as indicated.” </w:t>
            </w:r>
            <w:r w:rsidR="00E52087">
              <w:rPr>
                <w:bCs/>
              </w:rPr>
              <w:t xml:space="preserve">Added </w:t>
            </w:r>
            <w:r w:rsidR="00B26CAE">
              <w:rPr>
                <w:bCs/>
              </w:rPr>
              <w:t xml:space="preserve">c under pharmacologic treatment regarding ESC assessment categories. Added details regarding morphine, clonidine, and phenobarbital weaning. Added additional background to “ESC Assessment Approach.” </w:t>
            </w:r>
            <w:r>
              <w:rPr>
                <w:bCs/>
              </w:rPr>
              <w:t xml:space="preserve">References reviewed and updated. </w:t>
            </w:r>
          </w:p>
        </w:tc>
        <w:tc>
          <w:tcPr>
            <w:tcW w:w="1108" w:type="dxa"/>
            <w:tcBorders>
              <w:top w:val="single" w:sz="4" w:space="0" w:color="auto"/>
              <w:left w:val="single" w:sz="4" w:space="0" w:color="auto"/>
              <w:bottom w:val="single" w:sz="4" w:space="0" w:color="auto"/>
              <w:right w:val="single" w:sz="4" w:space="0" w:color="auto"/>
            </w:tcBorders>
          </w:tcPr>
          <w:p w14:paraId="2101B5B7" w14:textId="431B82B3" w:rsidR="0052740C" w:rsidRDefault="0052740C" w:rsidP="00BB772B">
            <w:pPr>
              <w:jc w:val="center"/>
              <w:cnfStyle w:val="000000100000" w:firstRow="0" w:lastRow="0" w:firstColumn="0" w:lastColumn="0" w:oddVBand="0" w:evenVBand="0" w:oddHBand="1" w:evenHBand="0" w:firstRowFirstColumn="0" w:firstRowLastColumn="0" w:lastRowFirstColumn="0" w:lastRowLastColumn="0"/>
            </w:pPr>
            <w:r>
              <w:lastRenderedPageBreak/>
              <w:t>0</w:t>
            </w:r>
            <w:r w:rsidR="006B3A17">
              <w:t>2</w:t>
            </w:r>
            <w:r>
              <w:t>/22</w:t>
            </w:r>
          </w:p>
        </w:tc>
        <w:tc>
          <w:tcPr>
            <w:cnfStyle w:val="000010000000" w:firstRow="0" w:lastRow="0" w:firstColumn="0" w:lastColumn="0" w:oddVBand="1" w:evenVBand="0" w:oddHBand="0" w:evenHBand="0" w:firstRowFirstColumn="0" w:firstRowLastColumn="0" w:lastRowFirstColumn="0" w:lastRowLastColumn="0"/>
            <w:tcW w:w="1260" w:type="dxa"/>
            <w:tcBorders>
              <w:top w:val="single" w:sz="4" w:space="0" w:color="auto"/>
              <w:left w:val="single" w:sz="4" w:space="0" w:color="auto"/>
              <w:bottom w:val="single" w:sz="4" w:space="0" w:color="auto"/>
              <w:right w:val="single" w:sz="4" w:space="0" w:color="auto"/>
            </w:tcBorders>
          </w:tcPr>
          <w:p w14:paraId="59A50419" w14:textId="783FB624" w:rsidR="0052740C" w:rsidRDefault="00927806">
            <w:r>
              <w:t>02/22</w:t>
            </w:r>
          </w:p>
        </w:tc>
      </w:tr>
      <w:tr w:rsidR="00B92666" w14:paraId="0A07AE3F" w14:textId="77777777" w:rsidTr="00BB772B">
        <w:tc>
          <w:tcPr>
            <w:cnfStyle w:val="000010000000" w:firstRow="0" w:lastRow="0" w:firstColumn="0" w:lastColumn="0" w:oddVBand="1" w:evenVBand="0" w:oddHBand="0" w:evenHBand="0" w:firstRowFirstColumn="0" w:firstRowLastColumn="0" w:lastRowFirstColumn="0" w:lastRowLastColumn="0"/>
            <w:tcW w:w="7280" w:type="dxa"/>
            <w:tcBorders>
              <w:top w:val="single" w:sz="4" w:space="0" w:color="auto"/>
              <w:left w:val="single" w:sz="4" w:space="0" w:color="auto"/>
              <w:bottom w:val="single" w:sz="4" w:space="0" w:color="auto"/>
              <w:right w:val="single" w:sz="4" w:space="0" w:color="auto"/>
            </w:tcBorders>
          </w:tcPr>
          <w:p w14:paraId="4FB86623" w14:textId="5F797045" w:rsidR="00B92666" w:rsidRDefault="00B92666" w:rsidP="00FC0474">
            <w:pPr>
              <w:tabs>
                <w:tab w:val="num" w:pos="720"/>
              </w:tabs>
              <w:rPr>
                <w:bCs/>
              </w:rPr>
            </w:pPr>
            <w:r>
              <w:rPr>
                <w:bCs/>
              </w:rPr>
              <w:t xml:space="preserve">Annual review. </w:t>
            </w:r>
            <w:r w:rsidR="0034307D">
              <w:rPr>
                <w:bCs/>
              </w:rPr>
              <w:t xml:space="preserve">Minor rewording in </w:t>
            </w:r>
            <w:r w:rsidR="00901D42">
              <w:rPr>
                <w:bCs/>
              </w:rPr>
              <w:t xml:space="preserve">description and </w:t>
            </w:r>
            <w:r w:rsidR="0034307D">
              <w:rPr>
                <w:bCs/>
              </w:rPr>
              <w:t>criteria.</w:t>
            </w:r>
            <w:r w:rsidR="009B597E">
              <w:t xml:space="preserve"> </w:t>
            </w:r>
            <w:r w:rsidR="00993E98">
              <w:t xml:space="preserve">Updated criteria I.C.7. to include family medicine provider. </w:t>
            </w:r>
            <w:r w:rsidR="009B597E" w:rsidRPr="009B597E">
              <w:rPr>
                <w:bCs/>
              </w:rPr>
              <w:t xml:space="preserve">Added </w:t>
            </w:r>
            <w:r w:rsidR="00993E98">
              <w:rPr>
                <w:bCs/>
              </w:rPr>
              <w:t>c</w:t>
            </w:r>
            <w:r w:rsidR="009B597E" w:rsidRPr="009B597E">
              <w:rPr>
                <w:bCs/>
              </w:rPr>
              <w:t xml:space="preserve">riteria I.C.8. regarding follow up appointment with the primary care pediatrician </w:t>
            </w:r>
            <w:r w:rsidR="00993E98">
              <w:rPr>
                <w:bCs/>
              </w:rPr>
              <w:t>or family medicine provider scheduled</w:t>
            </w:r>
            <w:r w:rsidR="009B597E" w:rsidRPr="009B597E">
              <w:rPr>
                <w:bCs/>
              </w:rPr>
              <w:t xml:space="preserve"> prior to discharge.</w:t>
            </w:r>
            <w:r w:rsidR="0034307D">
              <w:rPr>
                <w:bCs/>
              </w:rPr>
              <w:t xml:space="preserve"> Background updated with no impact on criteria. </w:t>
            </w:r>
            <w:r>
              <w:rPr>
                <w:bCs/>
              </w:rPr>
              <w:t xml:space="preserve">References reviewed and updated. </w:t>
            </w:r>
          </w:p>
        </w:tc>
        <w:tc>
          <w:tcPr>
            <w:tcW w:w="1108" w:type="dxa"/>
            <w:tcBorders>
              <w:top w:val="single" w:sz="4" w:space="0" w:color="auto"/>
              <w:left w:val="single" w:sz="4" w:space="0" w:color="auto"/>
              <w:bottom w:val="single" w:sz="4" w:space="0" w:color="auto"/>
              <w:right w:val="single" w:sz="4" w:space="0" w:color="auto"/>
            </w:tcBorders>
          </w:tcPr>
          <w:p w14:paraId="70332C2C" w14:textId="33B3351C" w:rsidR="00B92666" w:rsidRDefault="0034307D" w:rsidP="00BB772B">
            <w:pPr>
              <w:jc w:val="center"/>
              <w:cnfStyle w:val="000000000000" w:firstRow="0" w:lastRow="0" w:firstColumn="0" w:lastColumn="0" w:oddVBand="0" w:evenVBand="0" w:oddHBand="0" w:evenHBand="0" w:firstRowFirstColumn="0" w:firstRowLastColumn="0" w:lastRowFirstColumn="0" w:lastRowLastColumn="0"/>
            </w:pPr>
            <w:r>
              <w:t>02/23</w:t>
            </w:r>
          </w:p>
        </w:tc>
        <w:tc>
          <w:tcPr>
            <w:cnfStyle w:val="000010000000" w:firstRow="0" w:lastRow="0" w:firstColumn="0" w:lastColumn="0" w:oddVBand="1" w:evenVBand="0" w:oddHBand="0" w:evenHBand="0" w:firstRowFirstColumn="0" w:firstRowLastColumn="0" w:lastRowFirstColumn="0" w:lastRowLastColumn="0"/>
            <w:tcW w:w="1260" w:type="dxa"/>
            <w:tcBorders>
              <w:top w:val="single" w:sz="4" w:space="0" w:color="auto"/>
              <w:left w:val="single" w:sz="4" w:space="0" w:color="auto"/>
              <w:bottom w:val="single" w:sz="4" w:space="0" w:color="auto"/>
              <w:right w:val="single" w:sz="4" w:space="0" w:color="auto"/>
            </w:tcBorders>
          </w:tcPr>
          <w:p w14:paraId="76327D8E" w14:textId="30916CFC" w:rsidR="00B92666" w:rsidRDefault="00993E98" w:rsidP="00993E98">
            <w:pPr>
              <w:jc w:val="center"/>
            </w:pPr>
            <w:r>
              <w:t>02/23</w:t>
            </w:r>
          </w:p>
        </w:tc>
      </w:tr>
      <w:tr w:rsidR="00FC3343" w14:paraId="5C307857" w14:textId="77777777" w:rsidTr="00BB772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280" w:type="dxa"/>
            <w:tcBorders>
              <w:top w:val="single" w:sz="4" w:space="0" w:color="auto"/>
              <w:left w:val="single" w:sz="4" w:space="0" w:color="auto"/>
              <w:bottom w:val="single" w:sz="4" w:space="0" w:color="auto"/>
              <w:right w:val="single" w:sz="4" w:space="0" w:color="auto"/>
            </w:tcBorders>
          </w:tcPr>
          <w:p w14:paraId="45DAD37D" w14:textId="30356048" w:rsidR="00FC3343" w:rsidRDefault="00FC3343" w:rsidP="00FC3343">
            <w:pPr>
              <w:tabs>
                <w:tab w:val="num" w:pos="720"/>
              </w:tabs>
              <w:rPr>
                <w:bCs/>
              </w:rPr>
            </w:pPr>
            <w:r w:rsidRPr="00F13839">
              <w:rPr>
                <w:bCs/>
              </w:rPr>
              <w:t>Annual review. Updated description</w:t>
            </w:r>
            <w:r w:rsidR="003B4D81">
              <w:rPr>
                <w:bCs/>
              </w:rPr>
              <w:t>, criteria</w:t>
            </w:r>
            <w:r w:rsidRPr="00F13839">
              <w:rPr>
                <w:bCs/>
              </w:rPr>
              <w:t xml:space="preserve"> and background </w:t>
            </w:r>
            <w:r w:rsidR="00072D65">
              <w:rPr>
                <w:bCs/>
              </w:rPr>
              <w:t>with equitable and</w:t>
            </w:r>
            <w:r w:rsidR="00DF18F8">
              <w:rPr>
                <w:bCs/>
              </w:rPr>
              <w:t xml:space="preserve"> inclusive language</w:t>
            </w:r>
            <w:r w:rsidR="003B4D81">
              <w:rPr>
                <w:bCs/>
              </w:rPr>
              <w:t xml:space="preserve"> and no impact on criteria</w:t>
            </w:r>
            <w:r w:rsidR="00DF18F8">
              <w:rPr>
                <w:bCs/>
              </w:rPr>
              <w:t xml:space="preserve">. </w:t>
            </w:r>
            <w:r w:rsidRPr="00F13839">
              <w:rPr>
                <w:bCs/>
              </w:rPr>
              <w:t>References reviewed and updated.</w:t>
            </w:r>
            <w:r>
              <w:rPr>
                <w:bCs/>
              </w:rPr>
              <w:t xml:space="preserve"> Reviewed by external specialist.</w:t>
            </w:r>
          </w:p>
        </w:tc>
        <w:tc>
          <w:tcPr>
            <w:tcW w:w="1108" w:type="dxa"/>
            <w:tcBorders>
              <w:top w:val="single" w:sz="4" w:space="0" w:color="auto"/>
              <w:left w:val="single" w:sz="4" w:space="0" w:color="auto"/>
              <w:bottom w:val="single" w:sz="4" w:space="0" w:color="auto"/>
              <w:right w:val="single" w:sz="4" w:space="0" w:color="auto"/>
            </w:tcBorders>
          </w:tcPr>
          <w:p w14:paraId="76F043BD" w14:textId="0A7E7C17" w:rsidR="00FC3343" w:rsidRDefault="00FC3343" w:rsidP="00FC3343">
            <w:pPr>
              <w:jc w:val="center"/>
              <w:cnfStyle w:val="000000100000" w:firstRow="0" w:lastRow="0" w:firstColumn="0" w:lastColumn="0" w:oddVBand="0" w:evenVBand="0" w:oddHBand="1" w:evenHBand="0" w:firstRowFirstColumn="0" w:firstRowLastColumn="0" w:lastRowFirstColumn="0" w:lastRowLastColumn="0"/>
            </w:pPr>
            <w:r>
              <w:t>01/24</w:t>
            </w:r>
          </w:p>
        </w:tc>
        <w:tc>
          <w:tcPr>
            <w:cnfStyle w:val="000010000000" w:firstRow="0" w:lastRow="0" w:firstColumn="0" w:lastColumn="0" w:oddVBand="1" w:evenVBand="0" w:oddHBand="0" w:evenHBand="0" w:firstRowFirstColumn="0" w:firstRowLastColumn="0" w:lastRowFirstColumn="0" w:lastRowLastColumn="0"/>
            <w:tcW w:w="1260" w:type="dxa"/>
            <w:tcBorders>
              <w:top w:val="single" w:sz="4" w:space="0" w:color="auto"/>
              <w:left w:val="single" w:sz="4" w:space="0" w:color="auto"/>
              <w:bottom w:val="single" w:sz="4" w:space="0" w:color="auto"/>
              <w:right w:val="single" w:sz="4" w:space="0" w:color="auto"/>
            </w:tcBorders>
          </w:tcPr>
          <w:p w14:paraId="7A63A7FC" w14:textId="2FB22526" w:rsidR="00FC3343" w:rsidRDefault="003B4D81" w:rsidP="00FC3343">
            <w:pPr>
              <w:jc w:val="center"/>
            </w:pPr>
            <w:r>
              <w:t>01/24</w:t>
            </w:r>
          </w:p>
        </w:tc>
      </w:tr>
      <w:tr w:rsidR="00EC3263" w14:paraId="6E3CE486" w14:textId="77777777" w:rsidTr="00BB772B">
        <w:tc>
          <w:tcPr>
            <w:cnfStyle w:val="000010000000" w:firstRow="0" w:lastRow="0" w:firstColumn="0" w:lastColumn="0" w:oddVBand="1" w:evenVBand="0" w:oddHBand="0" w:evenHBand="0" w:firstRowFirstColumn="0" w:firstRowLastColumn="0" w:lastRowFirstColumn="0" w:lastRowLastColumn="0"/>
            <w:tcW w:w="7280" w:type="dxa"/>
            <w:tcBorders>
              <w:top w:val="single" w:sz="4" w:space="0" w:color="auto"/>
              <w:left w:val="single" w:sz="4" w:space="0" w:color="auto"/>
              <w:bottom w:val="single" w:sz="4" w:space="0" w:color="auto"/>
              <w:right w:val="single" w:sz="4" w:space="0" w:color="auto"/>
            </w:tcBorders>
          </w:tcPr>
          <w:p w14:paraId="1BED3E44" w14:textId="38DB61EE" w:rsidR="00EC3263" w:rsidRPr="00F13839" w:rsidRDefault="00EC3263" w:rsidP="00FC3343">
            <w:pPr>
              <w:tabs>
                <w:tab w:val="num" w:pos="720"/>
              </w:tabs>
              <w:rPr>
                <w:bCs/>
              </w:rPr>
            </w:pPr>
            <w:r>
              <w:rPr>
                <w:bCs/>
              </w:rPr>
              <w:t>Annual review</w:t>
            </w:r>
            <w:r w:rsidRPr="009D1C0E">
              <w:rPr>
                <w:bCs/>
              </w:rPr>
              <w:t xml:space="preserve">. </w:t>
            </w:r>
            <w:r w:rsidR="00584F01" w:rsidRPr="00D6522B">
              <w:t xml:space="preserve"> Updated background with </w:t>
            </w:r>
            <w:r w:rsidR="003A6B20" w:rsidRPr="00D6522B">
              <w:t xml:space="preserve">information on marijuana with </w:t>
            </w:r>
            <w:r w:rsidR="00584F01" w:rsidRPr="00D6522B">
              <w:t xml:space="preserve">no clinical </w:t>
            </w:r>
            <w:r w:rsidR="003A6B20" w:rsidRPr="00D6522B">
              <w:t xml:space="preserve">criteria </w:t>
            </w:r>
            <w:r w:rsidR="00584F01" w:rsidRPr="00D6522B">
              <w:t>significance. References reviewed and updated.</w:t>
            </w:r>
          </w:p>
        </w:tc>
        <w:tc>
          <w:tcPr>
            <w:tcW w:w="1108" w:type="dxa"/>
            <w:tcBorders>
              <w:top w:val="single" w:sz="4" w:space="0" w:color="auto"/>
              <w:left w:val="single" w:sz="4" w:space="0" w:color="auto"/>
              <w:bottom w:val="single" w:sz="4" w:space="0" w:color="auto"/>
              <w:right w:val="single" w:sz="4" w:space="0" w:color="auto"/>
            </w:tcBorders>
          </w:tcPr>
          <w:p w14:paraId="777A7424" w14:textId="2FF494B2" w:rsidR="00EC3263" w:rsidRDefault="00EC3263" w:rsidP="00FC3343">
            <w:pPr>
              <w:jc w:val="center"/>
              <w:cnfStyle w:val="000000000000" w:firstRow="0" w:lastRow="0" w:firstColumn="0" w:lastColumn="0" w:oddVBand="0" w:evenVBand="0" w:oddHBand="0" w:evenHBand="0" w:firstRowFirstColumn="0" w:firstRowLastColumn="0" w:lastRowFirstColumn="0" w:lastRowLastColumn="0"/>
            </w:pPr>
            <w:r>
              <w:t>01/25</w:t>
            </w:r>
          </w:p>
        </w:tc>
        <w:tc>
          <w:tcPr>
            <w:cnfStyle w:val="000010000000" w:firstRow="0" w:lastRow="0" w:firstColumn="0" w:lastColumn="0" w:oddVBand="1" w:evenVBand="0" w:oddHBand="0" w:evenHBand="0" w:firstRowFirstColumn="0" w:firstRowLastColumn="0" w:lastRowFirstColumn="0" w:lastRowLastColumn="0"/>
            <w:tcW w:w="1260" w:type="dxa"/>
            <w:tcBorders>
              <w:top w:val="single" w:sz="4" w:space="0" w:color="auto"/>
              <w:left w:val="single" w:sz="4" w:space="0" w:color="auto"/>
              <w:bottom w:val="single" w:sz="4" w:space="0" w:color="auto"/>
              <w:right w:val="single" w:sz="4" w:space="0" w:color="auto"/>
            </w:tcBorders>
          </w:tcPr>
          <w:p w14:paraId="2FC6872F" w14:textId="07F6782A" w:rsidR="00EC3263" w:rsidRDefault="00720594" w:rsidP="00FC3343">
            <w:pPr>
              <w:jc w:val="center"/>
            </w:pPr>
            <w:r>
              <w:t>01/25</w:t>
            </w:r>
          </w:p>
        </w:tc>
      </w:tr>
      <w:tr w:rsidR="000D20E9" w14:paraId="3827904E" w14:textId="77777777" w:rsidTr="00BB772B">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7280" w:type="dxa"/>
            <w:tcBorders>
              <w:top w:val="single" w:sz="4" w:space="0" w:color="auto"/>
              <w:left w:val="single" w:sz="4" w:space="0" w:color="auto"/>
              <w:bottom w:val="single" w:sz="4" w:space="0" w:color="auto"/>
              <w:right w:val="single" w:sz="4" w:space="0" w:color="auto"/>
            </w:tcBorders>
          </w:tcPr>
          <w:p w14:paraId="4F5B91CD" w14:textId="01D618FA" w:rsidR="000D20E9" w:rsidRDefault="000D20E9" w:rsidP="00FC3343">
            <w:pPr>
              <w:tabs>
                <w:tab w:val="num" w:pos="720"/>
              </w:tabs>
              <w:rPr>
                <w:bCs/>
              </w:rPr>
            </w:pPr>
            <w:r>
              <w:rPr>
                <w:bCs/>
              </w:rPr>
              <w:t xml:space="preserve">Annual review. </w:t>
            </w:r>
            <w:r w:rsidR="00FC3BBC">
              <w:rPr>
                <w:bCs/>
              </w:rPr>
              <w:t xml:space="preserve">Description and background updated with no clinical significance. </w:t>
            </w:r>
            <w:r w:rsidR="00DA7D8D">
              <w:rPr>
                <w:bCs/>
              </w:rPr>
              <w:t xml:space="preserve">Table 1 updated. </w:t>
            </w:r>
            <w:r w:rsidR="00A77812">
              <w:rPr>
                <w:bCs/>
              </w:rPr>
              <w:t xml:space="preserve">For criteria I.C.2, </w:t>
            </w:r>
            <w:r w:rsidR="005D2E52">
              <w:rPr>
                <w:bCs/>
              </w:rPr>
              <w:t>the corresponding note was updated</w:t>
            </w:r>
            <w:r w:rsidR="00C3658E">
              <w:rPr>
                <w:bCs/>
              </w:rPr>
              <w:t xml:space="preserve"> with no impact on criteria</w:t>
            </w:r>
            <w:r w:rsidR="005D2E52">
              <w:rPr>
                <w:bCs/>
              </w:rPr>
              <w:t xml:space="preserve">. </w:t>
            </w:r>
            <w:r w:rsidR="00C812EC">
              <w:rPr>
                <w:bCs/>
              </w:rPr>
              <w:t>For criteria I.C.8, a</w:t>
            </w:r>
            <w:r w:rsidR="00014E95">
              <w:rPr>
                <w:bCs/>
              </w:rPr>
              <w:t>dded</w:t>
            </w:r>
            <w:r w:rsidR="00C812EC">
              <w:t xml:space="preserve"> “</w:t>
            </w:r>
            <w:r w:rsidR="007D7B46">
              <w:t>It is recommended that</w:t>
            </w:r>
            <w:r w:rsidR="00C812EC">
              <w:t xml:space="preserve"> an infant</w:t>
            </w:r>
            <w:r w:rsidR="00FA4062">
              <w:t>…</w:t>
            </w:r>
            <w:r w:rsidR="0043015C">
              <w:t xml:space="preserve">signs of </w:t>
            </w:r>
            <w:r w:rsidR="00C812EC">
              <w:t>withdrawal</w:t>
            </w:r>
            <w:r w:rsidR="00FA4062">
              <w:rPr>
                <w:bCs/>
              </w:rPr>
              <w:t>” as a note.</w:t>
            </w:r>
            <w:r w:rsidR="00D82DDE">
              <w:rPr>
                <w:bCs/>
              </w:rPr>
              <w:t xml:space="preserve"> </w:t>
            </w:r>
            <w:r>
              <w:rPr>
                <w:bCs/>
              </w:rPr>
              <w:t xml:space="preserve">References reviewed and updated. </w:t>
            </w:r>
          </w:p>
        </w:tc>
        <w:tc>
          <w:tcPr>
            <w:tcW w:w="1108" w:type="dxa"/>
            <w:tcBorders>
              <w:top w:val="single" w:sz="4" w:space="0" w:color="auto"/>
              <w:left w:val="single" w:sz="4" w:space="0" w:color="auto"/>
              <w:bottom w:val="single" w:sz="4" w:space="0" w:color="auto"/>
              <w:right w:val="single" w:sz="4" w:space="0" w:color="auto"/>
            </w:tcBorders>
          </w:tcPr>
          <w:p w14:paraId="06F55006" w14:textId="54D86437" w:rsidR="000D20E9" w:rsidRDefault="000D20E9" w:rsidP="00FC3343">
            <w:pPr>
              <w:jc w:val="center"/>
              <w:cnfStyle w:val="000000100000" w:firstRow="0" w:lastRow="0" w:firstColumn="0" w:lastColumn="0" w:oddVBand="0" w:evenVBand="0" w:oddHBand="1" w:evenHBand="0" w:firstRowFirstColumn="0" w:firstRowLastColumn="0" w:lastRowFirstColumn="0" w:lastRowLastColumn="0"/>
            </w:pPr>
            <w:r>
              <w:t>06/25</w:t>
            </w:r>
          </w:p>
        </w:tc>
        <w:tc>
          <w:tcPr>
            <w:cnfStyle w:val="000010000000" w:firstRow="0" w:lastRow="0" w:firstColumn="0" w:lastColumn="0" w:oddVBand="1" w:evenVBand="0" w:oddHBand="0" w:evenHBand="0" w:firstRowFirstColumn="0" w:firstRowLastColumn="0" w:lastRowFirstColumn="0" w:lastRowLastColumn="0"/>
            <w:tcW w:w="1260" w:type="dxa"/>
            <w:tcBorders>
              <w:top w:val="single" w:sz="4" w:space="0" w:color="auto"/>
              <w:left w:val="single" w:sz="4" w:space="0" w:color="auto"/>
              <w:bottom w:val="single" w:sz="4" w:space="0" w:color="auto"/>
              <w:right w:val="single" w:sz="4" w:space="0" w:color="auto"/>
            </w:tcBorders>
          </w:tcPr>
          <w:p w14:paraId="0C0BB4E6" w14:textId="6849E0EB" w:rsidR="000D20E9" w:rsidRDefault="00721DA8" w:rsidP="00FC3343">
            <w:pPr>
              <w:jc w:val="center"/>
            </w:pPr>
            <w:r>
              <w:t>06/25</w:t>
            </w:r>
          </w:p>
        </w:tc>
      </w:tr>
    </w:tbl>
    <w:p w14:paraId="1CB4F8C5" w14:textId="3412445D" w:rsidR="00B777AF" w:rsidRDefault="00FC0474" w:rsidP="00FC0474">
      <w:pPr>
        <w:pStyle w:val="Heading6"/>
        <w:tabs>
          <w:tab w:val="clear" w:pos="0"/>
          <w:tab w:val="left" w:pos="435"/>
        </w:tabs>
        <w:jc w:val="left"/>
      </w:pPr>
      <w:r>
        <w:tab/>
      </w:r>
    </w:p>
    <w:p w14:paraId="65B84C2B" w14:textId="210FCD1F" w:rsidR="00963062" w:rsidRPr="00B777AF" w:rsidRDefault="000150F0" w:rsidP="00963062">
      <w:pPr>
        <w:pStyle w:val="Heading3"/>
      </w:pPr>
      <w:r>
        <w:t>References</w:t>
      </w:r>
    </w:p>
    <w:p w14:paraId="3DB99885" w14:textId="77777777" w:rsidR="00FC3343" w:rsidRPr="009B5DC7" w:rsidRDefault="00FC3343" w:rsidP="00FC3343">
      <w:pPr>
        <w:pStyle w:val="ListParagraph"/>
        <w:numPr>
          <w:ilvl w:val="0"/>
          <w:numId w:val="21"/>
        </w:numPr>
        <w:ind w:left="360"/>
        <w:rPr>
          <w:bCs/>
        </w:rPr>
      </w:pPr>
      <w:r w:rsidRPr="009B5DC7">
        <w:rPr>
          <w:shd w:val="clear" w:color="auto" w:fill="FFFFFF"/>
        </w:rPr>
        <w:t>Backes CH, Backes CR, Gardner D, Nankervis CA, Giannone PJ, Cordero L. Neonatal abstinence syndrome: transitioning methadone-treated infants from an inpatient to an outpatient setting. </w:t>
      </w:r>
      <w:r w:rsidRPr="009B5DC7">
        <w:rPr>
          <w:i/>
          <w:iCs/>
          <w:shd w:val="clear" w:color="auto" w:fill="FFFFFF"/>
        </w:rPr>
        <w:t xml:space="preserve">J </w:t>
      </w:r>
      <w:proofErr w:type="spellStart"/>
      <w:r w:rsidRPr="009B5DC7">
        <w:rPr>
          <w:i/>
          <w:iCs/>
          <w:shd w:val="clear" w:color="auto" w:fill="FFFFFF"/>
        </w:rPr>
        <w:t>Perinatol</w:t>
      </w:r>
      <w:proofErr w:type="spellEnd"/>
      <w:r w:rsidRPr="009B5DC7">
        <w:rPr>
          <w:shd w:val="clear" w:color="auto" w:fill="FFFFFF"/>
        </w:rPr>
        <w:t>. 2012;32(6):425</w:t>
      </w:r>
      <w:r>
        <w:rPr>
          <w:shd w:val="clear" w:color="auto" w:fill="FFFFFF"/>
        </w:rPr>
        <w:t xml:space="preserve"> to </w:t>
      </w:r>
      <w:r w:rsidRPr="009B5DC7">
        <w:rPr>
          <w:shd w:val="clear" w:color="auto" w:fill="FFFFFF"/>
        </w:rPr>
        <w:t>430. doi:10.1038/jp.2011.114</w:t>
      </w:r>
      <w:r w:rsidRPr="009B5DC7">
        <w:rPr>
          <w:bCs/>
        </w:rPr>
        <w:t xml:space="preserve">  </w:t>
      </w:r>
    </w:p>
    <w:p w14:paraId="141D00C2" w14:textId="77777777" w:rsidR="00FC3343" w:rsidRPr="009B5DC7" w:rsidRDefault="00FC3343" w:rsidP="00FC3343">
      <w:pPr>
        <w:pStyle w:val="ListParagraph"/>
        <w:numPr>
          <w:ilvl w:val="0"/>
          <w:numId w:val="21"/>
        </w:numPr>
        <w:ind w:left="360"/>
        <w:rPr>
          <w:bCs/>
        </w:rPr>
      </w:pPr>
      <w:r w:rsidRPr="009B5DC7">
        <w:rPr>
          <w:shd w:val="clear" w:color="auto" w:fill="FFFFFF"/>
        </w:rPr>
        <w:t>Dow K, Ordean A, Murphy-</w:t>
      </w:r>
      <w:proofErr w:type="spellStart"/>
      <w:r w:rsidRPr="009B5DC7">
        <w:rPr>
          <w:shd w:val="clear" w:color="auto" w:fill="FFFFFF"/>
        </w:rPr>
        <w:t>Oikonen</w:t>
      </w:r>
      <w:proofErr w:type="spellEnd"/>
      <w:r w:rsidRPr="009B5DC7">
        <w:rPr>
          <w:shd w:val="clear" w:color="auto" w:fill="FFFFFF"/>
        </w:rPr>
        <w:t xml:space="preserve"> J, et al. Neonatal abstinence syndrome clinical practice guidelines for Ontario. </w:t>
      </w:r>
      <w:r w:rsidRPr="009B5DC7">
        <w:rPr>
          <w:i/>
          <w:iCs/>
          <w:shd w:val="clear" w:color="auto" w:fill="FFFFFF"/>
        </w:rPr>
        <w:t xml:space="preserve">J </w:t>
      </w:r>
      <w:proofErr w:type="spellStart"/>
      <w:r w:rsidRPr="009B5DC7">
        <w:rPr>
          <w:i/>
          <w:iCs/>
          <w:shd w:val="clear" w:color="auto" w:fill="FFFFFF"/>
        </w:rPr>
        <w:t>Popul</w:t>
      </w:r>
      <w:proofErr w:type="spellEnd"/>
      <w:r w:rsidRPr="009B5DC7">
        <w:rPr>
          <w:i/>
          <w:iCs/>
          <w:shd w:val="clear" w:color="auto" w:fill="FFFFFF"/>
        </w:rPr>
        <w:t xml:space="preserve"> Ther Clin </w:t>
      </w:r>
      <w:proofErr w:type="spellStart"/>
      <w:r w:rsidRPr="009B5DC7">
        <w:rPr>
          <w:i/>
          <w:iCs/>
          <w:shd w:val="clear" w:color="auto" w:fill="FFFFFF"/>
        </w:rPr>
        <w:t>Pharmacol</w:t>
      </w:r>
      <w:proofErr w:type="spellEnd"/>
      <w:r w:rsidRPr="009B5DC7">
        <w:rPr>
          <w:shd w:val="clear" w:color="auto" w:fill="FFFFFF"/>
        </w:rPr>
        <w:t>. 2012;19(3):e488</w:t>
      </w:r>
      <w:r>
        <w:rPr>
          <w:shd w:val="clear" w:color="auto" w:fill="FFFFFF"/>
        </w:rPr>
        <w:t xml:space="preserve"> to </w:t>
      </w:r>
      <w:r w:rsidRPr="009B5DC7">
        <w:rPr>
          <w:shd w:val="clear" w:color="auto" w:fill="FFFFFF"/>
        </w:rPr>
        <w:t>e506</w:t>
      </w:r>
      <w:r>
        <w:rPr>
          <w:shd w:val="clear" w:color="auto" w:fill="FFFFFF"/>
        </w:rPr>
        <w:t xml:space="preserve">. </w:t>
      </w:r>
    </w:p>
    <w:p w14:paraId="37B2CF2B" w14:textId="34D507AA" w:rsidR="00FC3343" w:rsidRDefault="00FC3343" w:rsidP="00FC3343">
      <w:pPr>
        <w:pStyle w:val="ListParagraph"/>
        <w:numPr>
          <w:ilvl w:val="0"/>
          <w:numId w:val="21"/>
        </w:numPr>
        <w:ind w:left="360"/>
        <w:rPr>
          <w:bCs/>
        </w:rPr>
      </w:pPr>
      <w:r w:rsidRPr="009B5DC7">
        <w:rPr>
          <w:bCs/>
        </w:rPr>
        <w:t xml:space="preserve">Hamdan AH. Neonatal abstinence syndrome </w:t>
      </w:r>
      <w:r>
        <w:rPr>
          <w:bCs/>
        </w:rPr>
        <w:t xml:space="preserve">treatment &amp; </w:t>
      </w:r>
      <w:r w:rsidRPr="009B5DC7">
        <w:rPr>
          <w:bCs/>
        </w:rPr>
        <w:t xml:space="preserve">management. </w:t>
      </w:r>
      <w:r w:rsidRPr="000455A1">
        <w:rPr>
          <w:bCs/>
          <w:i/>
          <w:iCs/>
        </w:rPr>
        <w:t>Medscape</w:t>
      </w:r>
      <w:r>
        <w:rPr>
          <w:bCs/>
        </w:rPr>
        <w:t xml:space="preserve">. </w:t>
      </w:r>
      <w:hyperlink r:id="rId18" w:anchor="d5" w:history="1">
        <w:r w:rsidRPr="003F5CAD">
          <w:rPr>
            <w:rStyle w:val="Hyperlink"/>
            <w:bCs/>
          </w:rPr>
          <w:t>https://emedicine.medscape.com/article/978763-treatment#d5</w:t>
        </w:r>
      </w:hyperlink>
      <w:r>
        <w:rPr>
          <w:bCs/>
        </w:rPr>
        <w:t xml:space="preserve">. Published December 20, 2017. Updated May 17, 2023. Accessed </w:t>
      </w:r>
      <w:r w:rsidR="0024623B">
        <w:rPr>
          <w:bCs/>
        </w:rPr>
        <w:t>April 24, 2025</w:t>
      </w:r>
      <w:r>
        <w:rPr>
          <w:bCs/>
        </w:rPr>
        <w:t xml:space="preserve">. </w:t>
      </w:r>
    </w:p>
    <w:p w14:paraId="61C28367" w14:textId="77777777" w:rsidR="00FC3343" w:rsidRPr="00F919E7" w:rsidRDefault="00FC3343" w:rsidP="00FC3343">
      <w:pPr>
        <w:pStyle w:val="ListParagraph"/>
        <w:numPr>
          <w:ilvl w:val="0"/>
          <w:numId w:val="21"/>
        </w:numPr>
        <w:ind w:left="360"/>
        <w:rPr>
          <w:rFonts w:cstheme="minorHAnsi"/>
        </w:rPr>
      </w:pPr>
      <w:r w:rsidRPr="00927806">
        <w:rPr>
          <w:shd w:val="clear" w:color="auto" w:fill="FFFFFF"/>
        </w:rPr>
        <w:t>Hudak ML, Tan RC; COMMITTEE ON DRUGS; COMMITTEE ON FETUS AND NEWBORN; American Academy of Pediatrics. Neonatal drug withdrawal [published correction appears in Pediatrics. 2014 May;133(5):937]. </w:t>
      </w:r>
      <w:r w:rsidRPr="00F919E7">
        <w:rPr>
          <w:i/>
          <w:iCs/>
          <w:shd w:val="clear" w:color="auto" w:fill="FFFFFF"/>
        </w:rPr>
        <w:t>Pediatrics</w:t>
      </w:r>
      <w:r w:rsidRPr="00F919E7">
        <w:rPr>
          <w:shd w:val="clear" w:color="auto" w:fill="FFFFFF"/>
        </w:rPr>
        <w:t>. 2012;129(2):e540</w:t>
      </w:r>
      <w:r>
        <w:rPr>
          <w:shd w:val="clear" w:color="auto" w:fill="FFFFFF"/>
        </w:rPr>
        <w:t xml:space="preserve"> to </w:t>
      </w:r>
      <w:r w:rsidRPr="00F919E7">
        <w:rPr>
          <w:shd w:val="clear" w:color="auto" w:fill="FFFFFF"/>
        </w:rPr>
        <w:t>e560. doi:10.1542/peds.2011-3212</w:t>
      </w:r>
      <w:r>
        <w:rPr>
          <w:shd w:val="clear" w:color="auto" w:fill="FFFFFF"/>
        </w:rPr>
        <w:t xml:space="preserve"> </w:t>
      </w:r>
    </w:p>
    <w:p w14:paraId="7E37FE00" w14:textId="77777777" w:rsidR="00FC3343" w:rsidRPr="00927806" w:rsidRDefault="00FC3343" w:rsidP="00FC3343">
      <w:pPr>
        <w:pStyle w:val="ListParagraph"/>
        <w:numPr>
          <w:ilvl w:val="0"/>
          <w:numId w:val="21"/>
        </w:numPr>
        <w:ind w:left="360"/>
        <w:rPr>
          <w:rFonts w:cstheme="minorHAnsi"/>
        </w:rPr>
      </w:pPr>
      <w:r w:rsidRPr="00BD25ED">
        <w:rPr>
          <w:rFonts w:cstheme="minorHAnsi"/>
        </w:rPr>
        <w:t>Grisham LM, Stephen MM, Coykendall MR, Kane MF, Maurer JA, Bader MY. Eat, Sleep, Console Approach: A Family-Centered Model for the Treatment of Neonatal Abstinence Syndrome. </w:t>
      </w:r>
      <w:r w:rsidRPr="00BD25ED">
        <w:rPr>
          <w:rFonts w:cstheme="minorHAnsi"/>
          <w:i/>
          <w:iCs/>
        </w:rPr>
        <w:t>Adv Neonatal Care</w:t>
      </w:r>
      <w:r w:rsidRPr="00BD25ED">
        <w:rPr>
          <w:rFonts w:cstheme="minorHAnsi"/>
        </w:rPr>
        <w:t>. 2019;19(2):138</w:t>
      </w:r>
      <w:r>
        <w:rPr>
          <w:rFonts w:cstheme="minorHAnsi"/>
        </w:rPr>
        <w:t xml:space="preserve"> to </w:t>
      </w:r>
      <w:r w:rsidRPr="00BD25ED">
        <w:rPr>
          <w:rFonts w:cstheme="minorHAnsi"/>
        </w:rPr>
        <w:t>144.</w:t>
      </w:r>
      <w:r>
        <w:rPr>
          <w:rFonts w:cstheme="minorHAnsi"/>
        </w:rPr>
        <w:t xml:space="preserve"> </w:t>
      </w:r>
      <w:r w:rsidRPr="00BD25ED">
        <w:rPr>
          <w:rFonts w:cstheme="minorHAnsi"/>
        </w:rPr>
        <w:t>doi:10.1097/ANC.0000000000000581</w:t>
      </w:r>
      <w:r>
        <w:rPr>
          <w:rFonts w:cstheme="minorHAnsi"/>
        </w:rPr>
        <w:t xml:space="preserve"> </w:t>
      </w:r>
    </w:p>
    <w:p w14:paraId="4518424E" w14:textId="77777777" w:rsidR="00FC3343" w:rsidRPr="009B5DC7" w:rsidRDefault="00FC3343" w:rsidP="00FC3343">
      <w:pPr>
        <w:pStyle w:val="ListParagraph"/>
        <w:numPr>
          <w:ilvl w:val="0"/>
          <w:numId w:val="21"/>
        </w:numPr>
        <w:ind w:left="360"/>
      </w:pPr>
      <w:r w:rsidRPr="009B5DC7">
        <w:rPr>
          <w:shd w:val="clear" w:color="auto" w:fill="FFFFFF"/>
        </w:rPr>
        <w:t>Jansson LM, Velez M, Harrow C. The opioid-exposed newborn: assessment and pharmacologic management. </w:t>
      </w:r>
      <w:r w:rsidRPr="009B5DC7">
        <w:rPr>
          <w:i/>
          <w:iCs/>
          <w:shd w:val="clear" w:color="auto" w:fill="FFFFFF"/>
        </w:rPr>
        <w:t>J Opioid Manag</w:t>
      </w:r>
      <w:r w:rsidRPr="009B5DC7">
        <w:rPr>
          <w:shd w:val="clear" w:color="auto" w:fill="FFFFFF"/>
        </w:rPr>
        <w:t>. 2009;5(1):47</w:t>
      </w:r>
      <w:r>
        <w:rPr>
          <w:shd w:val="clear" w:color="auto" w:fill="FFFFFF"/>
        </w:rPr>
        <w:t xml:space="preserve"> to </w:t>
      </w:r>
      <w:r w:rsidRPr="009B5DC7">
        <w:rPr>
          <w:shd w:val="clear" w:color="auto" w:fill="FFFFFF"/>
        </w:rPr>
        <w:t>55</w:t>
      </w:r>
      <w:r w:rsidRPr="009B5DC7">
        <w:rPr>
          <w:rFonts w:ascii="Segoe UI" w:hAnsi="Segoe UI" w:cs="Segoe UI"/>
          <w:shd w:val="clear" w:color="auto" w:fill="FFFFFF"/>
        </w:rPr>
        <w:t>.</w:t>
      </w:r>
      <w:r w:rsidRPr="009B5DC7">
        <w:t xml:space="preserve"> </w:t>
      </w:r>
    </w:p>
    <w:p w14:paraId="4EB4915D" w14:textId="77777777" w:rsidR="00FC3343" w:rsidRPr="009B5DC7" w:rsidRDefault="00FC3343" w:rsidP="00FC3343">
      <w:pPr>
        <w:pStyle w:val="ListParagraph"/>
        <w:numPr>
          <w:ilvl w:val="0"/>
          <w:numId w:val="21"/>
        </w:numPr>
        <w:shd w:val="clear" w:color="auto" w:fill="FFFFFF"/>
        <w:ind w:left="360"/>
      </w:pPr>
      <w:r w:rsidRPr="009B5DC7">
        <w:rPr>
          <w:shd w:val="clear" w:color="auto" w:fill="FFFFFF"/>
        </w:rPr>
        <w:lastRenderedPageBreak/>
        <w:t>Johnson PN, Harrison DL, Castro CH, Miller JL. A pilot study assessing the frequency and complexity of methadone tapers for opioid abstinence syndrome in children discharged to home. </w:t>
      </w:r>
      <w:r w:rsidRPr="009B5DC7">
        <w:rPr>
          <w:i/>
          <w:iCs/>
          <w:shd w:val="clear" w:color="auto" w:fill="FFFFFF"/>
        </w:rPr>
        <w:t>Res Social Adm Pharm</w:t>
      </w:r>
      <w:r w:rsidRPr="009B5DC7">
        <w:rPr>
          <w:shd w:val="clear" w:color="auto" w:fill="FFFFFF"/>
        </w:rPr>
        <w:t>. 2012;8(5):455</w:t>
      </w:r>
      <w:r>
        <w:rPr>
          <w:shd w:val="clear" w:color="auto" w:fill="FFFFFF"/>
        </w:rPr>
        <w:t xml:space="preserve"> to </w:t>
      </w:r>
      <w:r w:rsidRPr="009B5DC7">
        <w:rPr>
          <w:shd w:val="clear" w:color="auto" w:fill="FFFFFF"/>
        </w:rPr>
        <w:t>463. doi:10.1016/j.sapharm.2011.12.002</w:t>
      </w:r>
      <w:r w:rsidRPr="009B5DC7">
        <w:t xml:space="preserve"> </w:t>
      </w:r>
    </w:p>
    <w:p w14:paraId="00396D43" w14:textId="77777777" w:rsidR="00FC3343" w:rsidRPr="009B5DC7" w:rsidRDefault="00FC3343" w:rsidP="00FC3343">
      <w:pPr>
        <w:pStyle w:val="ListParagraph"/>
        <w:numPr>
          <w:ilvl w:val="0"/>
          <w:numId w:val="21"/>
        </w:numPr>
        <w:shd w:val="clear" w:color="auto" w:fill="FFFFFF"/>
        <w:ind w:left="360"/>
      </w:pPr>
      <w:r w:rsidRPr="009B5DC7">
        <w:rPr>
          <w:shd w:val="clear" w:color="auto" w:fill="FFFFFF"/>
        </w:rPr>
        <w:t>Lee J, Hulman S, Musci M Jr, Stang E. Neonatal Abstinence Syndrome: Influence of a Combined Inpatient/Outpatient Methadone Treatment Regimen on the Average Length of Stay of a Medicaid NICU Population. </w:t>
      </w:r>
      <w:proofErr w:type="spellStart"/>
      <w:r w:rsidRPr="009B5DC7">
        <w:rPr>
          <w:i/>
          <w:iCs/>
          <w:shd w:val="clear" w:color="auto" w:fill="FFFFFF"/>
        </w:rPr>
        <w:t>Popul</w:t>
      </w:r>
      <w:proofErr w:type="spellEnd"/>
      <w:r w:rsidRPr="009B5DC7">
        <w:rPr>
          <w:i/>
          <w:iCs/>
          <w:shd w:val="clear" w:color="auto" w:fill="FFFFFF"/>
        </w:rPr>
        <w:t xml:space="preserve"> Health Manag</w:t>
      </w:r>
      <w:r w:rsidRPr="009B5DC7">
        <w:rPr>
          <w:shd w:val="clear" w:color="auto" w:fill="FFFFFF"/>
        </w:rPr>
        <w:t>. 2015;18(5):392</w:t>
      </w:r>
      <w:r>
        <w:rPr>
          <w:shd w:val="clear" w:color="auto" w:fill="FFFFFF"/>
        </w:rPr>
        <w:t xml:space="preserve"> to </w:t>
      </w:r>
      <w:r w:rsidRPr="009B5DC7">
        <w:rPr>
          <w:shd w:val="clear" w:color="auto" w:fill="FFFFFF"/>
        </w:rPr>
        <w:t xml:space="preserve">397. </w:t>
      </w:r>
      <w:r w:rsidRPr="00FA092C">
        <w:rPr>
          <w:shd w:val="clear" w:color="auto" w:fill="FFFFFF"/>
        </w:rPr>
        <w:t>doi:10.1089/pop.2014.0134</w:t>
      </w:r>
      <w:r>
        <w:rPr>
          <w:shd w:val="clear" w:color="auto" w:fill="FFFFFF"/>
        </w:rPr>
        <w:t xml:space="preserve"> </w:t>
      </w:r>
    </w:p>
    <w:p w14:paraId="362159F7" w14:textId="77777777" w:rsidR="00FC3343" w:rsidRPr="009B5DC7" w:rsidRDefault="00FC3343" w:rsidP="00FC3343">
      <w:pPr>
        <w:pStyle w:val="ListParagraph"/>
        <w:numPr>
          <w:ilvl w:val="0"/>
          <w:numId w:val="21"/>
        </w:numPr>
        <w:shd w:val="clear" w:color="auto" w:fill="FFFFFF"/>
        <w:ind w:left="360"/>
        <w:rPr>
          <w:bCs/>
        </w:rPr>
      </w:pPr>
      <w:r w:rsidRPr="009B5DC7">
        <w:rPr>
          <w:shd w:val="clear" w:color="auto" w:fill="FFFFFF"/>
        </w:rPr>
        <w:t>O'Grady MJ, Hopewell J, White MJ. Management of neonatal abstinence syndrome: a national survey and review of practice. </w:t>
      </w:r>
      <w:r w:rsidRPr="009B5DC7">
        <w:rPr>
          <w:i/>
          <w:iCs/>
          <w:shd w:val="clear" w:color="auto" w:fill="FFFFFF"/>
        </w:rPr>
        <w:t>Arch Dis Child Fetal Neonatal Ed</w:t>
      </w:r>
      <w:r w:rsidRPr="009B5DC7">
        <w:rPr>
          <w:shd w:val="clear" w:color="auto" w:fill="FFFFFF"/>
        </w:rPr>
        <w:t>. 2009;94(4):F249</w:t>
      </w:r>
      <w:r>
        <w:rPr>
          <w:shd w:val="clear" w:color="auto" w:fill="FFFFFF"/>
        </w:rPr>
        <w:t xml:space="preserve"> to </w:t>
      </w:r>
      <w:r w:rsidRPr="009B5DC7">
        <w:rPr>
          <w:shd w:val="clear" w:color="auto" w:fill="FFFFFF"/>
        </w:rPr>
        <w:t>F252. doi:10.1136/adc.2008.152769</w:t>
      </w:r>
      <w:r>
        <w:rPr>
          <w:shd w:val="clear" w:color="auto" w:fill="FFFFFF"/>
        </w:rPr>
        <w:t xml:space="preserve"> </w:t>
      </w:r>
    </w:p>
    <w:p w14:paraId="38851C2B" w14:textId="77777777" w:rsidR="00FC3343" w:rsidRPr="006B3A17" w:rsidRDefault="00FC3343" w:rsidP="00FC3343">
      <w:pPr>
        <w:pStyle w:val="ListParagraph"/>
        <w:numPr>
          <w:ilvl w:val="0"/>
          <w:numId w:val="21"/>
        </w:numPr>
        <w:shd w:val="clear" w:color="auto" w:fill="FFFFFF"/>
        <w:ind w:left="360"/>
        <w:rPr>
          <w:bCs/>
        </w:rPr>
      </w:pPr>
      <w:r w:rsidRPr="009B5DC7">
        <w:rPr>
          <w:shd w:val="clear" w:color="auto" w:fill="FFFFFF"/>
        </w:rPr>
        <w:t>Patrick SW, Barfield WD, Poindexter BB; COMMITTEE ON FETUS AND NEWBORN, COMMITTEE ON SUBSTANCE USE AND PREVENTION. Neonatal Opioid Withdrawal Syndrome. </w:t>
      </w:r>
      <w:r w:rsidRPr="000455A1">
        <w:rPr>
          <w:i/>
          <w:iCs/>
          <w:shd w:val="clear" w:color="auto" w:fill="FFFFFF"/>
        </w:rPr>
        <w:t>Pediatrics</w:t>
      </w:r>
      <w:r w:rsidRPr="009B5DC7">
        <w:rPr>
          <w:shd w:val="clear" w:color="auto" w:fill="FFFFFF"/>
        </w:rPr>
        <w:t>. 2020;146(5):e2020029074. doi:10.1542/peds.2020-029074</w:t>
      </w:r>
      <w:r>
        <w:rPr>
          <w:shd w:val="clear" w:color="auto" w:fill="FFFFFF"/>
        </w:rPr>
        <w:t xml:space="preserve"> </w:t>
      </w:r>
    </w:p>
    <w:p w14:paraId="659671C3" w14:textId="77777777" w:rsidR="00FC3343" w:rsidRPr="006B3A17" w:rsidRDefault="00FC3343" w:rsidP="00FC3343">
      <w:pPr>
        <w:pStyle w:val="ListParagraph"/>
        <w:numPr>
          <w:ilvl w:val="0"/>
          <w:numId w:val="21"/>
        </w:numPr>
        <w:shd w:val="clear" w:color="auto" w:fill="FFFFFF"/>
        <w:ind w:left="360"/>
        <w:rPr>
          <w:bCs/>
        </w:rPr>
      </w:pPr>
      <w:r w:rsidRPr="002A72CD">
        <w:rPr>
          <w:shd w:val="clear" w:color="auto" w:fill="FFFFFF"/>
        </w:rPr>
        <w:t xml:space="preserve">Grossman MR, </w:t>
      </w:r>
      <w:proofErr w:type="spellStart"/>
      <w:r w:rsidRPr="002A72CD">
        <w:rPr>
          <w:shd w:val="clear" w:color="auto" w:fill="FFFFFF"/>
        </w:rPr>
        <w:t>Berkwitt</w:t>
      </w:r>
      <w:proofErr w:type="spellEnd"/>
      <w:r w:rsidRPr="002A72CD">
        <w:rPr>
          <w:shd w:val="clear" w:color="auto" w:fill="FFFFFF"/>
        </w:rPr>
        <w:t xml:space="preserve"> AK, Osborn RR, et al. An Initiative to Improve the Quality of Care of Infants </w:t>
      </w:r>
      <w:proofErr w:type="gramStart"/>
      <w:r w:rsidRPr="002A72CD">
        <w:rPr>
          <w:shd w:val="clear" w:color="auto" w:fill="FFFFFF"/>
        </w:rPr>
        <w:t>With</w:t>
      </w:r>
      <w:proofErr w:type="gramEnd"/>
      <w:r w:rsidRPr="002A72CD">
        <w:rPr>
          <w:shd w:val="clear" w:color="auto" w:fill="FFFFFF"/>
        </w:rPr>
        <w:t xml:space="preserve"> Neonatal Abstinence Syndrome. </w:t>
      </w:r>
      <w:r w:rsidRPr="002A72CD">
        <w:rPr>
          <w:i/>
          <w:iCs/>
          <w:shd w:val="clear" w:color="auto" w:fill="FFFFFF"/>
        </w:rPr>
        <w:t>Pediatrics</w:t>
      </w:r>
      <w:r w:rsidRPr="002A72CD">
        <w:rPr>
          <w:shd w:val="clear" w:color="auto" w:fill="FFFFFF"/>
        </w:rPr>
        <w:t>. 2017;139(6):e20163360. doi:10.1542/peds.2016-3360</w:t>
      </w:r>
      <w:r>
        <w:rPr>
          <w:shd w:val="clear" w:color="auto" w:fill="FFFFFF"/>
        </w:rPr>
        <w:t xml:space="preserve"> </w:t>
      </w:r>
    </w:p>
    <w:p w14:paraId="5797455E" w14:textId="77777777" w:rsidR="00FC3343" w:rsidRPr="006B3A17" w:rsidRDefault="00FC3343" w:rsidP="00FC3343">
      <w:pPr>
        <w:pStyle w:val="ListParagraph"/>
        <w:numPr>
          <w:ilvl w:val="0"/>
          <w:numId w:val="21"/>
        </w:numPr>
        <w:shd w:val="clear" w:color="auto" w:fill="FFFFFF"/>
        <w:ind w:left="360"/>
        <w:rPr>
          <w:bCs/>
        </w:rPr>
      </w:pPr>
      <w:r w:rsidRPr="00B70C96">
        <w:rPr>
          <w:shd w:val="clear" w:color="auto" w:fill="FFFFFF"/>
        </w:rPr>
        <w:t>Wachman EM, Grossman M, Schiff DM, et al. Quality improvement initiative to improve inpatient outcomes for Neonatal Abstinence Syndrome. </w:t>
      </w:r>
      <w:r w:rsidRPr="00B70C96">
        <w:rPr>
          <w:i/>
          <w:iCs/>
          <w:shd w:val="clear" w:color="auto" w:fill="FFFFFF"/>
        </w:rPr>
        <w:t xml:space="preserve">J </w:t>
      </w:r>
      <w:proofErr w:type="spellStart"/>
      <w:r w:rsidRPr="00B70C96">
        <w:rPr>
          <w:i/>
          <w:iCs/>
          <w:shd w:val="clear" w:color="auto" w:fill="FFFFFF"/>
        </w:rPr>
        <w:t>Perinatol</w:t>
      </w:r>
      <w:proofErr w:type="spellEnd"/>
      <w:r w:rsidRPr="00B70C96">
        <w:rPr>
          <w:shd w:val="clear" w:color="auto" w:fill="FFFFFF"/>
        </w:rPr>
        <w:t>. 2018;38(8):1114</w:t>
      </w:r>
      <w:r>
        <w:rPr>
          <w:shd w:val="clear" w:color="auto" w:fill="FFFFFF"/>
        </w:rPr>
        <w:t xml:space="preserve"> to </w:t>
      </w:r>
      <w:r w:rsidRPr="00B70C96">
        <w:rPr>
          <w:shd w:val="clear" w:color="auto" w:fill="FFFFFF"/>
        </w:rPr>
        <w:t>1122. doi:10.1038/s41372-018-0109-8</w:t>
      </w:r>
      <w:r>
        <w:rPr>
          <w:shd w:val="clear" w:color="auto" w:fill="FFFFFF"/>
        </w:rPr>
        <w:t xml:space="preserve"> </w:t>
      </w:r>
    </w:p>
    <w:p w14:paraId="614D06D5" w14:textId="77777777" w:rsidR="00FC3343" w:rsidRDefault="00FC3343" w:rsidP="00FC3343">
      <w:pPr>
        <w:pStyle w:val="ListParagraph"/>
        <w:numPr>
          <w:ilvl w:val="0"/>
          <w:numId w:val="21"/>
        </w:numPr>
        <w:shd w:val="clear" w:color="auto" w:fill="FFFFFF"/>
        <w:ind w:left="360"/>
        <w:rPr>
          <w:bCs/>
        </w:rPr>
      </w:pPr>
      <w:r w:rsidRPr="000555A3">
        <w:rPr>
          <w:bCs/>
        </w:rPr>
        <w:t>Bailey BA, Wood DL, Shah D. Impact of pregnancy marijuana use on birth outcomes: results from two matched population-based cohorts. </w:t>
      </w:r>
      <w:r w:rsidRPr="000555A3">
        <w:rPr>
          <w:bCs/>
          <w:i/>
          <w:iCs/>
        </w:rPr>
        <w:t xml:space="preserve">J </w:t>
      </w:r>
      <w:proofErr w:type="spellStart"/>
      <w:r w:rsidRPr="000555A3">
        <w:rPr>
          <w:bCs/>
          <w:i/>
          <w:iCs/>
        </w:rPr>
        <w:t>Perinatol</w:t>
      </w:r>
      <w:proofErr w:type="spellEnd"/>
      <w:r w:rsidRPr="000555A3">
        <w:rPr>
          <w:bCs/>
        </w:rPr>
        <w:t>. 2020;40(10):1477</w:t>
      </w:r>
      <w:r>
        <w:rPr>
          <w:bCs/>
        </w:rPr>
        <w:t xml:space="preserve"> to </w:t>
      </w:r>
      <w:r w:rsidRPr="000555A3">
        <w:rPr>
          <w:bCs/>
        </w:rPr>
        <w:t>1482. doi:10.1038/s41372-020-0643-z</w:t>
      </w:r>
      <w:r>
        <w:rPr>
          <w:bCs/>
        </w:rPr>
        <w:t xml:space="preserve"> </w:t>
      </w:r>
    </w:p>
    <w:p w14:paraId="630BF17E" w14:textId="53F09D03" w:rsidR="00FC3343" w:rsidRDefault="00FC3343" w:rsidP="00FC3343">
      <w:pPr>
        <w:pStyle w:val="ListParagraph"/>
        <w:numPr>
          <w:ilvl w:val="0"/>
          <w:numId w:val="21"/>
        </w:numPr>
        <w:shd w:val="clear" w:color="auto" w:fill="FFFFFF"/>
        <w:ind w:left="360"/>
        <w:rPr>
          <w:bCs/>
        </w:rPr>
      </w:pPr>
      <w:r w:rsidRPr="006773AF">
        <w:rPr>
          <w:bCs/>
        </w:rPr>
        <w:t xml:space="preserve">Ryan SA, Ammerman SD, O'Connor ME; </w:t>
      </w:r>
      <w:r w:rsidR="007D1CEE">
        <w:rPr>
          <w:bCs/>
        </w:rPr>
        <w:t>COMMITTEE ON SUBSTANCE USE AND PREVENTION</w:t>
      </w:r>
      <w:r w:rsidRPr="006773AF">
        <w:rPr>
          <w:bCs/>
        </w:rPr>
        <w:t xml:space="preserve">; </w:t>
      </w:r>
      <w:r w:rsidR="00102AD5">
        <w:rPr>
          <w:bCs/>
        </w:rPr>
        <w:t>SECTION ON BREASTFEEDING</w:t>
      </w:r>
      <w:r w:rsidRPr="006773AF">
        <w:rPr>
          <w:bCs/>
        </w:rPr>
        <w:t xml:space="preserve">. Marijuana Use During Pregnancy and Breastfeeding: Implications for Neonatal and Childhood </w:t>
      </w:r>
      <w:r w:rsidR="009D31DF">
        <w:rPr>
          <w:bCs/>
        </w:rPr>
        <w:t>O</w:t>
      </w:r>
      <w:r w:rsidRPr="006773AF">
        <w:rPr>
          <w:bCs/>
        </w:rPr>
        <w:t xml:space="preserve">utcomes [published </w:t>
      </w:r>
      <w:r w:rsidR="00476EAE">
        <w:rPr>
          <w:bCs/>
        </w:rPr>
        <w:t xml:space="preserve">correction appears in Pediatrics. </w:t>
      </w:r>
      <w:r w:rsidRPr="006773AF">
        <w:rPr>
          <w:bCs/>
        </w:rPr>
        <w:t xml:space="preserve">2018 Aug </w:t>
      </w:r>
      <w:proofErr w:type="gramStart"/>
      <w:r w:rsidRPr="006773AF">
        <w:rPr>
          <w:bCs/>
        </w:rPr>
        <w:t>27</w:t>
      </w:r>
      <w:r w:rsidR="00B728ED">
        <w:rPr>
          <w:bCs/>
        </w:rPr>
        <w:t>:</w:t>
      </w:r>
      <w:r w:rsidRPr="006773AF">
        <w:rPr>
          <w:bCs/>
        </w:rPr>
        <w:t>e</w:t>
      </w:r>
      <w:proofErr w:type="gramEnd"/>
      <w:r w:rsidRPr="006773AF">
        <w:rPr>
          <w:bCs/>
        </w:rPr>
        <w:t>20181889A. doi:10.1542/peds.2018-1889A</w:t>
      </w:r>
      <w:r w:rsidR="0083232B">
        <w:rPr>
          <w:bCs/>
        </w:rPr>
        <w:t>]</w:t>
      </w:r>
      <w:r w:rsidR="00AE37D9">
        <w:rPr>
          <w:bCs/>
        </w:rPr>
        <w:t xml:space="preserve">. </w:t>
      </w:r>
      <w:r w:rsidR="00AE37D9" w:rsidRPr="00E521E8">
        <w:rPr>
          <w:bCs/>
          <w:i/>
          <w:iCs/>
        </w:rPr>
        <w:t>Pediatrics</w:t>
      </w:r>
      <w:r w:rsidR="00AE37D9">
        <w:rPr>
          <w:bCs/>
        </w:rPr>
        <w:t>.</w:t>
      </w:r>
      <w:r>
        <w:rPr>
          <w:bCs/>
        </w:rPr>
        <w:t xml:space="preserve"> </w:t>
      </w:r>
      <w:r w:rsidR="002E5B47">
        <w:rPr>
          <w:bCs/>
        </w:rPr>
        <w:t xml:space="preserve">2018:142(3):e20181889. </w:t>
      </w:r>
      <w:r w:rsidR="00DF23E2">
        <w:rPr>
          <w:bCs/>
        </w:rPr>
        <w:t>d</w:t>
      </w:r>
      <w:r w:rsidR="002E5B47">
        <w:rPr>
          <w:bCs/>
        </w:rPr>
        <w:t>oi:10</w:t>
      </w:r>
      <w:r w:rsidR="00214320">
        <w:rPr>
          <w:bCs/>
        </w:rPr>
        <w:t>.1542/peds.2018-</w:t>
      </w:r>
      <w:r w:rsidR="00A31B10">
        <w:rPr>
          <w:bCs/>
        </w:rPr>
        <w:t>1889</w:t>
      </w:r>
    </w:p>
    <w:p w14:paraId="5C3C5FFD" w14:textId="75CA1A57" w:rsidR="00FC3343" w:rsidRDefault="00FC3343" w:rsidP="00FC3343">
      <w:pPr>
        <w:pStyle w:val="ListParagraph"/>
        <w:numPr>
          <w:ilvl w:val="0"/>
          <w:numId w:val="21"/>
        </w:numPr>
        <w:shd w:val="clear" w:color="auto" w:fill="FFFFFF"/>
        <w:ind w:left="360"/>
        <w:rPr>
          <w:bCs/>
        </w:rPr>
      </w:pPr>
      <w:r w:rsidRPr="009C0555">
        <w:rPr>
          <w:bCs/>
        </w:rPr>
        <w:t>Jansson LM</w:t>
      </w:r>
      <w:r w:rsidR="00A31FFD">
        <w:rPr>
          <w:bCs/>
        </w:rPr>
        <w:t xml:space="preserve">. </w:t>
      </w:r>
      <w:r w:rsidR="0098639B">
        <w:rPr>
          <w:bCs/>
        </w:rPr>
        <w:t>N</w:t>
      </w:r>
      <w:r w:rsidRPr="0080527D">
        <w:rPr>
          <w:bCs/>
        </w:rPr>
        <w:t>eonatal abstinence syndrome (NAS): Clinical features and diagnosis</w:t>
      </w:r>
      <w:r w:rsidRPr="009C0555">
        <w:rPr>
          <w:bCs/>
        </w:rPr>
        <w:t xml:space="preserve">. UpToDate. </w:t>
      </w:r>
      <w:hyperlink r:id="rId19" w:history="1">
        <w:r w:rsidRPr="00632627">
          <w:rPr>
            <w:rStyle w:val="Hyperlink"/>
            <w:bCs/>
          </w:rPr>
          <w:t>www.uptodate.com</w:t>
        </w:r>
      </w:hyperlink>
      <w:r w:rsidRPr="009C0555">
        <w:rPr>
          <w:bCs/>
        </w:rPr>
        <w:t>.</w:t>
      </w:r>
      <w:r>
        <w:rPr>
          <w:bCs/>
        </w:rPr>
        <w:t xml:space="preserve"> Updated </w:t>
      </w:r>
      <w:r w:rsidR="0088245A">
        <w:rPr>
          <w:bCs/>
        </w:rPr>
        <w:t>March 6, 2025</w:t>
      </w:r>
      <w:r w:rsidRPr="009C0555">
        <w:rPr>
          <w:bCs/>
        </w:rPr>
        <w:t>.</w:t>
      </w:r>
      <w:r>
        <w:rPr>
          <w:bCs/>
        </w:rPr>
        <w:t xml:space="preserve"> Accessed </w:t>
      </w:r>
      <w:r w:rsidR="0088245A">
        <w:rPr>
          <w:bCs/>
        </w:rPr>
        <w:t>April 24, 2025</w:t>
      </w:r>
      <w:r>
        <w:rPr>
          <w:bCs/>
        </w:rPr>
        <w:t xml:space="preserve">. </w:t>
      </w:r>
    </w:p>
    <w:p w14:paraId="133B585C" w14:textId="5C8BAD09" w:rsidR="00FC3343" w:rsidRPr="009B5DC7" w:rsidRDefault="00FC3343" w:rsidP="00FC3343">
      <w:pPr>
        <w:pStyle w:val="ListParagraph"/>
        <w:numPr>
          <w:ilvl w:val="0"/>
          <w:numId w:val="21"/>
        </w:numPr>
        <w:shd w:val="clear" w:color="auto" w:fill="FFFFFF"/>
        <w:ind w:left="360"/>
        <w:rPr>
          <w:bCs/>
        </w:rPr>
      </w:pPr>
      <w:r w:rsidRPr="00903EAD">
        <w:rPr>
          <w:bCs/>
        </w:rPr>
        <w:t xml:space="preserve">Kushnir A, Garretson C, Mariappan M, Stahl G. Use of Phenobarbital to Treat Neonatal Abstinence Syndrome </w:t>
      </w:r>
      <w:proofErr w:type="gramStart"/>
      <w:r w:rsidRPr="00903EAD">
        <w:rPr>
          <w:bCs/>
        </w:rPr>
        <w:t>From</w:t>
      </w:r>
      <w:proofErr w:type="gramEnd"/>
      <w:r w:rsidRPr="00903EAD">
        <w:rPr>
          <w:bCs/>
        </w:rPr>
        <w:t xml:space="preserve"> Exposure to Single vs. Multiple Substances. </w:t>
      </w:r>
      <w:r w:rsidRPr="00903EAD">
        <w:rPr>
          <w:bCs/>
          <w:i/>
          <w:iCs/>
        </w:rPr>
        <w:t xml:space="preserve">Front </w:t>
      </w:r>
      <w:proofErr w:type="spellStart"/>
      <w:r w:rsidRPr="00903EAD">
        <w:rPr>
          <w:bCs/>
          <w:i/>
          <w:iCs/>
        </w:rPr>
        <w:t>Pediatr</w:t>
      </w:r>
      <w:proofErr w:type="spellEnd"/>
      <w:r w:rsidRPr="00903EAD">
        <w:rPr>
          <w:bCs/>
        </w:rPr>
        <w:t>. 2022;9:752854. Published 2022 Jan 31. doi:10.3389/fped.2021.752854</w:t>
      </w:r>
    </w:p>
    <w:p w14:paraId="2A46EAC2" w14:textId="63D31A58" w:rsidR="0075450E" w:rsidRDefault="0075450E" w:rsidP="005A2F3A">
      <w:pPr>
        <w:pStyle w:val="ListParagraph"/>
        <w:numPr>
          <w:ilvl w:val="0"/>
          <w:numId w:val="21"/>
        </w:numPr>
        <w:shd w:val="clear" w:color="auto" w:fill="FFFFFF"/>
        <w:ind w:left="360"/>
        <w:rPr>
          <w:bCs/>
        </w:rPr>
      </w:pPr>
      <w:r w:rsidRPr="0075450E">
        <w:rPr>
          <w:bCs/>
        </w:rPr>
        <w:t>The American College of Obstetricians and Gynecologists. Opioid Use and Opioid Use Disorder in Pregnancy.</w:t>
      </w:r>
      <w:r>
        <w:rPr>
          <w:bCs/>
        </w:rPr>
        <w:t xml:space="preserve"> Committee Opinion No.</w:t>
      </w:r>
      <w:r w:rsidR="005D36DD">
        <w:rPr>
          <w:bCs/>
        </w:rPr>
        <w:t>7</w:t>
      </w:r>
      <w:r>
        <w:rPr>
          <w:bCs/>
        </w:rPr>
        <w:t xml:space="preserve">11. </w:t>
      </w:r>
      <w:hyperlink r:id="rId20" w:history="1">
        <w:r w:rsidRPr="003F3A58">
          <w:rPr>
            <w:rStyle w:val="Hyperlink"/>
            <w:bCs/>
          </w:rPr>
          <w:t>https://www.acog.org/clinical/clinical-guidance/committee-opinion/articles/2017/08/opioid-use-and-opioid-use-disorder-in-pregnancy</w:t>
        </w:r>
      </w:hyperlink>
      <w:r>
        <w:rPr>
          <w:bCs/>
        </w:rPr>
        <w:t xml:space="preserve">. Published August 2017. Accessed </w:t>
      </w:r>
      <w:r w:rsidR="00A37E30">
        <w:rPr>
          <w:bCs/>
        </w:rPr>
        <w:t>April 24, 2025</w:t>
      </w:r>
      <w:r>
        <w:rPr>
          <w:bCs/>
        </w:rPr>
        <w:t>.</w:t>
      </w:r>
    </w:p>
    <w:p w14:paraId="5A332B5E" w14:textId="71E89317" w:rsidR="001140BB" w:rsidRDefault="005E780D" w:rsidP="005A2F3A">
      <w:pPr>
        <w:pStyle w:val="ListParagraph"/>
        <w:numPr>
          <w:ilvl w:val="0"/>
          <w:numId w:val="21"/>
        </w:numPr>
        <w:shd w:val="clear" w:color="auto" w:fill="FFFFFF"/>
        <w:ind w:left="360"/>
        <w:rPr>
          <w:bCs/>
        </w:rPr>
      </w:pPr>
      <w:r w:rsidRPr="005E780D">
        <w:rPr>
          <w:bCs/>
        </w:rPr>
        <w:t xml:space="preserve">Wei Z, Gilbert Y, Thananjeyan A, </w:t>
      </w:r>
      <w:r w:rsidR="004B531B">
        <w:rPr>
          <w:bCs/>
        </w:rPr>
        <w:t xml:space="preserve">et al. A </w:t>
      </w:r>
      <w:r w:rsidRPr="005E780D">
        <w:rPr>
          <w:bCs/>
        </w:rPr>
        <w:t xml:space="preserve">Systematic Review of Clinical Practice Guidelines for Neonatal Abstinence Syndrome. </w:t>
      </w:r>
      <w:r w:rsidRPr="005E780D">
        <w:rPr>
          <w:bCs/>
          <w:i/>
          <w:iCs/>
        </w:rPr>
        <w:t xml:space="preserve">Children </w:t>
      </w:r>
      <w:r w:rsidRPr="00E521E8">
        <w:rPr>
          <w:bCs/>
          <w:i/>
          <w:iCs/>
        </w:rPr>
        <w:t>(Basel).</w:t>
      </w:r>
      <w:r w:rsidRPr="005E780D">
        <w:rPr>
          <w:bCs/>
        </w:rPr>
        <w:t xml:space="preserve"> 2023</w:t>
      </w:r>
      <w:r w:rsidR="006373E3">
        <w:rPr>
          <w:bCs/>
        </w:rPr>
        <w:t>:</w:t>
      </w:r>
      <w:r w:rsidRPr="005E780D">
        <w:rPr>
          <w:bCs/>
        </w:rPr>
        <w:t xml:space="preserve">10(10):1685. </w:t>
      </w:r>
      <w:r w:rsidR="00382194">
        <w:rPr>
          <w:bCs/>
        </w:rPr>
        <w:t>Published 2023 Oct</w:t>
      </w:r>
      <w:r w:rsidR="00DF172E">
        <w:rPr>
          <w:bCs/>
        </w:rPr>
        <w:t xml:space="preserve"> 13. </w:t>
      </w:r>
      <w:proofErr w:type="spellStart"/>
      <w:r w:rsidRPr="005E780D">
        <w:rPr>
          <w:bCs/>
        </w:rPr>
        <w:t>doi</w:t>
      </w:r>
      <w:proofErr w:type="spellEnd"/>
      <w:r w:rsidRPr="005E780D">
        <w:rPr>
          <w:bCs/>
        </w:rPr>
        <w:t>: 10.3390/</w:t>
      </w:r>
      <w:proofErr w:type="spellStart"/>
      <w:r w:rsidRPr="005E780D">
        <w:rPr>
          <w:bCs/>
        </w:rPr>
        <w:t>children10101685</w:t>
      </w:r>
      <w:proofErr w:type="spellEnd"/>
      <w:r w:rsidRPr="005E780D">
        <w:rPr>
          <w:bCs/>
        </w:rPr>
        <w:t>.</w:t>
      </w:r>
    </w:p>
    <w:p w14:paraId="4E377C92" w14:textId="074CD1C0" w:rsidR="005E780D" w:rsidRDefault="00B60FCF" w:rsidP="005A2F3A">
      <w:pPr>
        <w:pStyle w:val="ListParagraph"/>
        <w:numPr>
          <w:ilvl w:val="0"/>
          <w:numId w:val="21"/>
        </w:numPr>
        <w:shd w:val="clear" w:color="auto" w:fill="FFFFFF"/>
        <w:ind w:left="360"/>
        <w:rPr>
          <w:bCs/>
        </w:rPr>
      </w:pPr>
      <w:r>
        <w:rPr>
          <w:bCs/>
        </w:rPr>
        <w:t>The American College of Obstet</w:t>
      </w:r>
      <w:r w:rsidR="005678FE">
        <w:rPr>
          <w:bCs/>
        </w:rPr>
        <w:t>r</w:t>
      </w:r>
      <w:r>
        <w:rPr>
          <w:bCs/>
        </w:rPr>
        <w:t xml:space="preserve">icians and Gynecologists. </w:t>
      </w:r>
      <w:r w:rsidR="005678FE">
        <w:rPr>
          <w:bCs/>
        </w:rPr>
        <w:t>FAQ</w:t>
      </w:r>
      <w:r w:rsidR="006B62A5">
        <w:rPr>
          <w:bCs/>
        </w:rPr>
        <w:t>196</w:t>
      </w:r>
      <w:r w:rsidR="005678FE">
        <w:rPr>
          <w:bCs/>
        </w:rPr>
        <w:t xml:space="preserve"> Marijuana and Pregnancy</w:t>
      </w:r>
      <w:r w:rsidR="00842408">
        <w:rPr>
          <w:bCs/>
        </w:rPr>
        <w:t xml:space="preserve">. Last updated February 2021. </w:t>
      </w:r>
      <w:r w:rsidR="008E3B8D">
        <w:rPr>
          <w:bCs/>
        </w:rPr>
        <w:t>Last reviewed April 2023</w:t>
      </w:r>
      <w:r w:rsidR="00091519">
        <w:rPr>
          <w:bCs/>
        </w:rPr>
        <w:t xml:space="preserve">. </w:t>
      </w:r>
      <w:r w:rsidR="00D47906">
        <w:rPr>
          <w:bCs/>
        </w:rPr>
        <w:t>Accessed April 24, 2025.</w:t>
      </w:r>
    </w:p>
    <w:p w14:paraId="74491036" w14:textId="6C76F46A" w:rsidR="00562326" w:rsidRDefault="008348EC" w:rsidP="005A2F3A">
      <w:pPr>
        <w:pStyle w:val="ListParagraph"/>
        <w:numPr>
          <w:ilvl w:val="0"/>
          <w:numId w:val="21"/>
        </w:numPr>
        <w:shd w:val="clear" w:color="auto" w:fill="FFFFFF"/>
        <w:ind w:left="360"/>
        <w:rPr>
          <w:bCs/>
        </w:rPr>
      </w:pPr>
      <w:r>
        <w:rPr>
          <w:bCs/>
        </w:rPr>
        <w:t xml:space="preserve">Jansson, LM. Neonatal abstinence syndrome (NAS): Management and outcome. UpToDate. </w:t>
      </w:r>
      <w:hyperlink r:id="rId21" w:history="1">
        <w:r w:rsidRPr="00EA1771">
          <w:rPr>
            <w:rStyle w:val="Hyperlink"/>
            <w:bCs/>
          </w:rPr>
          <w:t>www.uptodate.com</w:t>
        </w:r>
      </w:hyperlink>
      <w:r>
        <w:rPr>
          <w:bCs/>
        </w:rPr>
        <w:t>. Updated April 8, 2025. Accessed April 25, 2025.</w:t>
      </w:r>
    </w:p>
    <w:p w14:paraId="50A7E162" w14:textId="17A63F3E" w:rsidR="007174B0" w:rsidRDefault="007174B0" w:rsidP="005A2F3A">
      <w:pPr>
        <w:pStyle w:val="ListParagraph"/>
        <w:numPr>
          <w:ilvl w:val="0"/>
          <w:numId w:val="21"/>
        </w:numPr>
        <w:shd w:val="clear" w:color="auto" w:fill="FFFFFF"/>
        <w:ind w:left="360"/>
        <w:rPr>
          <w:bCs/>
        </w:rPr>
      </w:pPr>
      <w:r w:rsidRPr="007174B0">
        <w:rPr>
          <w:bCs/>
        </w:rPr>
        <w:t>Allocco E, Melker M, Rojas-Miguez F, Bradley C, Hahn KA, Wachman EM. Comparison of Neonatal Abstinence Syndrome Manifestations in Preterm Versus Term Opioid-Exposed Infants. </w:t>
      </w:r>
      <w:r w:rsidRPr="007174B0">
        <w:rPr>
          <w:bCs/>
          <w:i/>
          <w:iCs/>
        </w:rPr>
        <w:t>Adv Neonatal Care</w:t>
      </w:r>
      <w:r w:rsidRPr="007174B0">
        <w:rPr>
          <w:bCs/>
        </w:rPr>
        <w:t>. 2016;16(5):329</w:t>
      </w:r>
      <w:r w:rsidR="00F34F91">
        <w:rPr>
          <w:bCs/>
        </w:rPr>
        <w:t xml:space="preserve"> to </w:t>
      </w:r>
      <w:r w:rsidRPr="007174B0">
        <w:rPr>
          <w:bCs/>
        </w:rPr>
        <w:t>336. doi:10.1097/ANC.0000000000000320</w:t>
      </w:r>
    </w:p>
    <w:p w14:paraId="30E8D76B" w14:textId="75795CFD" w:rsidR="00766DC2" w:rsidRDefault="00004930" w:rsidP="005A2F3A">
      <w:pPr>
        <w:pStyle w:val="ListParagraph"/>
        <w:numPr>
          <w:ilvl w:val="0"/>
          <w:numId w:val="21"/>
        </w:numPr>
        <w:shd w:val="clear" w:color="auto" w:fill="FFFFFF"/>
        <w:ind w:left="360"/>
        <w:rPr>
          <w:bCs/>
        </w:rPr>
      </w:pPr>
      <w:r>
        <w:rPr>
          <w:bCs/>
        </w:rPr>
        <w:lastRenderedPageBreak/>
        <w:t>American Academy of Pediatrics.</w:t>
      </w:r>
      <w:r w:rsidR="007A0D3C">
        <w:rPr>
          <w:bCs/>
        </w:rPr>
        <w:t xml:space="preserve"> </w:t>
      </w:r>
      <w:r w:rsidR="00BD5618">
        <w:rPr>
          <w:bCs/>
        </w:rPr>
        <w:t xml:space="preserve">Neonatal Opioid </w:t>
      </w:r>
      <w:proofErr w:type="spellStart"/>
      <w:r w:rsidR="00BD5618">
        <w:rPr>
          <w:bCs/>
        </w:rPr>
        <w:t>Withdrawl</w:t>
      </w:r>
      <w:proofErr w:type="spellEnd"/>
      <w:r w:rsidR="00BD5618">
        <w:rPr>
          <w:bCs/>
        </w:rPr>
        <w:t xml:space="preserve"> Syndrome. </w:t>
      </w:r>
      <w:hyperlink r:id="rId22" w:history="1">
        <w:r w:rsidR="00BD5618" w:rsidRPr="00195E6C">
          <w:rPr>
            <w:rStyle w:val="Hyperlink"/>
            <w:bCs/>
          </w:rPr>
          <w:t>https://publications.aap.org/pediatrics/article/146/5/e2020029074/75310/Neonatal-Opioid-Withdrawal-Syndrome</w:t>
        </w:r>
      </w:hyperlink>
      <w:r w:rsidR="00BD5618">
        <w:rPr>
          <w:bCs/>
        </w:rPr>
        <w:t>. Published November 2020</w:t>
      </w:r>
      <w:r w:rsidR="006A70DA">
        <w:rPr>
          <w:bCs/>
        </w:rPr>
        <w:t>. Accessed April 28, 2025.</w:t>
      </w:r>
    </w:p>
    <w:p w14:paraId="033427BB" w14:textId="3D3F6ABC" w:rsidR="00B91129" w:rsidRDefault="00515C80" w:rsidP="005A2F3A">
      <w:pPr>
        <w:pStyle w:val="ListParagraph"/>
        <w:numPr>
          <w:ilvl w:val="0"/>
          <w:numId w:val="21"/>
        </w:numPr>
        <w:shd w:val="clear" w:color="auto" w:fill="FFFFFF"/>
        <w:ind w:left="360"/>
        <w:rPr>
          <w:bCs/>
        </w:rPr>
      </w:pPr>
      <w:r w:rsidRPr="00B91129">
        <w:rPr>
          <w:bCs/>
        </w:rPr>
        <w:t>Kraft WK, Stover MW, Davis JM.</w:t>
      </w:r>
      <w:r w:rsidRPr="00515C80">
        <w:rPr>
          <w:bCs/>
        </w:rPr>
        <w:t xml:space="preserve"> </w:t>
      </w:r>
      <w:r w:rsidRPr="00B91129">
        <w:rPr>
          <w:bCs/>
        </w:rPr>
        <w:t>Neonatal abstinence syndrome: Pharmacologic strategies for</w:t>
      </w:r>
      <w:r>
        <w:rPr>
          <w:bCs/>
        </w:rPr>
        <w:t xml:space="preserve"> </w:t>
      </w:r>
      <w:r w:rsidRPr="00B91129">
        <w:rPr>
          <w:bCs/>
        </w:rPr>
        <w:t>the mother and infant. </w:t>
      </w:r>
      <w:r w:rsidRPr="00B91129">
        <w:rPr>
          <w:bCs/>
          <w:i/>
          <w:iCs/>
        </w:rPr>
        <w:t xml:space="preserve">Semin </w:t>
      </w:r>
      <w:proofErr w:type="spellStart"/>
      <w:r w:rsidRPr="00B91129">
        <w:rPr>
          <w:bCs/>
          <w:i/>
          <w:iCs/>
        </w:rPr>
        <w:t>Perinatol</w:t>
      </w:r>
      <w:proofErr w:type="spellEnd"/>
      <w:r w:rsidRPr="00B91129">
        <w:rPr>
          <w:bCs/>
        </w:rPr>
        <w:t>. 2016;40(3):203</w:t>
      </w:r>
      <w:r w:rsidR="00F34F91">
        <w:rPr>
          <w:bCs/>
        </w:rPr>
        <w:t xml:space="preserve"> to </w:t>
      </w:r>
      <w:r w:rsidRPr="00B91129">
        <w:rPr>
          <w:bCs/>
        </w:rPr>
        <w:t>212.</w:t>
      </w:r>
      <w:r w:rsidRPr="00515C80">
        <w:rPr>
          <w:bCs/>
        </w:rPr>
        <w:t xml:space="preserve"> </w:t>
      </w:r>
      <w:r w:rsidR="00673549">
        <w:rPr>
          <w:bCs/>
        </w:rPr>
        <w:t xml:space="preserve"> </w:t>
      </w:r>
      <w:proofErr w:type="gramStart"/>
      <w:r w:rsidRPr="00B91129">
        <w:rPr>
          <w:bCs/>
        </w:rPr>
        <w:t>doi:10.1053/j.semperi</w:t>
      </w:r>
      <w:proofErr w:type="gramEnd"/>
      <w:r w:rsidRPr="00B91129">
        <w:rPr>
          <w:bCs/>
        </w:rPr>
        <w:t>.2015.12.007</w:t>
      </w:r>
    </w:p>
    <w:p w14:paraId="085B0EF1" w14:textId="60C30134" w:rsidR="00D95198" w:rsidRDefault="00D95198" w:rsidP="005A2F3A">
      <w:pPr>
        <w:pStyle w:val="ListParagraph"/>
        <w:numPr>
          <w:ilvl w:val="0"/>
          <w:numId w:val="21"/>
        </w:numPr>
        <w:shd w:val="clear" w:color="auto" w:fill="FFFFFF"/>
        <w:ind w:left="360"/>
        <w:rPr>
          <w:bCs/>
        </w:rPr>
      </w:pPr>
      <w:r w:rsidRPr="00D95198">
        <w:rPr>
          <w:bCs/>
        </w:rPr>
        <w:t>Pacifici GM. Metabolism and pharmacokinetics of morphine in neonates: A review. </w:t>
      </w:r>
      <w:r w:rsidRPr="00D95198">
        <w:rPr>
          <w:bCs/>
          <w:i/>
          <w:iCs/>
        </w:rPr>
        <w:t>Clinics (Sao Paulo)</w:t>
      </w:r>
      <w:r w:rsidRPr="00D95198">
        <w:rPr>
          <w:bCs/>
        </w:rPr>
        <w:t>. 2016;71(8):474</w:t>
      </w:r>
      <w:r w:rsidR="00F34F91">
        <w:rPr>
          <w:bCs/>
        </w:rPr>
        <w:t xml:space="preserve"> to </w:t>
      </w:r>
      <w:r w:rsidRPr="00D95198">
        <w:rPr>
          <w:bCs/>
        </w:rPr>
        <w:t>480. doi:10.6061/clinics/2016(08)11</w:t>
      </w:r>
    </w:p>
    <w:p w14:paraId="0CBD201B" w14:textId="77777777" w:rsidR="00875924" w:rsidRDefault="00875924" w:rsidP="00D6522B">
      <w:pPr>
        <w:rPr>
          <w:i/>
          <w:iCs/>
        </w:rPr>
      </w:pPr>
    </w:p>
    <w:p w14:paraId="4E85723E" w14:textId="77777777" w:rsidR="000C38F5" w:rsidRPr="00146C6E" w:rsidRDefault="000C38F5" w:rsidP="000C38F5">
      <w:pPr>
        <w:rPr>
          <w:rFonts w:eastAsiaTheme="minorHAnsi"/>
          <w:b/>
          <w:u w:val="single"/>
        </w:rPr>
      </w:pPr>
      <w:bookmarkStart w:id="1" w:name="Important_Reminder"/>
      <w:r w:rsidRPr="00146C6E">
        <w:rPr>
          <w:rFonts w:eastAsiaTheme="minorHAnsi"/>
          <w:b/>
          <w:bCs/>
          <w:u w:val="single"/>
        </w:rPr>
        <w:t>Important Reminder</w:t>
      </w:r>
      <w:bookmarkEnd w:id="1"/>
    </w:p>
    <w:p w14:paraId="707C8478" w14:textId="77777777" w:rsidR="000C38F5" w:rsidRPr="00146C6E" w:rsidRDefault="000C38F5" w:rsidP="000C38F5">
      <w:pPr>
        <w:rPr>
          <w:rFonts w:eastAsiaTheme="minorHAnsi"/>
        </w:rPr>
      </w:pPr>
      <w:r w:rsidRPr="00146C6E">
        <w:rPr>
          <w:rFonts w:eastAsiaTheme="minorHAnsi"/>
        </w:rPr>
        <w:t xml:space="preserve">This clinical policy has been developed by appropriately experienced and licensed health care professionals based on a review and consideration of currently available generally accepted standards of medical practice; peer-reviewed medical literature; government agency/program approval status; evidence-based guidelines and positions of leading national health professional organizations; views of physicians practicing in relevant clinical areas affected by this clinical policy; and other available clinical information. </w:t>
      </w:r>
      <w:r w:rsidRPr="00146C6E">
        <w:rPr>
          <w:rFonts w:eastAsiaTheme="minorHAnsi"/>
          <w:iCs/>
        </w:rPr>
        <w:t>The Health Plan</w:t>
      </w:r>
      <w:r w:rsidRPr="00146C6E">
        <w:rPr>
          <w:rFonts w:eastAsiaTheme="minorHAnsi"/>
        </w:rPr>
        <w:t xml:space="preserve"> makes no representations and accepts no liability with respect to the content of any external information used or relied upon in developing this clinical policy. This clinical policy is consistent with standards of medical practice current at the time that this clinical policy was approved. “Health Plan” means a health plan that has adopted this clinical policy and that is operated or administered, in whole or in part, by Centene Management Company, LLC, or any of such health plan’s affiliates, as applicable.</w:t>
      </w:r>
    </w:p>
    <w:p w14:paraId="73F2E886" w14:textId="77777777" w:rsidR="000C38F5" w:rsidRPr="00146C6E" w:rsidRDefault="000C38F5" w:rsidP="000C38F5">
      <w:pPr>
        <w:rPr>
          <w:rFonts w:eastAsiaTheme="minorHAnsi"/>
        </w:rPr>
      </w:pPr>
    </w:p>
    <w:p w14:paraId="48CF637A" w14:textId="77777777" w:rsidR="000C38F5" w:rsidRPr="00146C6E" w:rsidRDefault="000C38F5" w:rsidP="000C38F5">
      <w:pPr>
        <w:rPr>
          <w:rFonts w:eastAsiaTheme="minorHAnsi"/>
        </w:rPr>
      </w:pPr>
      <w:r w:rsidRPr="00146C6E">
        <w:rPr>
          <w:rFonts w:eastAsiaTheme="minorHAnsi"/>
        </w:rPr>
        <w:t xml:space="preserve">The purpose of this clinical policy is to provide a guide to medical necessity, which is a component of the guidelines used to assist in making coverage decisions and administering benefits. It does not constitute a contract or guarantee regarding payment or results. Coverage decisions and the administration of benefits are subject to all terms, conditions, exclusions and limitations of the coverage documents (e.g., evidence of coverage, certificate of coverage, policy, contract of insurance, etc.), as well as to state and federal requirements and applicable Health Plan-level administrative policies and procedures.   </w:t>
      </w:r>
    </w:p>
    <w:p w14:paraId="57281077" w14:textId="77777777" w:rsidR="000C38F5" w:rsidRPr="00146C6E" w:rsidRDefault="000C38F5" w:rsidP="000C38F5">
      <w:pPr>
        <w:rPr>
          <w:rFonts w:eastAsiaTheme="minorHAnsi"/>
        </w:rPr>
      </w:pPr>
    </w:p>
    <w:p w14:paraId="370C9A92" w14:textId="77777777" w:rsidR="000C38F5" w:rsidRPr="00146C6E" w:rsidRDefault="000C38F5" w:rsidP="000C38F5">
      <w:pPr>
        <w:rPr>
          <w:color w:val="002868"/>
        </w:rPr>
      </w:pPr>
      <w:r w:rsidRPr="00146C6E">
        <w:rPr>
          <w:rFonts w:eastAsiaTheme="minorHAnsi"/>
        </w:rPr>
        <w:t>This clinical policy is effective as of the date determined by the Health Plan. The date of posting may not be the effective date of this clinical policy. This clinical policy may be subject to applicable legal and regulatory requirements relating to provider notification. If there is a discrepancy between the effective date of this clinical policy and any applicable legal or regulatory requirement, the requirements of law and regulation shall govern. The Health Plan retains the right to change, amend or withdraw this clinical policy, and additional clinical policies may be developed and adopted as needed, at any time.</w:t>
      </w:r>
    </w:p>
    <w:p w14:paraId="799297BF" w14:textId="77777777" w:rsidR="000C38F5" w:rsidRPr="00146C6E" w:rsidRDefault="000C38F5" w:rsidP="000C38F5">
      <w:pPr>
        <w:rPr>
          <w:rFonts w:eastAsiaTheme="minorHAnsi"/>
        </w:rPr>
      </w:pPr>
    </w:p>
    <w:p w14:paraId="07D469E2" w14:textId="039B7C2A" w:rsidR="000C38F5" w:rsidRPr="00146C6E" w:rsidRDefault="000C38F5" w:rsidP="000C38F5">
      <w:pPr>
        <w:rPr>
          <w:rFonts w:eastAsiaTheme="minorHAnsi"/>
        </w:rPr>
      </w:pPr>
      <w:r w:rsidRPr="00146C6E">
        <w:rPr>
          <w:rFonts w:eastAsiaTheme="minorHAnsi"/>
        </w:rPr>
        <w:t xml:space="preserve">This clinical policy does not constitute medical advice, medical treatment or medical care. It is not intended to dictate to providers how to practice medicine. Providers are expected to exercise professional medical judgment in providing the most appropriate </w:t>
      </w:r>
      <w:proofErr w:type="gramStart"/>
      <w:r w:rsidRPr="00146C6E">
        <w:rPr>
          <w:rFonts w:eastAsiaTheme="minorHAnsi"/>
        </w:rPr>
        <w:t>care, and</w:t>
      </w:r>
      <w:proofErr w:type="gramEnd"/>
      <w:r w:rsidRPr="00146C6E">
        <w:rPr>
          <w:rFonts w:eastAsiaTheme="minorHAnsi"/>
        </w:rPr>
        <w:t xml:space="preserve"> are solely responsible for the medical advice and treatment of </w:t>
      </w:r>
      <w:r w:rsidR="002E2AF0">
        <w:rPr>
          <w:rFonts w:eastAsiaTheme="minorHAnsi"/>
        </w:rPr>
        <w:t>members/enrollees</w:t>
      </w:r>
      <w:r w:rsidRPr="00146C6E">
        <w:rPr>
          <w:rFonts w:eastAsiaTheme="minorHAnsi"/>
        </w:rPr>
        <w:t xml:space="preserve">. This clinical policy is not intended to recommend treatment for </w:t>
      </w:r>
      <w:r w:rsidR="002E2AF0">
        <w:rPr>
          <w:rFonts w:eastAsiaTheme="minorHAnsi"/>
        </w:rPr>
        <w:t>members/enrollees</w:t>
      </w:r>
      <w:r w:rsidRPr="00146C6E">
        <w:rPr>
          <w:rFonts w:eastAsiaTheme="minorHAnsi"/>
        </w:rPr>
        <w:t xml:space="preserve">. </w:t>
      </w:r>
      <w:r w:rsidR="002E2AF0">
        <w:rPr>
          <w:rFonts w:eastAsiaTheme="minorHAnsi"/>
        </w:rPr>
        <w:t>Members/enrollees</w:t>
      </w:r>
      <w:r w:rsidRPr="00146C6E">
        <w:rPr>
          <w:rFonts w:eastAsiaTheme="minorHAnsi"/>
        </w:rPr>
        <w:t xml:space="preserve"> should consult with their treating physician in connection with diagnosis and treatment decisions. </w:t>
      </w:r>
    </w:p>
    <w:p w14:paraId="7AEEC15D" w14:textId="77777777" w:rsidR="000C38F5" w:rsidRPr="00146C6E" w:rsidRDefault="000C38F5" w:rsidP="000C38F5">
      <w:pPr>
        <w:rPr>
          <w:rFonts w:eastAsiaTheme="minorHAnsi"/>
        </w:rPr>
      </w:pPr>
    </w:p>
    <w:p w14:paraId="347D0AD1" w14:textId="7EF6FCDF" w:rsidR="000C38F5" w:rsidRPr="00146C6E" w:rsidRDefault="000C38F5" w:rsidP="000C38F5">
      <w:pPr>
        <w:rPr>
          <w:rFonts w:eastAsiaTheme="minorHAnsi"/>
        </w:rPr>
      </w:pPr>
      <w:r w:rsidRPr="00146C6E">
        <w:rPr>
          <w:rFonts w:eastAsiaTheme="minorHAnsi"/>
        </w:rPr>
        <w:lastRenderedPageBreak/>
        <w:t>Providers referred to in this clinical policy are independent contractors who exercise independent judgment and over whom the Health Plan has no control or right of control. Providers are not agents or employees of the Health Plan.</w:t>
      </w:r>
    </w:p>
    <w:p w14:paraId="3C14BB7C" w14:textId="77777777" w:rsidR="000C38F5" w:rsidRPr="00146C6E" w:rsidRDefault="000C38F5" w:rsidP="000C38F5">
      <w:pPr>
        <w:rPr>
          <w:rFonts w:eastAsiaTheme="minorHAnsi"/>
        </w:rPr>
      </w:pPr>
    </w:p>
    <w:p w14:paraId="0269496F" w14:textId="644FEEE3" w:rsidR="000C38F5" w:rsidRPr="00146C6E" w:rsidRDefault="000C38F5" w:rsidP="000C38F5">
      <w:pPr>
        <w:rPr>
          <w:rFonts w:eastAsiaTheme="minorHAnsi"/>
        </w:rPr>
      </w:pPr>
      <w:r w:rsidRPr="00146C6E">
        <w:rPr>
          <w:rFonts w:eastAsiaTheme="minorHAnsi"/>
        </w:rPr>
        <w:t xml:space="preserve">This clinical policy is the property of </w:t>
      </w:r>
      <w:r w:rsidRPr="00146C6E">
        <w:rPr>
          <w:rFonts w:eastAsiaTheme="minorHAnsi"/>
          <w:iCs/>
        </w:rPr>
        <w:t>the Health Plan</w:t>
      </w:r>
      <w:r w:rsidRPr="00146C6E">
        <w:rPr>
          <w:rFonts w:eastAsiaTheme="minorHAnsi"/>
        </w:rPr>
        <w:t xml:space="preserve">. Unauthorized copying, use, and distribution of this clinical policy or any information contained herein are strictly prohibited.  Providers, </w:t>
      </w:r>
      <w:r w:rsidR="002E2AF0">
        <w:rPr>
          <w:rFonts w:eastAsiaTheme="minorHAnsi"/>
        </w:rPr>
        <w:t>members/enrollees</w:t>
      </w:r>
      <w:r w:rsidRPr="00146C6E">
        <w:rPr>
          <w:rFonts w:eastAsiaTheme="minorHAnsi"/>
        </w:rPr>
        <w:t xml:space="preserve"> and their representatives are bound to the terms and conditions expressed herein through the terms of their contracts. Where no such contract exists, providers, </w:t>
      </w:r>
      <w:r w:rsidR="002E2AF0">
        <w:rPr>
          <w:rFonts w:eastAsiaTheme="minorHAnsi"/>
        </w:rPr>
        <w:t>members/enrollees</w:t>
      </w:r>
      <w:r w:rsidRPr="00146C6E">
        <w:rPr>
          <w:rFonts w:eastAsiaTheme="minorHAnsi"/>
        </w:rPr>
        <w:t xml:space="preserve"> and their representatives agree to be bound by such terms and conditions by providing services to </w:t>
      </w:r>
      <w:r w:rsidR="002E2AF0">
        <w:rPr>
          <w:rFonts w:eastAsiaTheme="minorHAnsi"/>
        </w:rPr>
        <w:t>members/enrollees</w:t>
      </w:r>
      <w:r w:rsidRPr="00146C6E">
        <w:rPr>
          <w:rFonts w:eastAsiaTheme="minorHAnsi"/>
        </w:rPr>
        <w:t xml:space="preserve"> and/or submitting claims for payment for such services.  </w:t>
      </w:r>
    </w:p>
    <w:p w14:paraId="1C32E272" w14:textId="77777777" w:rsidR="000C38F5" w:rsidRPr="00146C6E" w:rsidRDefault="000C38F5" w:rsidP="000C38F5">
      <w:pPr>
        <w:autoSpaceDE w:val="0"/>
        <w:autoSpaceDN w:val="0"/>
        <w:adjustRightInd w:val="0"/>
        <w:rPr>
          <w:rFonts w:eastAsiaTheme="minorHAnsi"/>
          <w:color w:val="000000"/>
        </w:rPr>
      </w:pPr>
    </w:p>
    <w:p w14:paraId="6725EEF4" w14:textId="5233E134" w:rsidR="000C38F5" w:rsidRPr="00146C6E" w:rsidRDefault="000C38F5" w:rsidP="000C38F5">
      <w:pPr>
        <w:autoSpaceDE w:val="0"/>
        <w:autoSpaceDN w:val="0"/>
        <w:adjustRightInd w:val="0"/>
        <w:rPr>
          <w:rFonts w:eastAsiaTheme="minorHAnsi"/>
          <w:color w:val="000000"/>
        </w:rPr>
      </w:pPr>
      <w:r w:rsidRPr="00146C6E">
        <w:rPr>
          <w:rFonts w:eastAsiaTheme="minorHAnsi"/>
          <w:b/>
          <w:color w:val="000000"/>
        </w:rPr>
        <w:t xml:space="preserve">Note: For Medicaid </w:t>
      </w:r>
      <w:r w:rsidR="002E2AF0">
        <w:rPr>
          <w:rFonts w:eastAsiaTheme="minorHAnsi"/>
          <w:b/>
          <w:color w:val="000000"/>
        </w:rPr>
        <w:t>members/enrollees</w:t>
      </w:r>
      <w:r w:rsidRPr="00146C6E">
        <w:rPr>
          <w:rFonts w:eastAsiaTheme="minorHAnsi"/>
          <w:color w:val="000000"/>
        </w:rPr>
        <w:t>, when state Medicaid coverage provisions conflict with the coverage provisions in this clinical policy, state Medicaid coverage provisions take precedence. Please refer to the state Medicaid manual for any coverage provisions pertaining to this clinical policy.</w:t>
      </w:r>
    </w:p>
    <w:p w14:paraId="354CF8AF" w14:textId="77777777" w:rsidR="000C38F5" w:rsidRPr="00146C6E" w:rsidRDefault="000C38F5" w:rsidP="000C38F5">
      <w:pPr>
        <w:rPr>
          <w:rFonts w:eastAsiaTheme="minorHAnsi"/>
        </w:rPr>
      </w:pPr>
    </w:p>
    <w:p w14:paraId="64ED1695" w14:textId="3A96A090" w:rsidR="000C38F5" w:rsidRPr="00146C6E" w:rsidRDefault="000C38F5" w:rsidP="000C38F5">
      <w:pPr>
        <w:autoSpaceDE w:val="0"/>
        <w:autoSpaceDN w:val="0"/>
        <w:adjustRightInd w:val="0"/>
        <w:rPr>
          <w:color w:val="000000"/>
        </w:rPr>
      </w:pPr>
      <w:r w:rsidRPr="00146C6E">
        <w:rPr>
          <w:rFonts w:eastAsiaTheme="minorHAnsi"/>
          <w:b/>
          <w:bCs/>
          <w:color w:val="000000"/>
        </w:rPr>
        <w:t xml:space="preserve">Note: For Medicare </w:t>
      </w:r>
      <w:r w:rsidR="002E2AF0">
        <w:rPr>
          <w:rFonts w:eastAsiaTheme="minorHAnsi"/>
          <w:b/>
          <w:bCs/>
          <w:color w:val="000000"/>
        </w:rPr>
        <w:t>members/enrollees</w:t>
      </w:r>
      <w:r w:rsidRPr="00146C6E">
        <w:rPr>
          <w:rFonts w:eastAsiaTheme="minorHAnsi"/>
          <w:b/>
          <w:bCs/>
          <w:color w:val="000000"/>
        </w:rPr>
        <w:t xml:space="preserve">, </w:t>
      </w:r>
      <w:r w:rsidRPr="00146C6E">
        <w:rPr>
          <w:rFonts w:eastAsiaTheme="minorHAnsi"/>
          <w:color w:val="000000"/>
        </w:rPr>
        <w:t>to ensure consistency with the Medicare National Coverage Determinations (NCD) and Local Coverage Determinations (LCD), all applicable NCDs</w:t>
      </w:r>
      <w:r>
        <w:rPr>
          <w:rFonts w:eastAsiaTheme="minorHAnsi"/>
          <w:color w:val="000000"/>
        </w:rPr>
        <w:t>,</w:t>
      </w:r>
      <w:r w:rsidRPr="00146C6E">
        <w:rPr>
          <w:rFonts w:eastAsiaTheme="minorHAnsi"/>
          <w:color w:val="000000"/>
        </w:rPr>
        <w:t xml:space="preserve"> LCDs</w:t>
      </w:r>
      <w:r>
        <w:rPr>
          <w:rFonts w:eastAsiaTheme="minorHAnsi"/>
          <w:color w:val="000000"/>
        </w:rPr>
        <w:t xml:space="preserve">, and Medicare Coverage Articles </w:t>
      </w:r>
      <w:r w:rsidRPr="00146C6E">
        <w:rPr>
          <w:rFonts w:eastAsiaTheme="minorHAnsi"/>
          <w:color w:val="000000"/>
        </w:rPr>
        <w:t xml:space="preserve">should be reviewed </w:t>
      </w:r>
      <w:r w:rsidRPr="00146C6E">
        <w:rPr>
          <w:rFonts w:eastAsiaTheme="minorHAnsi"/>
          <w:color w:val="000000"/>
          <w:u w:val="single"/>
        </w:rPr>
        <w:t>prior to</w:t>
      </w:r>
      <w:r w:rsidRPr="00146C6E">
        <w:rPr>
          <w:rFonts w:eastAsiaTheme="minorHAnsi"/>
          <w:color w:val="000000"/>
        </w:rPr>
        <w:t xml:space="preserve"> applying the criteria set forth in this clinical policy. Refer to the CMS website at </w:t>
      </w:r>
      <w:hyperlink r:id="rId23" w:history="1">
        <w:r w:rsidRPr="00146C6E">
          <w:rPr>
            <w:rFonts w:eastAsiaTheme="minorHAnsi"/>
            <w:color w:val="000000"/>
            <w:u w:val="single"/>
          </w:rPr>
          <w:t>http://www.cms.gov</w:t>
        </w:r>
      </w:hyperlink>
      <w:r w:rsidRPr="00146C6E">
        <w:rPr>
          <w:rFonts w:eastAsiaTheme="minorHAnsi"/>
          <w:color w:val="000000"/>
        </w:rPr>
        <w:t xml:space="preserve"> for additional information.</w:t>
      </w:r>
      <w:r w:rsidRPr="00146C6E">
        <w:rPr>
          <w:color w:val="000000"/>
        </w:rPr>
        <w:t xml:space="preserve"> </w:t>
      </w:r>
    </w:p>
    <w:p w14:paraId="76883721" w14:textId="77777777" w:rsidR="000C38F5" w:rsidRPr="00146C6E" w:rsidRDefault="000C38F5" w:rsidP="000C38F5">
      <w:pPr>
        <w:rPr>
          <w:iCs/>
        </w:rPr>
      </w:pPr>
    </w:p>
    <w:p w14:paraId="62B7E77F" w14:textId="698C5D25" w:rsidR="000C38F5" w:rsidRPr="00146C6E" w:rsidRDefault="000C38F5" w:rsidP="000C38F5">
      <w:pPr>
        <w:rPr>
          <w:iCs/>
        </w:rPr>
      </w:pPr>
      <w:r w:rsidRPr="00146C6E">
        <w:rPr>
          <w:iCs/>
        </w:rPr>
        <w:t>©2016 Centene Corporation. All rights reserved.  All materials are exclusively owned by Centene Corporation and are protected by United States copyright law and international copyright law. No part of this publication may be reproduced, copied, modified, distributed, displayed, stored in a retrieval system, transmitted in any form or by any means, or otherwise published without the prior written permission of Centene Corporation. You may not alter or remove any trademark, copyright or other notice contained herein. Centene</w:t>
      </w:r>
      <w:r w:rsidRPr="00146C6E">
        <w:rPr>
          <w:iCs/>
          <w:vertAlign w:val="superscript"/>
        </w:rPr>
        <w:t>®</w:t>
      </w:r>
      <w:r w:rsidRPr="00146C6E">
        <w:rPr>
          <w:iCs/>
        </w:rPr>
        <w:t xml:space="preserve"> and Centene Corporation</w:t>
      </w:r>
      <w:r w:rsidRPr="00146C6E">
        <w:rPr>
          <w:iCs/>
          <w:vertAlign w:val="superscript"/>
        </w:rPr>
        <w:t>®</w:t>
      </w:r>
      <w:r w:rsidRPr="00146C6E">
        <w:rPr>
          <w:iCs/>
        </w:rPr>
        <w:t xml:space="preserve"> are registered trademarks exclusively owned by Centene Corporation.</w:t>
      </w:r>
    </w:p>
    <w:p w14:paraId="4438CC60" w14:textId="77777777" w:rsidR="000C38F5" w:rsidRDefault="000C38F5" w:rsidP="000C38F5"/>
    <w:p w14:paraId="52056587" w14:textId="77777777" w:rsidR="00C75BD4" w:rsidRDefault="00C75BD4" w:rsidP="00AF5490"/>
    <w:sectPr w:rsidR="00C75BD4" w:rsidSect="00480C09">
      <w:type w:val="continuous"/>
      <w:pgSz w:w="12240" w:h="15840" w:code="1"/>
      <w:pgMar w:top="1440" w:right="1440" w:bottom="1440" w:left="1440" w:header="576"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B69966" w14:textId="77777777" w:rsidR="00F2339E" w:rsidRDefault="00F2339E">
      <w:r>
        <w:separator/>
      </w:r>
    </w:p>
  </w:endnote>
  <w:endnote w:type="continuationSeparator" w:id="0">
    <w:p w14:paraId="3DDA3A81" w14:textId="77777777" w:rsidR="00F2339E" w:rsidRDefault="00F2339E">
      <w:r>
        <w:continuationSeparator/>
      </w:r>
    </w:p>
  </w:endnote>
  <w:endnote w:type="continuationNotice" w:id="1">
    <w:p w14:paraId="2E51FC86" w14:textId="77777777" w:rsidR="00F2339E" w:rsidRDefault="00F233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00000000" w:usb1="E9DFFFFF" w:usb2="0000003F" w:usb3="00000000" w:csb0="003F01F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Times New Roman Bold">
    <w:panose1 w:val="02020803070505020304"/>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28C85" w14:textId="77777777" w:rsidR="005973C8" w:rsidRDefault="005973C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4227AE" w14:textId="6398FB7B" w:rsidR="005A720A" w:rsidRPr="00D574CA" w:rsidRDefault="005A720A" w:rsidP="00D574CA">
    <w:pPr>
      <w:pStyle w:val="Footer"/>
      <w:jc w:val="center"/>
    </w:pPr>
    <w:r>
      <w:t xml:space="preserve">Page </w:t>
    </w:r>
    <w:r>
      <w:rPr>
        <w:b/>
        <w:bCs/>
      </w:rPr>
      <w:fldChar w:fldCharType="begin"/>
    </w:r>
    <w:r>
      <w:rPr>
        <w:b/>
        <w:bCs/>
      </w:rPr>
      <w:instrText xml:space="preserve"> PAGE </w:instrText>
    </w:r>
    <w:r>
      <w:rPr>
        <w:b/>
        <w:bCs/>
      </w:rPr>
      <w:fldChar w:fldCharType="separate"/>
    </w:r>
    <w:r w:rsidR="00EB46DF">
      <w:rPr>
        <w:b/>
        <w:bCs/>
        <w:noProof/>
      </w:rPr>
      <w:t>10</w:t>
    </w:r>
    <w:r>
      <w:rPr>
        <w:b/>
        <w:bCs/>
      </w:rPr>
      <w:fldChar w:fldCharType="end"/>
    </w:r>
    <w:r>
      <w:t xml:space="preserve"> of </w:t>
    </w:r>
    <w:r>
      <w:rPr>
        <w:b/>
        <w:bCs/>
      </w:rPr>
      <w:fldChar w:fldCharType="begin"/>
    </w:r>
    <w:r>
      <w:rPr>
        <w:b/>
        <w:bCs/>
      </w:rPr>
      <w:instrText xml:space="preserve"> NUMPAGES  </w:instrText>
    </w:r>
    <w:r>
      <w:rPr>
        <w:b/>
        <w:bCs/>
      </w:rPr>
      <w:fldChar w:fldCharType="separate"/>
    </w:r>
    <w:r w:rsidR="00EB46DF">
      <w:rPr>
        <w:b/>
        <w:bCs/>
        <w:noProof/>
      </w:rPr>
      <w:t>10</w:t>
    </w:r>
    <w:r>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574AA" w14:textId="7BD5F53C" w:rsidR="005A720A" w:rsidRDefault="005A720A" w:rsidP="002C6AAB">
    <w:pPr>
      <w:pStyle w:val="Footer"/>
      <w:jc w:val="center"/>
    </w:pPr>
    <w:r>
      <w:t xml:space="preserve">Page </w:t>
    </w:r>
    <w:r>
      <w:fldChar w:fldCharType="begin"/>
    </w:r>
    <w:r>
      <w:instrText xml:space="preserve"> PAGE   \* MERGEFORMAT </w:instrText>
    </w:r>
    <w:r>
      <w:fldChar w:fldCharType="separate"/>
    </w:r>
    <w:r w:rsidR="00EB46DF">
      <w:rPr>
        <w:noProof/>
      </w:rPr>
      <w:t>1</w:t>
    </w:r>
    <w:r>
      <w:fldChar w:fldCharType="end"/>
    </w:r>
    <w:r>
      <w:t xml:space="preserve"> of </w:t>
    </w:r>
    <w:r w:rsidR="0094321E">
      <w:rPr>
        <w:noProof/>
      </w:rPr>
      <w:fldChar w:fldCharType="begin"/>
    </w:r>
    <w:r w:rsidR="0094321E">
      <w:rPr>
        <w:noProof/>
      </w:rPr>
      <w:instrText xml:space="preserve"> NUMPAGES   \* MERGEFORMAT </w:instrText>
    </w:r>
    <w:r w:rsidR="0094321E">
      <w:rPr>
        <w:noProof/>
      </w:rPr>
      <w:fldChar w:fldCharType="separate"/>
    </w:r>
    <w:r w:rsidR="00EB46DF">
      <w:rPr>
        <w:noProof/>
      </w:rPr>
      <w:t>10</w:t>
    </w:r>
    <w:r w:rsidR="0094321E">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B3463A" w14:textId="77777777" w:rsidR="00F2339E" w:rsidRDefault="00F2339E">
      <w:r>
        <w:separator/>
      </w:r>
    </w:p>
  </w:footnote>
  <w:footnote w:type="continuationSeparator" w:id="0">
    <w:p w14:paraId="5DF4688C" w14:textId="77777777" w:rsidR="00F2339E" w:rsidRDefault="00F2339E">
      <w:r>
        <w:continuationSeparator/>
      </w:r>
    </w:p>
  </w:footnote>
  <w:footnote w:type="continuationNotice" w:id="1">
    <w:p w14:paraId="4AD38279" w14:textId="77777777" w:rsidR="00F2339E" w:rsidRDefault="00F2339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3C456" w14:textId="1D162210" w:rsidR="005973C8" w:rsidRDefault="005973C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DBD87A" w14:textId="75258604" w:rsidR="005A720A" w:rsidRPr="00B777AF" w:rsidRDefault="005A720A" w:rsidP="00480C09">
    <w:pPr>
      <w:rPr>
        <w:rFonts w:ascii="Times New Roman Bold" w:hAnsi="Times New Roman Bold"/>
        <w:b/>
        <w:bCs/>
        <w:smallCaps/>
        <w:color w:val="00548C"/>
        <w:sz w:val="28"/>
      </w:rPr>
    </w:pPr>
    <w:r w:rsidRPr="00B777AF">
      <w:rPr>
        <w:rFonts w:ascii="Times New Roman Bold" w:hAnsi="Times New Roman Bold"/>
        <w:b/>
        <w:bCs/>
        <w:smallCaps/>
        <w:color w:val="00548C"/>
        <w:sz w:val="28"/>
      </w:rPr>
      <w:t>Clinical Policy</w:t>
    </w:r>
    <w:r w:rsidRPr="00B777AF">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rFonts w:ascii="Times New Roman Bold" w:hAnsi="Times New Roman Bold"/>
        <w:b/>
        <w:bCs/>
        <w:smallCaps/>
        <w:color w:val="00548C"/>
        <w:sz w:val="28"/>
      </w:rPr>
      <w:tab/>
    </w:r>
    <w:r>
      <w:rPr>
        <w:noProof/>
        <w:color w:val="00548C"/>
      </w:rPr>
      <w:drawing>
        <wp:inline distT="0" distB="0" distL="0" distR="0" wp14:anchorId="1423829A" wp14:editId="3155FE20">
          <wp:extent cx="914400" cy="238125"/>
          <wp:effectExtent l="0" t="0" r="0" b="9525"/>
          <wp:docPr id="1" name="Picture 3" descr="http://intranet/companywidesites/marketing/Corporate%20Marketing%20Materials/Centene%20Corporate%20Logos/Centene%20Color%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intranet/companywidesites/marketing/Corporate%20Marketing%20Materials/Centene%20Corporate%20Logos/Centene%20Color%20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4400" cy="238125"/>
                  </a:xfrm>
                  <a:prstGeom prst="rect">
                    <a:avLst/>
                  </a:prstGeom>
                  <a:noFill/>
                  <a:ln>
                    <a:noFill/>
                  </a:ln>
                </pic:spPr>
              </pic:pic>
            </a:graphicData>
          </a:graphic>
        </wp:inline>
      </w:drawing>
    </w:r>
  </w:p>
  <w:p w14:paraId="1D0CA148" w14:textId="77777777" w:rsidR="005A720A" w:rsidRPr="00B777AF" w:rsidRDefault="005A720A" w:rsidP="00B777AF">
    <w:pPr>
      <w:rPr>
        <w:color w:val="00548C"/>
      </w:rPr>
    </w:pPr>
    <w:r>
      <w:rPr>
        <w:rFonts w:ascii="Times New Roman Bold" w:hAnsi="Times New Roman Bold"/>
        <w:b/>
        <w:bCs/>
        <w:color w:val="00548C"/>
      </w:rPr>
      <w:t>Neonatal Abstinence Syndrome Guidelines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4953A" w14:textId="674354B9" w:rsidR="005A720A" w:rsidRDefault="005A720A" w:rsidP="00B777AF">
    <w:pPr>
      <w:pStyle w:val="Header"/>
      <w:jc w:val="right"/>
    </w:pPr>
    <w:r>
      <w:rPr>
        <w:noProof/>
      </w:rPr>
      <w:drawing>
        <wp:inline distT="0" distB="0" distL="0" distR="0" wp14:anchorId="4B02E399" wp14:editId="48E2337B">
          <wp:extent cx="1371600" cy="352425"/>
          <wp:effectExtent l="0" t="0" r="0" b="9525"/>
          <wp:docPr id="2" name="Picture 2" descr="http://intranet/companywidesites/marketing/Corporate%20Marketing%20Materials/Centene%20Corporate%20Logos/Centene%20Color%20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intranet/companywidesites/marketing/Corporate%20Marketing%20Materials/Centene%20Corporate%20Logos/Centene%20Color%20Logo.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3524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F5AE7"/>
    <w:multiLevelType w:val="hybridMultilevel"/>
    <w:tmpl w:val="371A410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8E7697"/>
    <w:multiLevelType w:val="hybridMultilevel"/>
    <w:tmpl w:val="96D856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31E0E99"/>
    <w:multiLevelType w:val="hybridMultilevel"/>
    <w:tmpl w:val="E9D06470"/>
    <w:lvl w:ilvl="0" w:tplc="04090019">
      <w:start w:val="1"/>
      <w:numFmt w:val="lowerLetter"/>
      <w:lvlText w:val="%1."/>
      <w:lvlJc w:val="left"/>
      <w:pPr>
        <w:ind w:left="1440" w:hanging="360"/>
      </w:pPr>
    </w:lvl>
    <w:lvl w:ilvl="1" w:tplc="898C4368">
      <w:start w:val="1"/>
      <w:numFmt w:val="lowerRoman"/>
      <w:lvlText w:val="%2."/>
      <w:lvlJc w:val="left"/>
      <w:pPr>
        <w:ind w:left="2160" w:hanging="360"/>
      </w:pPr>
      <w:rPr>
        <w:rFonts w:hint="default"/>
        <w:sz w:val="24"/>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7A6984"/>
    <w:multiLevelType w:val="hybridMultilevel"/>
    <w:tmpl w:val="387EA7BC"/>
    <w:lvl w:ilvl="0" w:tplc="5C220D9E">
      <w:start w:val="1"/>
      <w:numFmt w:val="decimal"/>
      <w:lvlText w:val="%1."/>
      <w:lvlJc w:val="left"/>
      <w:pPr>
        <w:ind w:left="720" w:hanging="360"/>
      </w:pPr>
      <w:rPr>
        <w:rFonts w:hint="default"/>
        <w:b w:val="0"/>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E500B2"/>
    <w:multiLevelType w:val="hybridMultilevel"/>
    <w:tmpl w:val="CB5AF886"/>
    <w:lvl w:ilvl="0" w:tplc="6CC06064">
      <w:start w:val="1"/>
      <w:numFmt w:val="lowerLetter"/>
      <w:lvlText w:val="%1."/>
      <w:lvlJc w:val="left"/>
      <w:pPr>
        <w:ind w:left="144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A01436"/>
    <w:multiLevelType w:val="hybridMultilevel"/>
    <w:tmpl w:val="D236E140"/>
    <w:lvl w:ilvl="0" w:tplc="5C220D9E">
      <w:start w:val="1"/>
      <w:numFmt w:val="decimal"/>
      <w:lvlText w:val="%1."/>
      <w:lvlJc w:val="left"/>
      <w:pPr>
        <w:ind w:left="720" w:hanging="360"/>
      </w:pPr>
      <w:rPr>
        <w:rFonts w:hint="default"/>
        <w:b w:val="0"/>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C75F0A"/>
    <w:multiLevelType w:val="hybridMultilevel"/>
    <w:tmpl w:val="D236E140"/>
    <w:lvl w:ilvl="0" w:tplc="5C220D9E">
      <w:start w:val="1"/>
      <w:numFmt w:val="decimal"/>
      <w:lvlText w:val="%1."/>
      <w:lvlJc w:val="left"/>
      <w:pPr>
        <w:ind w:left="720" w:hanging="360"/>
      </w:pPr>
      <w:rPr>
        <w:rFonts w:hint="default"/>
        <w:b w:val="0"/>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4F267C"/>
    <w:multiLevelType w:val="hybridMultilevel"/>
    <w:tmpl w:val="B94C46BC"/>
    <w:lvl w:ilvl="0" w:tplc="FFFFFFFF">
      <w:start w:val="1"/>
      <w:numFmt w:val="decimal"/>
      <w:lvlText w:val="%1."/>
      <w:lvlJc w:val="left"/>
      <w:pPr>
        <w:ind w:left="720" w:hanging="360"/>
      </w:pPr>
      <w:rPr>
        <w:rFonts w:hint="default"/>
        <w:b w:val="0"/>
      </w:rPr>
    </w:lvl>
    <w:lvl w:ilvl="1" w:tplc="FFFFFFFF">
      <w:start w:val="1"/>
      <w:numFmt w:val="lowerLetter"/>
      <w:lvlText w:val="%2."/>
      <w:lvlJc w:val="left"/>
      <w:pPr>
        <w:ind w:left="1440" w:hanging="360"/>
      </w:pPr>
      <w:rPr>
        <w:rFonts w:hint="default"/>
        <w:b w:val="0"/>
        <w:i w:val="0"/>
        <w:iCs/>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A251B1E"/>
    <w:multiLevelType w:val="hybridMultilevel"/>
    <w:tmpl w:val="B204E92A"/>
    <w:lvl w:ilvl="0" w:tplc="26CA68AC">
      <w:start w:val="1"/>
      <w:numFmt w:val="upperRoman"/>
      <w:lvlText w:val="%1."/>
      <w:lvlJc w:val="left"/>
      <w:pPr>
        <w:ind w:left="720" w:hanging="360"/>
      </w:pPr>
      <w:rPr>
        <w:rFonts w:hint="default"/>
        <w:b/>
      </w:rPr>
    </w:lvl>
    <w:lvl w:ilvl="1" w:tplc="56CC320A">
      <w:start w:val="1"/>
      <w:numFmt w:val="upperLetter"/>
      <w:lvlText w:val="%2."/>
      <w:lvlJc w:val="left"/>
      <w:pPr>
        <w:ind w:left="1440" w:hanging="360"/>
      </w:pPr>
      <w:rPr>
        <w:b/>
      </w:rPr>
    </w:lvl>
    <w:lvl w:ilvl="2" w:tplc="B0D8E88E">
      <w:start w:val="1"/>
      <w:numFmt w:val="decimal"/>
      <w:lvlText w:val="%3."/>
      <w:lvlJc w:val="left"/>
      <w:pPr>
        <w:ind w:left="2160" w:hanging="180"/>
      </w:pPr>
      <w:rPr>
        <w:b/>
      </w:rPr>
    </w:lvl>
    <w:lvl w:ilvl="3" w:tplc="04090019">
      <w:start w:val="1"/>
      <w:numFmt w:val="lowerLetter"/>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1497053"/>
    <w:multiLevelType w:val="hybridMultilevel"/>
    <w:tmpl w:val="BE262ED6"/>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86063C"/>
    <w:multiLevelType w:val="hybridMultilevel"/>
    <w:tmpl w:val="B94C46BC"/>
    <w:lvl w:ilvl="0" w:tplc="5C220D9E">
      <w:start w:val="1"/>
      <w:numFmt w:val="decimal"/>
      <w:lvlText w:val="%1."/>
      <w:lvlJc w:val="left"/>
      <w:pPr>
        <w:ind w:left="720" w:hanging="360"/>
      </w:pPr>
      <w:rPr>
        <w:rFonts w:hint="default"/>
        <w:b w:val="0"/>
      </w:rPr>
    </w:lvl>
    <w:lvl w:ilvl="1" w:tplc="F98AD3B0">
      <w:start w:val="1"/>
      <w:numFmt w:val="lowerLetter"/>
      <w:lvlText w:val="%2."/>
      <w:lvlJc w:val="left"/>
      <w:pPr>
        <w:ind w:left="1440" w:hanging="360"/>
      </w:pPr>
      <w:rPr>
        <w:rFonts w:hint="default"/>
        <w:b w:val="0"/>
        <w:i w:val="0"/>
        <w:iCs/>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66B68E6"/>
    <w:multiLevelType w:val="hybridMultilevel"/>
    <w:tmpl w:val="F330294A"/>
    <w:lvl w:ilvl="0" w:tplc="D0FE5CC8">
      <w:start w:val="1"/>
      <w:numFmt w:val="lowerRoman"/>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2" w15:restartNumberingAfterBreak="0">
    <w:nsid w:val="389F75EC"/>
    <w:multiLevelType w:val="hybridMultilevel"/>
    <w:tmpl w:val="71A0822A"/>
    <w:lvl w:ilvl="0" w:tplc="04090019">
      <w:start w:val="1"/>
      <w:numFmt w:val="lowerLetter"/>
      <w:lvlText w:val="%1."/>
      <w:lvlJc w:val="left"/>
      <w:pPr>
        <w:ind w:left="1440" w:hanging="360"/>
      </w:p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3A231C77"/>
    <w:multiLevelType w:val="hybridMultilevel"/>
    <w:tmpl w:val="553682CE"/>
    <w:lvl w:ilvl="0" w:tplc="A244BB9A">
      <w:start w:val="1"/>
      <w:numFmt w:val="upperLetter"/>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3EBE345C"/>
    <w:multiLevelType w:val="hybridMultilevel"/>
    <w:tmpl w:val="387EA7BC"/>
    <w:lvl w:ilvl="0" w:tplc="5C220D9E">
      <w:start w:val="1"/>
      <w:numFmt w:val="decimal"/>
      <w:lvlText w:val="%1."/>
      <w:lvlJc w:val="left"/>
      <w:pPr>
        <w:ind w:left="720" w:hanging="360"/>
      </w:pPr>
      <w:rPr>
        <w:rFonts w:hint="default"/>
        <w:b w:val="0"/>
      </w:rPr>
    </w:lvl>
    <w:lvl w:ilvl="1" w:tplc="04090019">
      <w:start w:val="1"/>
      <w:numFmt w:val="lowerLetter"/>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4D365D0"/>
    <w:multiLevelType w:val="hybridMultilevel"/>
    <w:tmpl w:val="02ACDC28"/>
    <w:lvl w:ilvl="0" w:tplc="6DCECFB6">
      <w:start w:val="1"/>
      <w:numFmt w:val="upperLetter"/>
      <w:lvlText w:val="%1."/>
      <w:lvlJc w:val="left"/>
      <w:pPr>
        <w:ind w:left="720" w:hanging="360"/>
      </w:pPr>
      <w:rPr>
        <w:b w:val="0"/>
        <w:bCs w:val="0"/>
      </w:rPr>
    </w:lvl>
    <w:lvl w:ilvl="1" w:tplc="877E8A3E">
      <w:start w:val="1"/>
      <w:numFmt w:val="decimal"/>
      <w:lvlText w:val="%2."/>
      <w:lvlJc w:val="left"/>
      <w:pPr>
        <w:ind w:left="1440" w:hanging="360"/>
      </w:pPr>
      <w:rPr>
        <w:color w:val="auto"/>
      </w:rPr>
    </w:lvl>
    <w:lvl w:ilvl="2" w:tplc="0409001B">
      <w:start w:val="1"/>
      <w:numFmt w:val="lowerRoman"/>
      <w:lvlText w:val="%3."/>
      <w:lvlJc w:val="right"/>
      <w:pPr>
        <w:ind w:left="2160" w:hanging="180"/>
      </w:pPr>
    </w:lvl>
    <w:lvl w:ilvl="3" w:tplc="97CE6052">
      <w:start w:val="1"/>
      <w:numFmt w:val="lowerLetter"/>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0746AA"/>
    <w:multiLevelType w:val="hybridMultilevel"/>
    <w:tmpl w:val="7B9A4726"/>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21C261F"/>
    <w:multiLevelType w:val="hybridMultilevel"/>
    <w:tmpl w:val="4DD8B626"/>
    <w:lvl w:ilvl="0" w:tplc="04090019">
      <w:start w:val="1"/>
      <w:numFmt w:val="lowerLetter"/>
      <w:lvlText w:val="%1."/>
      <w:lvlJc w:val="left"/>
      <w:pPr>
        <w:ind w:left="1440" w:hanging="360"/>
      </w:pPr>
    </w:lvl>
    <w:lvl w:ilvl="1" w:tplc="D0FE5CC8">
      <w:start w:val="1"/>
      <w:numFmt w:val="lowerRoman"/>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39C1206"/>
    <w:multiLevelType w:val="hybridMultilevel"/>
    <w:tmpl w:val="22849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9D1434D"/>
    <w:multiLevelType w:val="hybridMultilevel"/>
    <w:tmpl w:val="3806A69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600535"/>
    <w:multiLevelType w:val="hybridMultilevel"/>
    <w:tmpl w:val="0A58192A"/>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C0E684A"/>
    <w:multiLevelType w:val="hybridMultilevel"/>
    <w:tmpl w:val="B5AE4DF8"/>
    <w:lvl w:ilvl="0" w:tplc="87DED7B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D1E3D0A"/>
    <w:multiLevelType w:val="hybridMultilevel"/>
    <w:tmpl w:val="EBACAE76"/>
    <w:lvl w:ilvl="0" w:tplc="6BAC0802">
      <w:start w:val="1"/>
      <w:numFmt w:val="upperRoman"/>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D3E10B5"/>
    <w:multiLevelType w:val="hybridMultilevel"/>
    <w:tmpl w:val="618CB542"/>
    <w:lvl w:ilvl="0" w:tplc="41745BB8">
      <w:start w:val="1"/>
      <w:numFmt w:val="bullet"/>
      <w:lvlText w:val=""/>
      <w:lvlJc w:val="left"/>
      <w:pPr>
        <w:tabs>
          <w:tab w:val="num" w:pos="720"/>
        </w:tabs>
        <w:ind w:left="720" w:hanging="360"/>
      </w:pPr>
      <w:rPr>
        <w:rFonts w:ascii="Symbol" w:hAnsi="Symbol" w:hint="default"/>
        <w:sz w:val="20"/>
      </w:rPr>
    </w:lvl>
    <w:lvl w:ilvl="1" w:tplc="28DA9A74" w:tentative="1">
      <w:start w:val="1"/>
      <w:numFmt w:val="bullet"/>
      <w:lvlText w:val="o"/>
      <w:lvlJc w:val="left"/>
      <w:pPr>
        <w:tabs>
          <w:tab w:val="num" w:pos="1440"/>
        </w:tabs>
        <w:ind w:left="1440" w:hanging="360"/>
      </w:pPr>
      <w:rPr>
        <w:rFonts w:ascii="Courier New" w:hAnsi="Courier New" w:hint="default"/>
        <w:sz w:val="20"/>
      </w:rPr>
    </w:lvl>
    <w:lvl w:ilvl="2" w:tplc="04F23BE2" w:tentative="1">
      <w:start w:val="1"/>
      <w:numFmt w:val="bullet"/>
      <w:lvlText w:val=""/>
      <w:lvlJc w:val="left"/>
      <w:pPr>
        <w:tabs>
          <w:tab w:val="num" w:pos="2160"/>
        </w:tabs>
        <w:ind w:left="2160" w:hanging="360"/>
      </w:pPr>
      <w:rPr>
        <w:rFonts w:ascii="Wingdings" w:hAnsi="Wingdings" w:hint="default"/>
        <w:sz w:val="20"/>
      </w:rPr>
    </w:lvl>
    <w:lvl w:ilvl="3" w:tplc="B36E250C" w:tentative="1">
      <w:start w:val="1"/>
      <w:numFmt w:val="bullet"/>
      <w:lvlText w:val=""/>
      <w:lvlJc w:val="left"/>
      <w:pPr>
        <w:tabs>
          <w:tab w:val="num" w:pos="2880"/>
        </w:tabs>
        <w:ind w:left="2880" w:hanging="360"/>
      </w:pPr>
      <w:rPr>
        <w:rFonts w:ascii="Wingdings" w:hAnsi="Wingdings" w:hint="default"/>
        <w:sz w:val="20"/>
      </w:rPr>
    </w:lvl>
    <w:lvl w:ilvl="4" w:tplc="A98011B6" w:tentative="1">
      <w:start w:val="1"/>
      <w:numFmt w:val="bullet"/>
      <w:lvlText w:val=""/>
      <w:lvlJc w:val="left"/>
      <w:pPr>
        <w:tabs>
          <w:tab w:val="num" w:pos="3600"/>
        </w:tabs>
        <w:ind w:left="3600" w:hanging="360"/>
      </w:pPr>
      <w:rPr>
        <w:rFonts w:ascii="Wingdings" w:hAnsi="Wingdings" w:hint="default"/>
        <w:sz w:val="20"/>
      </w:rPr>
    </w:lvl>
    <w:lvl w:ilvl="5" w:tplc="B5309476" w:tentative="1">
      <w:start w:val="1"/>
      <w:numFmt w:val="bullet"/>
      <w:lvlText w:val=""/>
      <w:lvlJc w:val="left"/>
      <w:pPr>
        <w:tabs>
          <w:tab w:val="num" w:pos="4320"/>
        </w:tabs>
        <w:ind w:left="4320" w:hanging="360"/>
      </w:pPr>
      <w:rPr>
        <w:rFonts w:ascii="Wingdings" w:hAnsi="Wingdings" w:hint="default"/>
        <w:sz w:val="20"/>
      </w:rPr>
    </w:lvl>
    <w:lvl w:ilvl="6" w:tplc="D5DCFE88" w:tentative="1">
      <w:start w:val="1"/>
      <w:numFmt w:val="bullet"/>
      <w:lvlText w:val=""/>
      <w:lvlJc w:val="left"/>
      <w:pPr>
        <w:tabs>
          <w:tab w:val="num" w:pos="5040"/>
        </w:tabs>
        <w:ind w:left="5040" w:hanging="360"/>
      </w:pPr>
      <w:rPr>
        <w:rFonts w:ascii="Wingdings" w:hAnsi="Wingdings" w:hint="default"/>
        <w:sz w:val="20"/>
      </w:rPr>
    </w:lvl>
    <w:lvl w:ilvl="7" w:tplc="700E33C4" w:tentative="1">
      <w:start w:val="1"/>
      <w:numFmt w:val="bullet"/>
      <w:lvlText w:val=""/>
      <w:lvlJc w:val="left"/>
      <w:pPr>
        <w:tabs>
          <w:tab w:val="num" w:pos="5760"/>
        </w:tabs>
        <w:ind w:left="5760" w:hanging="360"/>
      </w:pPr>
      <w:rPr>
        <w:rFonts w:ascii="Wingdings" w:hAnsi="Wingdings" w:hint="default"/>
        <w:sz w:val="20"/>
      </w:rPr>
    </w:lvl>
    <w:lvl w:ilvl="8" w:tplc="2C6EEB8C" w:tentative="1">
      <w:start w:val="1"/>
      <w:numFmt w:val="bullet"/>
      <w:lvlText w:val=""/>
      <w:lvlJc w:val="left"/>
      <w:pPr>
        <w:tabs>
          <w:tab w:val="num" w:pos="6480"/>
        </w:tabs>
        <w:ind w:left="6480" w:hanging="360"/>
      </w:pPr>
      <w:rPr>
        <w:rFonts w:ascii="Wingdings" w:hAnsi="Wingdings" w:hint="default"/>
        <w:sz w:val="20"/>
      </w:rPr>
    </w:lvl>
  </w:abstractNum>
  <w:num w:numId="1" w16cid:durableId="1642880966">
    <w:abstractNumId w:val="23"/>
  </w:num>
  <w:num w:numId="2" w16cid:durableId="2054110514">
    <w:abstractNumId w:val="0"/>
  </w:num>
  <w:num w:numId="3" w16cid:durableId="1012803766">
    <w:abstractNumId w:val="8"/>
  </w:num>
  <w:num w:numId="4" w16cid:durableId="1273049280">
    <w:abstractNumId w:val="11"/>
  </w:num>
  <w:num w:numId="5" w16cid:durableId="1436100614">
    <w:abstractNumId w:val="13"/>
  </w:num>
  <w:num w:numId="6" w16cid:durableId="89088101">
    <w:abstractNumId w:val="18"/>
  </w:num>
  <w:num w:numId="7" w16cid:durableId="850143905">
    <w:abstractNumId w:val="19"/>
  </w:num>
  <w:num w:numId="8" w16cid:durableId="706494631">
    <w:abstractNumId w:val="1"/>
  </w:num>
  <w:num w:numId="9" w16cid:durableId="1530490123">
    <w:abstractNumId w:val="15"/>
  </w:num>
  <w:num w:numId="10" w16cid:durableId="641234295">
    <w:abstractNumId w:val="5"/>
  </w:num>
  <w:num w:numId="11" w16cid:durableId="372775666">
    <w:abstractNumId w:val="22"/>
  </w:num>
  <w:num w:numId="12" w16cid:durableId="1420327348">
    <w:abstractNumId w:val="10"/>
  </w:num>
  <w:num w:numId="13" w16cid:durableId="2062898694">
    <w:abstractNumId w:val="9"/>
  </w:num>
  <w:num w:numId="14" w16cid:durableId="1268192417">
    <w:abstractNumId w:val="3"/>
  </w:num>
  <w:num w:numId="15" w16cid:durableId="579945811">
    <w:abstractNumId w:val="6"/>
  </w:num>
  <w:num w:numId="16" w16cid:durableId="1815831563">
    <w:abstractNumId w:val="20"/>
  </w:num>
  <w:num w:numId="17" w16cid:durableId="1564245620">
    <w:abstractNumId w:val="16"/>
  </w:num>
  <w:num w:numId="18" w16cid:durableId="220335056">
    <w:abstractNumId w:val="14"/>
  </w:num>
  <w:num w:numId="19" w16cid:durableId="1735003888">
    <w:abstractNumId w:val="4"/>
  </w:num>
  <w:num w:numId="20" w16cid:durableId="1780639190">
    <w:abstractNumId w:val="2"/>
  </w:num>
  <w:num w:numId="21" w16cid:durableId="1191795709">
    <w:abstractNumId w:val="21"/>
  </w:num>
  <w:num w:numId="22" w16cid:durableId="248924928">
    <w:abstractNumId w:val="12"/>
  </w:num>
  <w:num w:numId="23" w16cid:durableId="2134251263">
    <w:abstractNumId w:val="17"/>
  </w:num>
  <w:num w:numId="24" w16cid:durableId="43590717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1DE9"/>
    <w:rsid w:val="00002A70"/>
    <w:rsid w:val="00004161"/>
    <w:rsid w:val="0000462E"/>
    <w:rsid w:val="00004930"/>
    <w:rsid w:val="000079D4"/>
    <w:rsid w:val="00007F8D"/>
    <w:rsid w:val="00014E95"/>
    <w:rsid w:val="000150F0"/>
    <w:rsid w:val="00015796"/>
    <w:rsid w:val="00015D24"/>
    <w:rsid w:val="000200FC"/>
    <w:rsid w:val="000212C2"/>
    <w:rsid w:val="00023BE1"/>
    <w:rsid w:val="00023EBD"/>
    <w:rsid w:val="0002418C"/>
    <w:rsid w:val="00027407"/>
    <w:rsid w:val="00027BCD"/>
    <w:rsid w:val="00027F9A"/>
    <w:rsid w:val="00040F79"/>
    <w:rsid w:val="000455A1"/>
    <w:rsid w:val="000465DE"/>
    <w:rsid w:val="0004733E"/>
    <w:rsid w:val="000477EA"/>
    <w:rsid w:val="00052EEA"/>
    <w:rsid w:val="000555A3"/>
    <w:rsid w:val="00056E02"/>
    <w:rsid w:val="00060509"/>
    <w:rsid w:val="00072D65"/>
    <w:rsid w:val="00080C2A"/>
    <w:rsid w:val="00081534"/>
    <w:rsid w:val="00083740"/>
    <w:rsid w:val="000852C5"/>
    <w:rsid w:val="00087060"/>
    <w:rsid w:val="00090592"/>
    <w:rsid w:val="00091519"/>
    <w:rsid w:val="00091EBF"/>
    <w:rsid w:val="00091FD6"/>
    <w:rsid w:val="000967EE"/>
    <w:rsid w:val="000A28FE"/>
    <w:rsid w:val="000C2DE9"/>
    <w:rsid w:val="000C38F5"/>
    <w:rsid w:val="000C5F51"/>
    <w:rsid w:val="000C7939"/>
    <w:rsid w:val="000D20E9"/>
    <w:rsid w:val="000D3547"/>
    <w:rsid w:val="000D3908"/>
    <w:rsid w:val="000D4864"/>
    <w:rsid w:val="000E24FB"/>
    <w:rsid w:val="000E30E9"/>
    <w:rsid w:val="000E3D29"/>
    <w:rsid w:val="000E4E32"/>
    <w:rsid w:val="000E5AC4"/>
    <w:rsid w:val="000F0F71"/>
    <w:rsid w:val="000F10C2"/>
    <w:rsid w:val="000F214E"/>
    <w:rsid w:val="000F2A03"/>
    <w:rsid w:val="00101A03"/>
    <w:rsid w:val="00101CCB"/>
    <w:rsid w:val="00102AD5"/>
    <w:rsid w:val="0010507F"/>
    <w:rsid w:val="0011328A"/>
    <w:rsid w:val="001140BB"/>
    <w:rsid w:val="00114360"/>
    <w:rsid w:val="00116571"/>
    <w:rsid w:val="00122073"/>
    <w:rsid w:val="00122B7E"/>
    <w:rsid w:val="00123360"/>
    <w:rsid w:val="00123433"/>
    <w:rsid w:val="00123C18"/>
    <w:rsid w:val="0012472C"/>
    <w:rsid w:val="00127979"/>
    <w:rsid w:val="00132D97"/>
    <w:rsid w:val="001419B5"/>
    <w:rsid w:val="0014316D"/>
    <w:rsid w:val="001435A1"/>
    <w:rsid w:val="00144CDE"/>
    <w:rsid w:val="0014570B"/>
    <w:rsid w:val="001515B1"/>
    <w:rsid w:val="00152084"/>
    <w:rsid w:val="00153494"/>
    <w:rsid w:val="00153983"/>
    <w:rsid w:val="001555D6"/>
    <w:rsid w:val="00170B14"/>
    <w:rsid w:val="001818D7"/>
    <w:rsid w:val="00185104"/>
    <w:rsid w:val="00185FF2"/>
    <w:rsid w:val="00187155"/>
    <w:rsid w:val="00192763"/>
    <w:rsid w:val="0019388C"/>
    <w:rsid w:val="001962BE"/>
    <w:rsid w:val="00196689"/>
    <w:rsid w:val="00196935"/>
    <w:rsid w:val="0019746F"/>
    <w:rsid w:val="001B4AB6"/>
    <w:rsid w:val="001B51B9"/>
    <w:rsid w:val="001C43EC"/>
    <w:rsid w:val="001D0736"/>
    <w:rsid w:val="001D0D34"/>
    <w:rsid w:val="001D0E09"/>
    <w:rsid w:val="001D193B"/>
    <w:rsid w:val="001D1CAE"/>
    <w:rsid w:val="001D70D4"/>
    <w:rsid w:val="001E086F"/>
    <w:rsid w:val="001E21D2"/>
    <w:rsid w:val="001E36A7"/>
    <w:rsid w:val="001E7D12"/>
    <w:rsid w:val="001F4A50"/>
    <w:rsid w:val="0020675F"/>
    <w:rsid w:val="002076A4"/>
    <w:rsid w:val="002134C1"/>
    <w:rsid w:val="00214320"/>
    <w:rsid w:val="00215EA3"/>
    <w:rsid w:val="00216D21"/>
    <w:rsid w:val="00216E03"/>
    <w:rsid w:val="002175C8"/>
    <w:rsid w:val="00220736"/>
    <w:rsid w:val="0022235A"/>
    <w:rsid w:val="00230FE4"/>
    <w:rsid w:val="002323F6"/>
    <w:rsid w:val="00233651"/>
    <w:rsid w:val="002356E3"/>
    <w:rsid w:val="00237073"/>
    <w:rsid w:val="00242606"/>
    <w:rsid w:val="00243B4A"/>
    <w:rsid w:val="0024623B"/>
    <w:rsid w:val="0025369D"/>
    <w:rsid w:val="00254020"/>
    <w:rsid w:val="0025452A"/>
    <w:rsid w:val="002725DF"/>
    <w:rsid w:val="0028587E"/>
    <w:rsid w:val="00285997"/>
    <w:rsid w:val="00295A49"/>
    <w:rsid w:val="00295C38"/>
    <w:rsid w:val="002A2AD0"/>
    <w:rsid w:val="002A349F"/>
    <w:rsid w:val="002A39EE"/>
    <w:rsid w:val="002A3C4B"/>
    <w:rsid w:val="002A3E49"/>
    <w:rsid w:val="002A72CD"/>
    <w:rsid w:val="002B006A"/>
    <w:rsid w:val="002B3704"/>
    <w:rsid w:val="002B39CB"/>
    <w:rsid w:val="002B3A57"/>
    <w:rsid w:val="002B52CB"/>
    <w:rsid w:val="002C0F20"/>
    <w:rsid w:val="002C13E3"/>
    <w:rsid w:val="002C586B"/>
    <w:rsid w:val="002C6AAB"/>
    <w:rsid w:val="002D019A"/>
    <w:rsid w:val="002D1830"/>
    <w:rsid w:val="002D69AA"/>
    <w:rsid w:val="002D7630"/>
    <w:rsid w:val="002D7EEB"/>
    <w:rsid w:val="002E2619"/>
    <w:rsid w:val="002E2AF0"/>
    <w:rsid w:val="002E402F"/>
    <w:rsid w:val="002E4771"/>
    <w:rsid w:val="002E48E7"/>
    <w:rsid w:val="002E51D8"/>
    <w:rsid w:val="002E524E"/>
    <w:rsid w:val="002E5B3E"/>
    <w:rsid w:val="002E5B47"/>
    <w:rsid w:val="002F1239"/>
    <w:rsid w:val="002F266A"/>
    <w:rsid w:val="002F4F3A"/>
    <w:rsid w:val="00303059"/>
    <w:rsid w:val="0030361E"/>
    <w:rsid w:val="0030573F"/>
    <w:rsid w:val="003061C1"/>
    <w:rsid w:val="0030626B"/>
    <w:rsid w:val="003079AA"/>
    <w:rsid w:val="00310221"/>
    <w:rsid w:val="003140D6"/>
    <w:rsid w:val="003200D9"/>
    <w:rsid w:val="0032027C"/>
    <w:rsid w:val="00320423"/>
    <w:rsid w:val="00321E91"/>
    <w:rsid w:val="00323916"/>
    <w:rsid w:val="00327062"/>
    <w:rsid w:val="003275BA"/>
    <w:rsid w:val="00327783"/>
    <w:rsid w:val="003321C8"/>
    <w:rsid w:val="00340905"/>
    <w:rsid w:val="0034307D"/>
    <w:rsid w:val="003436BD"/>
    <w:rsid w:val="00350F22"/>
    <w:rsid w:val="0035204D"/>
    <w:rsid w:val="00354ABC"/>
    <w:rsid w:val="003550D0"/>
    <w:rsid w:val="00355EC8"/>
    <w:rsid w:val="003577D4"/>
    <w:rsid w:val="0036028F"/>
    <w:rsid w:val="00366948"/>
    <w:rsid w:val="00366F4E"/>
    <w:rsid w:val="00367D3F"/>
    <w:rsid w:val="00370B80"/>
    <w:rsid w:val="00382194"/>
    <w:rsid w:val="003840CC"/>
    <w:rsid w:val="00387E85"/>
    <w:rsid w:val="00387EE5"/>
    <w:rsid w:val="003944A7"/>
    <w:rsid w:val="00395938"/>
    <w:rsid w:val="003A1093"/>
    <w:rsid w:val="003A5BC9"/>
    <w:rsid w:val="003A6B20"/>
    <w:rsid w:val="003A7116"/>
    <w:rsid w:val="003B23D7"/>
    <w:rsid w:val="003B4D81"/>
    <w:rsid w:val="003B6625"/>
    <w:rsid w:val="003C1063"/>
    <w:rsid w:val="003C3D4E"/>
    <w:rsid w:val="003C6ABE"/>
    <w:rsid w:val="003D3089"/>
    <w:rsid w:val="003D7802"/>
    <w:rsid w:val="003D7BE7"/>
    <w:rsid w:val="003E4947"/>
    <w:rsid w:val="003E6569"/>
    <w:rsid w:val="003F2194"/>
    <w:rsid w:val="003F3516"/>
    <w:rsid w:val="003F52FF"/>
    <w:rsid w:val="003F7E32"/>
    <w:rsid w:val="00400572"/>
    <w:rsid w:val="004035FC"/>
    <w:rsid w:val="00416BC2"/>
    <w:rsid w:val="00422207"/>
    <w:rsid w:val="004224E6"/>
    <w:rsid w:val="00423C00"/>
    <w:rsid w:val="00425F96"/>
    <w:rsid w:val="0043015C"/>
    <w:rsid w:val="00432BB1"/>
    <w:rsid w:val="00440493"/>
    <w:rsid w:val="00445B9B"/>
    <w:rsid w:val="00454E87"/>
    <w:rsid w:val="00456B68"/>
    <w:rsid w:val="004637A4"/>
    <w:rsid w:val="00467340"/>
    <w:rsid w:val="00472C6C"/>
    <w:rsid w:val="00476EAE"/>
    <w:rsid w:val="00477259"/>
    <w:rsid w:val="00477427"/>
    <w:rsid w:val="0048038D"/>
    <w:rsid w:val="00480C09"/>
    <w:rsid w:val="004817D5"/>
    <w:rsid w:val="0048354B"/>
    <w:rsid w:val="00484C9B"/>
    <w:rsid w:val="004853EB"/>
    <w:rsid w:val="00485A71"/>
    <w:rsid w:val="004873CA"/>
    <w:rsid w:val="00487575"/>
    <w:rsid w:val="00490BE5"/>
    <w:rsid w:val="0049264C"/>
    <w:rsid w:val="004963EA"/>
    <w:rsid w:val="00496BCF"/>
    <w:rsid w:val="004974E8"/>
    <w:rsid w:val="00497AED"/>
    <w:rsid w:val="004B0529"/>
    <w:rsid w:val="004B3C95"/>
    <w:rsid w:val="004B4853"/>
    <w:rsid w:val="004B531B"/>
    <w:rsid w:val="004B69E5"/>
    <w:rsid w:val="004B6C9F"/>
    <w:rsid w:val="004C64F6"/>
    <w:rsid w:val="004C78DE"/>
    <w:rsid w:val="004D38C1"/>
    <w:rsid w:val="004D551C"/>
    <w:rsid w:val="004D72C9"/>
    <w:rsid w:val="004E0B99"/>
    <w:rsid w:val="004F1A9B"/>
    <w:rsid w:val="004F53C2"/>
    <w:rsid w:val="004F5883"/>
    <w:rsid w:val="004F6394"/>
    <w:rsid w:val="005026CF"/>
    <w:rsid w:val="00505830"/>
    <w:rsid w:val="005103B8"/>
    <w:rsid w:val="0051138D"/>
    <w:rsid w:val="00513004"/>
    <w:rsid w:val="00515C80"/>
    <w:rsid w:val="00516DB0"/>
    <w:rsid w:val="00520DF7"/>
    <w:rsid w:val="0052740C"/>
    <w:rsid w:val="00541B3A"/>
    <w:rsid w:val="005423D4"/>
    <w:rsid w:val="00542502"/>
    <w:rsid w:val="005427DA"/>
    <w:rsid w:val="00542DD7"/>
    <w:rsid w:val="005519CD"/>
    <w:rsid w:val="005537B0"/>
    <w:rsid w:val="00553DDC"/>
    <w:rsid w:val="005547F7"/>
    <w:rsid w:val="00560A1C"/>
    <w:rsid w:val="00561C0F"/>
    <w:rsid w:val="00562326"/>
    <w:rsid w:val="00562528"/>
    <w:rsid w:val="005634DD"/>
    <w:rsid w:val="0056378D"/>
    <w:rsid w:val="0056503D"/>
    <w:rsid w:val="005676A4"/>
    <w:rsid w:val="00567844"/>
    <w:rsid w:val="005678FE"/>
    <w:rsid w:val="005679C9"/>
    <w:rsid w:val="0057241E"/>
    <w:rsid w:val="00576032"/>
    <w:rsid w:val="005776FD"/>
    <w:rsid w:val="00577CD6"/>
    <w:rsid w:val="00583376"/>
    <w:rsid w:val="00584F01"/>
    <w:rsid w:val="00585FD8"/>
    <w:rsid w:val="005909CF"/>
    <w:rsid w:val="00592219"/>
    <w:rsid w:val="0059237D"/>
    <w:rsid w:val="005959BF"/>
    <w:rsid w:val="005973C8"/>
    <w:rsid w:val="005A212E"/>
    <w:rsid w:val="005A2F3A"/>
    <w:rsid w:val="005A5FC1"/>
    <w:rsid w:val="005A720A"/>
    <w:rsid w:val="005B00AD"/>
    <w:rsid w:val="005B4A07"/>
    <w:rsid w:val="005C02C9"/>
    <w:rsid w:val="005C17DF"/>
    <w:rsid w:val="005C3607"/>
    <w:rsid w:val="005C6737"/>
    <w:rsid w:val="005C68D0"/>
    <w:rsid w:val="005C778B"/>
    <w:rsid w:val="005D009F"/>
    <w:rsid w:val="005D196E"/>
    <w:rsid w:val="005D2E52"/>
    <w:rsid w:val="005D36DD"/>
    <w:rsid w:val="005D5146"/>
    <w:rsid w:val="005D625A"/>
    <w:rsid w:val="005E01A3"/>
    <w:rsid w:val="005E2334"/>
    <w:rsid w:val="005E3E9F"/>
    <w:rsid w:val="005E411E"/>
    <w:rsid w:val="005E600F"/>
    <w:rsid w:val="005E6C91"/>
    <w:rsid w:val="005E780D"/>
    <w:rsid w:val="005E796E"/>
    <w:rsid w:val="005F0F6D"/>
    <w:rsid w:val="005F2377"/>
    <w:rsid w:val="005F3A35"/>
    <w:rsid w:val="005F45B8"/>
    <w:rsid w:val="00603094"/>
    <w:rsid w:val="00603986"/>
    <w:rsid w:val="00604492"/>
    <w:rsid w:val="00607755"/>
    <w:rsid w:val="00607BBB"/>
    <w:rsid w:val="00612531"/>
    <w:rsid w:val="00612B43"/>
    <w:rsid w:val="00615364"/>
    <w:rsid w:val="00617148"/>
    <w:rsid w:val="0062409E"/>
    <w:rsid w:val="00627867"/>
    <w:rsid w:val="0063067F"/>
    <w:rsid w:val="00631707"/>
    <w:rsid w:val="006373E3"/>
    <w:rsid w:val="00641DDF"/>
    <w:rsid w:val="00643C36"/>
    <w:rsid w:val="006474BB"/>
    <w:rsid w:val="006504D6"/>
    <w:rsid w:val="00651208"/>
    <w:rsid w:val="0065236F"/>
    <w:rsid w:val="00665AA1"/>
    <w:rsid w:val="00665EFA"/>
    <w:rsid w:val="006664E9"/>
    <w:rsid w:val="00673549"/>
    <w:rsid w:val="00673AAE"/>
    <w:rsid w:val="00675B35"/>
    <w:rsid w:val="006773AF"/>
    <w:rsid w:val="00677C87"/>
    <w:rsid w:val="00692653"/>
    <w:rsid w:val="00694AD8"/>
    <w:rsid w:val="0069606A"/>
    <w:rsid w:val="006A2824"/>
    <w:rsid w:val="006A70DA"/>
    <w:rsid w:val="006B3A17"/>
    <w:rsid w:val="006B5AEA"/>
    <w:rsid w:val="006B62A5"/>
    <w:rsid w:val="006C0126"/>
    <w:rsid w:val="006C74DF"/>
    <w:rsid w:val="006D1D3E"/>
    <w:rsid w:val="006D427B"/>
    <w:rsid w:val="006D7FC7"/>
    <w:rsid w:val="006E34AF"/>
    <w:rsid w:val="006E403B"/>
    <w:rsid w:val="006E59C6"/>
    <w:rsid w:val="006E79BD"/>
    <w:rsid w:val="006F1055"/>
    <w:rsid w:val="006F4D70"/>
    <w:rsid w:val="006F588F"/>
    <w:rsid w:val="00702CF8"/>
    <w:rsid w:val="00703DD0"/>
    <w:rsid w:val="007044CD"/>
    <w:rsid w:val="00704999"/>
    <w:rsid w:val="00704C34"/>
    <w:rsid w:val="00707DBC"/>
    <w:rsid w:val="00710FF5"/>
    <w:rsid w:val="00713C1F"/>
    <w:rsid w:val="0071583C"/>
    <w:rsid w:val="007174B0"/>
    <w:rsid w:val="00720594"/>
    <w:rsid w:val="00721DA8"/>
    <w:rsid w:val="0072412C"/>
    <w:rsid w:val="007350B1"/>
    <w:rsid w:val="0073564E"/>
    <w:rsid w:val="00740DC9"/>
    <w:rsid w:val="00744250"/>
    <w:rsid w:val="007454E1"/>
    <w:rsid w:val="00752A64"/>
    <w:rsid w:val="00753702"/>
    <w:rsid w:val="0075450E"/>
    <w:rsid w:val="00760595"/>
    <w:rsid w:val="00764445"/>
    <w:rsid w:val="00766DC2"/>
    <w:rsid w:val="007740B4"/>
    <w:rsid w:val="00775F61"/>
    <w:rsid w:val="007764CE"/>
    <w:rsid w:val="0078204E"/>
    <w:rsid w:val="00791469"/>
    <w:rsid w:val="00794F1F"/>
    <w:rsid w:val="00795145"/>
    <w:rsid w:val="00795722"/>
    <w:rsid w:val="00797479"/>
    <w:rsid w:val="007A0BCC"/>
    <w:rsid w:val="007A0D3C"/>
    <w:rsid w:val="007A1C5C"/>
    <w:rsid w:val="007A21C7"/>
    <w:rsid w:val="007A52B6"/>
    <w:rsid w:val="007A6815"/>
    <w:rsid w:val="007B0553"/>
    <w:rsid w:val="007B07AE"/>
    <w:rsid w:val="007B1DBF"/>
    <w:rsid w:val="007B4077"/>
    <w:rsid w:val="007B50D0"/>
    <w:rsid w:val="007C2971"/>
    <w:rsid w:val="007C36F8"/>
    <w:rsid w:val="007C3D02"/>
    <w:rsid w:val="007D0C20"/>
    <w:rsid w:val="007D1CEE"/>
    <w:rsid w:val="007D39B6"/>
    <w:rsid w:val="007D4801"/>
    <w:rsid w:val="007D5402"/>
    <w:rsid w:val="007D6CBE"/>
    <w:rsid w:val="007D7B46"/>
    <w:rsid w:val="007F1F19"/>
    <w:rsid w:val="007F69FA"/>
    <w:rsid w:val="007F7A2A"/>
    <w:rsid w:val="008022F7"/>
    <w:rsid w:val="00802D6A"/>
    <w:rsid w:val="00806143"/>
    <w:rsid w:val="008062F2"/>
    <w:rsid w:val="00815EFE"/>
    <w:rsid w:val="008300FA"/>
    <w:rsid w:val="0083232B"/>
    <w:rsid w:val="00832CB7"/>
    <w:rsid w:val="008348EC"/>
    <w:rsid w:val="008366CB"/>
    <w:rsid w:val="00842408"/>
    <w:rsid w:val="00845CFA"/>
    <w:rsid w:val="008519ED"/>
    <w:rsid w:val="008520EA"/>
    <w:rsid w:val="00852B40"/>
    <w:rsid w:val="008544A9"/>
    <w:rsid w:val="008548AB"/>
    <w:rsid w:val="00857C10"/>
    <w:rsid w:val="00866114"/>
    <w:rsid w:val="008679E3"/>
    <w:rsid w:val="00870585"/>
    <w:rsid w:val="008711E0"/>
    <w:rsid w:val="008727E9"/>
    <w:rsid w:val="00873FF0"/>
    <w:rsid w:val="00875924"/>
    <w:rsid w:val="00876D58"/>
    <w:rsid w:val="00877EC7"/>
    <w:rsid w:val="00877FC2"/>
    <w:rsid w:val="0088245A"/>
    <w:rsid w:val="00882805"/>
    <w:rsid w:val="008833D9"/>
    <w:rsid w:val="00884974"/>
    <w:rsid w:val="00887060"/>
    <w:rsid w:val="00895174"/>
    <w:rsid w:val="00896E94"/>
    <w:rsid w:val="008A2988"/>
    <w:rsid w:val="008A328C"/>
    <w:rsid w:val="008A773A"/>
    <w:rsid w:val="008B0705"/>
    <w:rsid w:val="008C0E4B"/>
    <w:rsid w:val="008C11CD"/>
    <w:rsid w:val="008C5370"/>
    <w:rsid w:val="008C63D7"/>
    <w:rsid w:val="008C6B3A"/>
    <w:rsid w:val="008D68A8"/>
    <w:rsid w:val="008D6985"/>
    <w:rsid w:val="008E3B8D"/>
    <w:rsid w:val="008F0EA4"/>
    <w:rsid w:val="008F7E80"/>
    <w:rsid w:val="00901D42"/>
    <w:rsid w:val="00902C9B"/>
    <w:rsid w:val="00903EAD"/>
    <w:rsid w:val="00904C29"/>
    <w:rsid w:val="009135E0"/>
    <w:rsid w:val="009147F2"/>
    <w:rsid w:val="00915CA4"/>
    <w:rsid w:val="00927806"/>
    <w:rsid w:val="00927ACD"/>
    <w:rsid w:val="00935D92"/>
    <w:rsid w:val="00941B7C"/>
    <w:rsid w:val="00943106"/>
    <w:rsid w:val="0094321E"/>
    <w:rsid w:val="00945FAB"/>
    <w:rsid w:val="009539B1"/>
    <w:rsid w:val="00956832"/>
    <w:rsid w:val="00961071"/>
    <w:rsid w:val="00963062"/>
    <w:rsid w:val="00965277"/>
    <w:rsid w:val="00965E80"/>
    <w:rsid w:val="00972B73"/>
    <w:rsid w:val="0097339B"/>
    <w:rsid w:val="009735FA"/>
    <w:rsid w:val="009754A7"/>
    <w:rsid w:val="00977ECA"/>
    <w:rsid w:val="00980157"/>
    <w:rsid w:val="00980449"/>
    <w:rsid w:val="009811C4"/>
    <w:rsid w:val="00981BEE"/>
    <w:rsid w:val="00982180"/>
    <w:rsid w:val="0098639B"/>
    <w:rsid w:val="00987E78"/>
    <w:rsid w:val="0099247A"/>
    <w:rsid w:val="009928B2"/>
    <w:rsid w:val="00993E98"/>
    <w:rsid w:val="0099475D"/>
    <w:rsid w:val="00995055"/>
    <w:rsid w:val="00997564"/>
    <w:rsid w:val="009A5C0B"/>
    <w:rsid w:val="009A66C7"/>
    <w:rsid w:val="009B100B"/>
    <w:rsid w:val="009B597E"/>
    <w:rsid w:val="009B5DC7"/>
    <w:rsid w:val="009B7521"/>
    <w:rsid w:val="009C0555"/>
    <w:rsid w:val="009C61B2"/>
    <w:rsid w:val="009D1C0E"/>
    <w:rsid w:val="009D31DF"/>
    <w:rsid w:val="009E2450"/>
    <w:rsid w:val="009E341E"/>
    <w:rsid w:val="009E441D"/>
    <w:rsid w:val="009E6F29"/>
    <w:rsid w:val="009F1183"/>
    <w:rsid w:val="009F4602"/>
    <w:rsid w:val="009F5F89"/>
    <w:rsid w:val="009F601B"/>
    <w:rsid w:val="009F7EBD"/>
    <w:rsid w:val="00A00234"/>
    <w:rsid w:val="00A00ED8"/>
    <w:rsid w:val="00A04D68"/>
    <w:rsid w:val="00A07109"/>
    <w:rsid w:val="00A1040A"/>
    <w:rsid w:val="00A10B10"/>
    <w:rsid w:val="00A22625"/>
    <w:rsid w:val="00A2367F"/>
    <w:rsid w:val="00A31B10"/>
    <w:rsid w:val="00A31FFD"/>
    <w:rsid w:val="00A34292"/>
    <w:rsid w:val="00A37E30"/>
    <w:rsid w:val="00A40F93"/>
    <w:rsid w:val="00A41969"/>
    <w:rsid w:val="00A43372"/>
    <w:rsid w:val="00A4712F"/>
    <w:rsid w:val="00A50682"/>
    <w:rsid w:val="00A5399C"/>
    <w:rsid w:val="00A60413"/>
    <w:rsid w:val="00A6268B"/>
    <w:rsid w:val="00A628EB"/>
    <w:rsid w:val="00A67E9C"/>
    <w:rsid w:val="00A70569"/>
    <w:rsid w:val="00A70C3F"/>
    <w:rsid w:val="00A71E38"/>
    <w:rsid w:val="00A72977"/>
    <w:rsid w:val="00A77812"/>
    <w:rsid w:val="00A83658"/>
    <w:rsid w:val="00A85489"/>
    <w:rsid w:val="00A8761E"/>
    <w:rsid w:val="00A87B1F"/>
    <w:rsid w:val="00A9168B"/>
    <w:rsid w:val="00A946A4"/>
    <w:rsid w:val="00AA336E"/>
    <w:rsid w:val="00AA428E"/>
    <w:rsid w:val="00AA55FC"/>
    <w:rsid w:val="00AA6252"/>
    <w:rsid w:val="00AB0DDA"/>
    <w:rsid w:val="00AC1963"/>
    <w:rsid w:val="00AC47C0"/>
    <w:rsid w:val="00AC774E"/>
    <w:rsid w:val="00AD1AA6"/>
    <w:rsid w:val="00AD4C5E"/>
    <w:rsid w:val="00AD5537"/>
    <w:rsid w:val="00AD55E8"/>
    <w:rsid w:val="00AE37D9"/>
    <w:rsid w:val="00AE6156"/>
    <w:rsid w:val="00AF1402"/>
    <w:rsid w:val="00AF1AAB"/>
    <w:rsid w:val="00AF1F2A"/>
    <w:rsid w:val="00AF30EF"/>
    <w:rsid w:val="00AF53AE"/>
    <w:rsid w:val="00AF5490"/>
    <w:rsid w:val="00B071D8"/>
    <w:rsid w:val="00B1084B"/>
    <w:rsid w:val="00B1185D"/>
    <w:rsid w:val="00B14921"/>
    <w:rsid w:val="00B2014D"/>
    <w:rsid w:val="00B224AF"/>
    <w:rsid w:val="00B2449C"/>
    <w:rsid w:val="00B261A6"/>
    <w:rsid w:val="00B26CAE"/>
    <w:rsid w:val="00B430ED"/>
    <w:rsid w:val="00B434AA"/>
    <w:rsid w:val="00B4633B"/>
    <w:rsid w:val="00B52906"/>
    <w:rsid w:val="00B53818"/>
    <w:rsid w:val="00B55080"/>
    <w:rsid w:val="00B60FCF"/>
    <w:rsid w:val="00B671B6"/>
    <w:rsid w:val="00B70802"/>
    <w:rsid w:val="00B70C96"/>
    <w:rsid w:val="00B728ED"/>
    <w:rsid w:val="00B7307A"/>
    <w:rsid w:val="00B74724"/>
    <w:rsid w:val="00B75002"/>
    <w:rsid w:val="00B777AF"/>
    <w:rsid w:val="00B81789"/>
    <w:rsid w:val="00B83363"/>
    <w:rsid w:val="00B87EE2"/>
    <w:rsid w:val="00B902CA"/>
    <w:rsid w:val="00B91129"/>
    <w:rsid w:val="00B92666"/>
    <w:rsid w:val="00B92DF1"/>
    <w:rsid w:val="00B947C5"/>
    <w:rsid w:val="00B949C0"/>
    <w:rsid w:val="00B97484"/>
    <w:rsid w:val="00BA1973"/>
    <w:rsid w:val="00BA7232"/>
    <w:rsid w:val="00BA7EF2"/>
    <w:rsid w:val="00BB3693"/>
    <w:rsid w:val="00BB4808"/>
    <w:rsid w:val="00BB4EC1"/>
    <w:rsid w:val="00BB6BFD"/>
    <w:rsid w:val="00BB772B"/>
    <w:rsid w:val="00BC211A"/>
    <w:rsid w:val="00BC5B56"/>
    <w:rsid w:val="00BD0CB4"/>
    <w:rsid w:val="00BD1C13"/>
    <w:rsid w:val="00BD25ED"/>
    <w:rsid w:val="00BD5211"/>
    <w:rsid w:val="00BD5618"/>
    <w:rsid w:val="00BD662F"/>
    <w:rsid w:val="00BD7055"/>
    <w:rsid w:val="00BD7127"/>
    <w:rsid w:val="00BE21E9"/>
    <w:rsid w:val="00BE37C1"/>
    <w:rsid w:val="00BE37D8"/>
    <w:rsid w:val="00BE52B4"/>
    <w:rsid w:val="00BF212F"/>
    <w:rsid w:val="00BF39F5"/>
    <w:rsid w:val="00BF4150"/>
    <w:rsid w:val="00C063D0"/>
    <w:rsid w:val="00C06EC5"/>
    <w:rsid w:val="00C079B0"/>
    <w:rsid w:val="00C14250"/>
    <w:rsid w:val="00C159C8"/>
    <w:rsid w:val="00C2297C"/>
    <w:rsid w:val="00C22AE4"/>
    <w:rsid w:val="00C23513"/>
    <w:rsid w:val="00C3658E"/>
    <w:rsid w:val="00C42A77"/>
    <w:rsid w:val="00C44512"/>
    <w:rsid w:val="00C46C29"/>
    <w:rsid w:val="00C53ECE"/>
    <w:rsid w:val="00C54B3F"/>
    <w:rsid w:val="00C578E5"/>
    <w:rsid w:val="00C60C14"/>
    <w:rsid w:val="00C63AEB"/>
    <w:rsid w:val="00C6448C"/>
    <w:rsid w:val="00C64BB4"/>
    <w:rsid w:val="00C7146B"/>
    <w:rsid w:val="00C71BB5"/>
    <w:rsid w:val="00C73B69"/>
    <w:rsid w:val="00C73CF5"/>
    <w:rsid w:val="00C749B9"/>
    <w:rsid w:val="00C757D1"/>
    <w:rsid w:val="00C75BD4"/>
    <w:rsid w:val="00C76C1E"/>
    <w:rsid w:val="00C77885"/>
    <w:rsid w:val="00C812EC"/>
    <w:rsid w:val="00C8157B"/>
    <w:rsid w:val="00C8197C"/>
    <w:rsid w:val="00C83D8E"/>
    <w:rsid w:val="00C84DCB"/>
    <w:rsid w:val="00C8561D"/>
    <w:rsid w:val="00C96847"/>
    <w:rsid w:val="00CA53B9"/>
    <w:rsid w:val="00CA5C08"/>
    <w:rsid w:val="00CA632E"/>
    <w:rsid w:val="00CB0C5F"/>
    <w:rsid w:val="00CB14D9"/>
    <w:rsid w:val="00CB1BD4"/>
    <w:rsid w:val="00CB6580"/>
    <w:rsid w:val="00CC0DCA"/>
    <w:rsid w:val="00CC3295"/>
    <w:rsid w:val="00CC4A04"/>
    <w:rsid w:val="00CC4E50"/>
    <w:rsid w:val="00CC5F26"/>
    <w:rsid w:val="00CC7C74"/>
    <w:rsid w:val="00CD2825"/>
    <w:rsid w:val="00CE1F5E"/>
    <w:rsid w:val="00CE699D"/>
    <w:rsid w:val="00CF0AB6"/>
    <w:rsid w:val="00CF2624"/>
    <w:rsid w:val="00CF4C8A"/>
    <w:rsid w:val="00D0723A"/>
    <w:rsid w:val="00D11EB7"/>
    <w:rsid w:val="00D13CF9"/>
    <w:rsid w:val="00D1426F"/>
    <w:rsid w:val="00D1637B"/>
    <w:rsid w:val="00D16659"/>
    <w:rsid w:val="00D17585"/>
    <w:rsid w:val="00D20FEE"/>
    <w:rsid w:val="00D249A7"/>
    <w:rsid w:val="00D25B68"/>
    <w:rsid w:val="00D267D4"/>
    <w:rsid w:val="00D267EF"/>
    <w:rsid w:val="00D311C9"/>
    <w:rsid w:val="00D34403"/>
    <w:rsid w:val="00D36448"/>
    <w:rsid w:val="00D406A5"/>
    <w:rsid w:val="00D45EF0"/>
    <w:rsid w:val="00D46787"/>
    <w:rsid w:val="00D47906"/>
    <w:rsid w:val="00D47C21"/>
    <w:rsid w:val="00D53182"/>
    <w:rsid w:val="00D53888"/>
    <w:rsid w:val="00D54F93"/>
    <w:rsid w:val="00D55D98"/>
    <w:rsid w:val="00D564A0"/>
    <w:rsid w:val="00D574CA"/>
    <w:rsid w:val="00D577BD"/>
    <w:rsid w:val="00D57F7D"/>
    <w:rsid w:val="00D63D5F"/>
    <w:rsid w:val="00D6522B"/>
    <w:rsid w:val="00D71BC4"/>
    <w:rsid w:val="00D7315B"/>
    <w:rsid w:val="00D74720"/>
    <w:rsid w:val="00D81E43"/>
    <w:rsid w:val="00D82DDE"/>
    <w:rsid w:val="00D918A6"/>
    <w:rsid w:val="00D95198"/>
    <w:rsid w:val="00DA0E13"/>
    <w:rsid w:val="00DA1A20"/>
    <w:rsid w:val="00DA34A5"/>
    <w:rsid w:val="00DA7D8D"/>
    <w:rsid w:val="00DB1436"/>
    <w:rsid w:val="00DB1DE9"/>
    <w:rsid w:val="00DB5FFA"/>
    <w:rsid w:val="00DB7421"/>
    <w:rsid w:val="00DC45C2"/>
    <w:rsid w:val="00DC4E3F"/>
    <w:rsid w:val="00DD025A"/>
    <w:rsid w:val="00DD468A"/>
    <w:rsid w:val="00DD7D7A"/>
    <w:rsid w:val="00DE18E2"/>
    <w:rsid w:val="00DE1ABD"/>
    <w:rsid w:val="00DE4AFF"/>
    <w:rsid w:val="00DE5F74"/>
    <w:rsid w:val="00DF172E"/>
    <w:rsid w:val="00DF18F8"/>
    <w:rsid w:val="00DF23E2"/>
    <w:rsid w:val="00DF37F4"/>
    <w:rsid w:val="00DF4CD2"/>
    <w:rsid w:val="00E02209"/>
    <w:rsid w:val="00E037C0"/>
    <w:rsid w:val="00E1225F"/>
    <w:rsid w:val="00E14371"/>
    <w:rsid w:val="00E16406"/>
    <w:rsid w:val="00E312F0"/>
    <w:rsid w:val="00E31EE8"/>
    <w:rsid w:val="00E37E8C"/>
    <w:rsid w:val="00E40276"/>
    <w:rsid w:val="00E42A86"/>
    <w:rsid w:val="00E4482C"/>
    <w:rsid w:val="00E52087"/>
    <w:rsid w:val="00E521E8"/>
    <w:rsid w:val="00E65A80"/>
    <w:rsid w:val="00E702E6"/>
    <w:rsid w:val="00E74D62"/>
    <w:rsid w:val="00E75619"/>
    <w:rsid w:val="00E803F3"/>
    <w:rsid w:val="00E83FB4"/>
    <w:rsid w:val="00E876A2"/>
    <w:rsid w:val="00E96D65"/>
    <w:rsid w:val="00E97C17"/>
    <w:rsid w:val="00EA056B"/>
    <w:rsid w:val="00EA3809"/>
    <w:rsid w:val="00EA498E"/>
    <w:rsid w:val="00EA4D30"/>
    <w:rsid w:val="00EA5F93"/>
    <w:rsid w:val="00EA7591"/>
    <w:rsid w:val="00EB46DF"/>
    <w:rsid w:val="00EC247E"/>
    <w:rsid w:val="00EC3263"/>
    <w:rsid w:val="00ED0A0D"/>
    <w:rsid w:val="00ED32F5"/>
    <w:rsid w:val="00ED5487"/>
    <w:rsid w:val="00EE3407"/>
    <w:rsid w:val="00EF4F94"/>
    <w:rsid w:val="00EF6B85"/>
    <w:rsid w:val="00F035F1"/>
    <w:rsid w:val="00F03DC0"/>
    <w:rsid w:val="00F05A3A"/>
    <w:rsid w:val="00F11D8E"/>
    <w:rsid w:val="00F122E3"/>
    <w:rsid w:val="00F14BE0"/>
    <w:rsid w:val="00F173A4"/>
    <w:rsid w:val="00F17C36"/>
    <w:rsid w:val="00F2339E"/>
    <w:rsid w:val="00F24009"/>
    <w:rsid w:val="00F26069"/>
    <w:rsid w:val="00F2705D"/>
    <w:rsid w:val="00F27A2F"/>
    <w:rsid w:val="00F30AC1"/>
    <w:rsid w:val="00F323F3"/>
    <w:rsid w:val="00F33525"/>
    <w:rsid w:val="00F34F91"/>
    <w:rsid w:val="00F40130"/>
    <w:rsid w:val="00F401D9"/>
    <w:rsid w:val="00F422E1"/>
    <w:rsid w:val="00F42A69"/>
    <w:rsid w:val="00F45ADE"/>
    <w:rsid w:val="00F50B87"/>
    <w:rsid w:val="00F51C08"/>
    <w:rsid w:val="00F52355"/>
    <w:rsid w:val="00F552B8"/>
    <w:rsid w:val="00F60BF1"/>
    <w:rsid w:val="00F61A7A"/>
    <w:rsid w:val="00F62E4F"/>
    <w:rsid w:val="00F645E1"/>
    <w:rsid w:val="00F71F8E"/>
    <w:rsid w:val="00F74762"/>
    <w:rsid w:val="00F74B69"/>
    <w:rsid w:val="00F77A21"/>
    <w:rsid w:val="00F80E62"/>
    <w:rsid w:val="00F820DD"/>
    <w:rsid w:val="00F840B1"/>
    <w:rsid w:val="00F8425F"/>
    <w:rsid w:val="00F8522F"/>
    <w:rsid w:val="00F919E7"/>
    <w:rsid w:val="00F91F0C"/>
    <w:rsid w:val="00F925C0"/>
    <w:rsid w:val="00F9419C"/>
    <w:rsid w:val="00F95133"/>
    <w:rsid w:val="00FA092C"/>
    <w:rsid w:val="00FA4062"/>
    <w:rsid w:val="00FA60AF"/>
    <w:rsid w:val="00FA6541"/>
    <w:rsid w:val="00FA7F13"/>
    <w:rsid w:val="00FB0592"/>
    <w:rsid w:val="00FB139B"/>
    <w:rsid w:val="00FC0474"/>
    <w:rsid w:val="00FC3343"/>
    <w:rsid w:val="00FC3BBC"/>
    <w:rsid w:val="00FC647B"/>
    <w:rsid w:val="00FC71E2"/>
    <w:rsid w:val="00FD3263"/>
    <w:rsid w:val="00FD3B08"/>
    <w:rsid w:val="00FD6702"/>
    <w:rsid w:val="00FE290A"/>
    <w:rsid w:val="00FE4A57"/>
    <w:rsid w:val="00FE5678"/>
    <w:rsid w:val="00FE68B6"/>
    <w:rsid w:val="00FE7A02"/>
    <w:rsid w:val="00FF01ED"/>
    <w:rsid w:val="00FF1A30"/>
    <w:rsid w:val="00FF3F84"/>
    <w:rsid w:val="00FF624F"/>
    <w:rsid w:val="00FF6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F8E7A2"/>
  <w15:docId w15:val="{816DD06C-1C00-44CF-A1D7-CFA46E5EC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eastAsia="Arial Unicode MS"/>
      <w:b/>
      <w:bCs/>
      <w:sz w:val="20"/>
      <w:szCs w:val="12"/>
    </w:rPr>
  </w:style>
  <w:style w:type="paragraph" w:styleId="Heading2">
    <w:name w:val="heading 2"/>
    <w:basedOn w:val="Normal"/>
    <w:next w:val="Normal"/>
    <w:qFormat/>
    <w:pPr>
      <w:keepNext/>
      <w:outlineLvl w:val="1"/>
    </w:pPr>
    <w:rPr>
      <w:b/>
      <w:bCs/>
      <w:u w:val="single"/>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jc w:val="center"/>
      <w:outlineLvl w:val="3"/>
    </w:pPr>
    <w:rPr>
      <w:b/>
      <w:bCs/>
    </w:rPr>
  </w:style>
  <w:style w:type="paragraph" w:styleId="Heading5">
    <w:name w:val="heading 5"/>
    <w:basedOn w:val="Normal"/>
    <w:next w:val="Normal"/>
    <w:qFormat/>
    <w:pPr>
      <w:keepNext/>
      <w:outlineLvl w:val="4"/>
    </w:pPr>
    <w:rPr>
      <w:b/>
      <w:szCs w:val="20"/>
    </w:rPr>
  </w:style>
  <w:style w:type="paragraph" w:styleId="Heading6">
    <w:name w:val="heading 6"/>
    <w:basedOn w:val="Normal"/>
    <w:next w:val="Normal"/>
    <w:qFormat/>
    <w:pPr>
      <w:keepNext/>
      <w:tabs>
        <w:tab w:val="num" w:pos="0"/>
      </w:tabs>
      <w:jc w:val="center"/>
      <w:outlineLvl w:val="5"/>
    </w:pPr>
    <w:rPr>
      <w:b/>
      <w:szCs w:val="20"/>
    </w:rPr>
  </w:style>
  <w:style w:type="paragraph" w:styleId="Heading7">
    <w:name w:val="heading 7"/>
    <w:basedOn w:val="Normal"/>
    <w:next w:val="Normal"/>
    <w:qFormat/>
    <w:pPr>
      <w:keepNext/>
      <w:outlineLvl w:val="6"/>
    </w:pPr>
    <w:rPr>
      <w:rFonts w:ascii="Bookman Old Style" w:hAnsi="Bookman Old Style"/>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paragraph" w:styleId="Title">
    <w:name w:val="Title"/>
    <w:basedOn w:val="Normal"/>
    <w:qFormat/>
    <w:pPr>
      <w:jc w:val="center"/>
    </w:pPr>
    <w:rPr>
      <w:b/>
      <w:bCs/>
      <w:szCs w:val="20"/>
    </w:rPr>
  </w:style>
  <w:style w:type="character" w:customStyle="1" w:styleId="EmailStyle20">
    <w:name w:val="EmailStyle20"/>
    <w:rPr>
      <w:rFonts w:ascii="Arial" w:hAnsi="Arial" w:cs="Arial"/>
      <w:color w:val="000000"/>
      <w:sz w:val="20"/>
      <w:szCs w:val="20"/>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character" w:styleId="Strong">
    <w:name w:val="Strong"/>
    <w:qFormat/>
    <w:rPr>
      <w:b/>
      <w:bCs/>
    </w:rPr>
  </w:style>
  <w:style w:type="character" w:styleId="Hyperlink">
    <w:name w:val="Hyperlink"/>
    <w:rsid w:val="004E0B99"/>
    <w:rPr>
      <w:color w:val="0000FF"/>
      <w:u w:val="single"/>
    </w:rPr>
  </w:style>
  <w:style w:type="character" w:styleId="FollowedHyperlink">
    <w:name w:val="FollowedHyperlink"/>
    <w:rsid w:val="00AF1F2A"/>
    <w:rPr>
      <w:color w:val="800080"/>
      <w:u w:val="single"/>
    </w:rPr>
  </w:style>
  <w:style w:type="paragraph" w:styleId="BalloonText">
    <w:name w:val="Balloon Text"/>
    <w:basedOn w:val="Normal"/>
    <w:semiHidden/>
    <w:rsid w:val="00A87B1F"/>
    <w:rPr>
      <w:rFonts w:ascii="Tahoma" w:hAnsi="Tahoma" w:cs="Tahoma"/>
      <w:sz w:val="16"/>
      <w:szCs w:val="16"/>
    </w:rPr>
  </w:style>
  <w:style w:type="table" w:styleId="TableTheme">
    <w:name w:val="Table Theme"/>
    <w:basedOn w:val="TableNormal"/>
    <w:rsid w:val="00D3644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licyMainHead">
    <w:name w:val="Policy Main Head"/>
    <w:basedOn w:val="Normal"/>
    <w:rsid w:val="00D574CA"/>
    <w:pPr>
      <w:widowControl w:val="0"/>
      <w:spacing w:after="200" w:line="276" w:lineRule="auto"/>
    </w:pPr>
    <w:rPr>
      <w:rFonts w:ascii="Arial Narrow" w:hAnsi="Arial Narrow"/>
      <w:noProof/>
      <w:color w:val="11406B"/>
      <w:sz w:val="48"/>
      <w:szCs w:val="48"/>
    </w:rPr>
  </w:style>
  <w:style w:type="character" w:customStyle="1" w:styleId="FooterChar">
    <w:name w:val="Footer Char"/>
    <w:link w:val="Footer"/>
    <w:uiPriority w:val="99"/>
    <w:rsid w:val="00D574CA"/>
    <w:rPr>
      <w:sz w:val="24"/>
      <w:szCs w:val="24"/>
    </w:rPr>
  </w:style>
  <w:style w:type="table" w:styleId="LightList-Accent1">
    <w:name w:val="Light List Accent 1"/>
    <w:basedOn w:val="TableNormal"/>
    <w:uiPriority w:val="61"/>
    <w:rsid w:val="005423D4"/>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TableGrid">
    <w:name w:val="Table Grid"/>
    <w:basedOn w:val="TableNormal"/>
    <w:rsid w:val="00B777A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A2F3A"/>
    <w:pPr>
      <w:ind w:left="720"/>
      <w:contextualSpacing/>
    </w:pPr>
  </w:style>
  <w:style w:type="paragraph" w:styleId="Revision">
    <w:name w:val="Revision"/>
    <w:hidden/>
    <w:uiPriority w:val="99"/>
    <w:semiHidden/>
    <w:rsid w:val="00B2449C"/>
    <w:rPr>
      <w:sz w:val="24"/>
      <w:szCs w:val="24"/>
    </w:rPr>
  </w:style>
  <w:style w:type="character" w:styleId="CommentReference">
    <w:name w:val="annotation reference"/>
    <w:basedOn w:val="DefaultParagraphFont"/>
    <w:semiHidden/>
    <w:unhideWhenUsed/>
    <w:rsid w:val="00B2449C"/>
    <w:rPr>
      <w:sz w:val="16"/>
      <w:szCs w:val="16"/>
    </w:rPr>
  </w:style>
  <w:style w:type="paragraph" w:styleId="CommentText">
    <w:name w:val="annotation text"/>
    <w:basedOn w:val="Normal"/>
    <w:link w:val="CommentTextChar"/>
    <w:unhideWhenUsed/>
    <w:rsid w:val="00B2449C"/>
    <w:rPr>
      <w:sz w:val="20"/>
      <w:szCs w:val="20"/>
    </w:rPr>
  </w:style>
  <w:style w:type="character" w:customStyle="1" w:styleId="CommentTextChar">
    <w:name w:val="Comment Text Char"/>
    <w:basedOn w:val="DefaultParagraphFont"/>
    <w:link w:val="CommentText"/>
    <w:rsid w:val="00B2449C"/>
  </w:style>
  <w:style w:type="paragraph" w:styleId="CommentSubject">
    <w:name w:val="annotation subject"/>
    <w:basedOn w:val="CommentText"/>
    <w:next w:val="CommentText"/>
    <w:link w:val="CommentSubjectChar"/>
    <w:semiHidden/>
    <w:unhideWhenUsed/>
    <w:rsid w:val="00B2449C"/>
    <w:rPr>
      <w:b/>
      <w:bCs/>
    </w:rPr>
  </w:style>
  <w:style w:type="character" w:customStyle="1" w:styleId="CommentSubjectChar">
    <w:name w:val="Comment Subject Char"/>
    <w:basedOn w:val="CommentTextChar"/>
    <w:link w:val="CommentSubject"/>
    <w:semiHidden/>
    <w:rsid w:val="00B2449C"/>
    <w:rPr>
      <w:b/>
      <w:bCs/>
    </w:rPr>
  </w:style>
  <w:style w:type="character" w:customStyle="1" w:styleId="UnresolvedMention1">
    <w:name w:val="Unresolved Mention1"/>
    <w:basedOn w:val="DefaultParagraphFont"/>
    <w:uiPriority w:val="99"/>
    <w:semiHidden/>
    <w:unhideWhenUsed/>
    <w:rsid w:val="0052740C"/>
    <w:rPr>
      <w:color w:val="605E5C"/>
      <w:shd w:val="clear" w:color="auto" w:fill="E1DFDD"/>
    </w:rPr>
  </w:style>
  <w:style w:type="character" w:styleId="UnresolvedMention">
    <w:name w:val="Unresolved Mention"/>
    <w:basedOn w:val="DefaultParagraphFont"/>
    <w:uiPriority w:val="99"/>
    <w:semiHidden/>
    <w:unhideWhenUsed/>
    <w:rsid w:val="009733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407163">
      <w:bodyDiv w:val="1"/>
      <w:marLeft w:val="0"/>
      <w:marRight w:val="0"/>
      <w:marTop w:val="0"/>
      <w:marBottom w:val="0"/>
      <w:divBdr>
        <w:top w:val="none" w:sz="0" w:space="0" w:color="auto"/>
        <w:left w:val="none" w:sz="0" w:space="0" w:color="auto"/>
        <w:bottom w:val="none" w:sz="0" w:space="0" w:color="auto"/>
        <w:right w:val="none" w:sz="0" w:space="0" w:color="auto"/>
      </w:divBdr>
    </w:div>
    <w:div w:id="370348475">
      <w:bodyDiv w:val="1"/>
      <w:marLeft w:val="0"/>
      <w:marRight w:val="0"/>
      <w:marTop w:val="0"/>
      <w:marBottom w:val="0"/>
      <w:divBdr>
        <w:top w:val="none" w:sz="0" w:space="0" w:color="auto"/>
        <w:left w:val="none" w:sz="0" w:space="0" w:color="auto"/>
        <w:bottom w:val="none" w:sz="0" w:space="0" w:color="auto"/>
        <w:right w:val="none" w:sz="0" w:space="0" w:color="auto"/>
      </w:divBdr>
    </w:div>
    <w:div w:id="619802010">
      <w:bodyDiv w:val="1"/>
      <w:marLeft w:val="0"/>
      <w:marRight w:val="0"/>
      <w:marTop w:val="0"/>
      <w:marBottom w:val="0"/>
      <w:divBdr>
        <w:top w:val="none" w:sz="0" w:space="0" w:color="auto"/>
        <w:left w:val="none" w:sz="0" w:space="0" w:color="auto"/>
        <w:bottom w:val="none" w:sz="0" w:space="0" w:color="auto"/>
        <w:right w:val="none" w:sz="0" w:space="0" w:color="auto"/>
      </w:divBdr>
    </w:div>
    <w:div w:id="809130466">
      <w:bodyDiv w:val="1"/>
      <w:marLeft w:val="0"/>
      <w:marRight w:val="0"/>
      <w:marTop w:val="0"/>
      <w:marBottom w:val="0"/>
      <w:divBdr>
        <w:top w:val="none" w:sz="0" w:space="0" w:color="auto"/>
        <w:left w:val="none" w:sz="0" w:space="0" w:color="auto"/>
        <w:bottom w:val="none" w:sz="0" w:space="0" w:color="auto"/>
        <w:right w:val="none" w:sz="0" w:space="0" w:color="auto"/>
      </w:divBdr>
    </w:div>
    <w:div w:id="1124691593">
      <w:bodyDiv w:val="1"/>
      <w:marLeft w:val="0"/>
      <w:marRight w:val="0"/>
      <w:marTop w:val="0"/>
      <w:marBottom w:val="0"/>
      <w:divBdr>
        <w:top w:val="none" w:sz="0" w:space="0" w:color="auto"/>
        <w:left w:val="none" w:sz="0" w:space="0" w:color="auto"/>
        <w:bottom w:val="none" w:sz="0" w:space="0" w:color="auto"/>
        <w:right w:val="none" w:sz="0" w:space="0" w:color="auto"/>
      </w:divBdr>
      <w:divsChild>
        <w:div w:id="421417658">
          <w:marLeft w:val="0"/>
          <w:marRight w:val="0"/>
          <w:marTop w:val="0"/>
          <w:marBottom w:val="0"/>
          <w:divBdr>
            <w:top w:val="none" w:sz="0" w:space="0" w:color="auto"/>
            <w:left w:val="none" w:sz="0" w:space="0" w:color="auto"/>
            <w:bottom w:val="none" w:sz="0" w:space="0" w:color="auto"/>
            <w:right w:val="none" w:sz="0" w:space="0" w:color="auto"/>
          </w:divBdr>
        </w:div>
        <w:div w:id="1452554935">
          <w:marLeft w:val="0"/>
          <w:marRight w:val="0"/>
          <w:marTop w:val="0"/>
          <w:marBottom w:val="0"/>
          <w:divBdr>
            <w:top w:val="none" w:sz="0" w:space="0" w:color="auto"/>
            <w:left w:val="none" w:sz="0" w:space="0" w:color="auto"/>
            <w:bottom w:val="none" w:sz="0" w:space="0" w:color="auto"/>
            <w:right w:val="none" w:sz="0" w:space="0" w:color="auto"/>
          </w:divBdr>
        </w:div>
      </w:divsChild>
    </w:div>
    <w:div w:id="1137530516">
      <w:bodyDiv w:val="1"/>
      <w:marLeft w:val="0"/>
      <w:marRight w:val="0"/>
      <w:marTop w:val="0"/>
      <w:marBottom w:val="0"/>
      <w:divBdr>
        <w:top w:val="none" w:sz="0" w:space="0" w:color="auto"/>
        <w:left w:val="none" w:sz="0" w:space="0" w:color="auto"/>
        <w:bottom w:val="none" w:sz="0" w:space="0" w:color="auto"/>
        <w:right w:val="none" w:sz="0" w:space="0" w:color="auto"/>
      </w:divBdr>
    </w:div>
    <w:div w:id="17663370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emedicine.medscape.com/article/978763-treatment" TargetMode="External"/><Relationship Id="rId3" Type="http://schemas.openxmlformats.org/officeDocument/2006/relationships/customXml" Target="../customXml/item3.xml"/><Relationship Id="rId21" Type="http://schemas.openxmlformats.org/officeDocument/2006/relationships/hyperlink" Target="http://www.uptodate.com/" TargetMode="Externa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yperlink" Target="http://www.academyofneonatalnursing.org/NAS/FinneganNASTool.pdf"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https://www.acog.org/clinical/clinical-guidance/committee-opinion/articles/2017/08/opioid-use-and-opioid-use-disorder-in-pregnanc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http://www.cms.gov" TargetMode="External"/><Relationship Id="rId10" Type="http://schemas.openxmlformats.org/officeDocument/2006/relationships/endnotes" Target="endnotes.xml"/><Relationship Id="rId19" Type="http://schemas.openxmlformats.org/officeDocument/2006/relationships/hyperlink" Target="http://www.uptodate.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publications.aap.org/pediatrics/article/146/5/e2020029074/75310/Neonatal-Opioid-Withdrawal-Syndrom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F4652A9-588F-462C-BE20-1B4EFF1BE648}">
  <ds:schemaRefs>
    <ds:schemaRef ds:uri="http://schemas.openxmlformats.org/officeDocument/2006/bibliography"/>
  </ds:schemaRefs>
</ds:datastoreItem>
</file>

<file path=customXml/itemProps2.xml><?xml version="1.0" encoding="utf-8"?>
<ds:datastoreItem xmlns:ds="http://schemas.openxmlformats.org/officeDocument/2006/customXml" ds:itemID="{F3498233-9496-426B-B21D-BC5E1623C1F2}">
  <ds:schemaRefs>
    <ds:schemaRef ds:uri="http://schemas.microsoft.com/sharepoint/v3/contenttype/forms"/>
  </ds:schemaRefs>
</ds:datastoreItem>
</file>

<file path=customXml/itemProps3.xml><?xml version="1.0" encoding="utf-8"?>
<ds:datastoreItem xmlns:ds="http://schemas.openxmlformats.org/officeDocument/2006/customXml" ds:itemID="{AD5AD7D4-893C-4F31-A01D-859FD148DC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5DCDE3B8-97D1-4540-9362-B37C9E2BC4D7}">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4731</Words>
  <Characters>28787</Characters>
  <Application>Microsoft Office Word</Application>
  <DocSecurity>0</DocSecurity>
  <Lines>239</Lines>
  <Paragraphs>66</Paragraphs>
  <ScaleCrop>false</ScaleCrop>
  <HeadingPairs>
    <vt:vector size="2" baseType="variant">
      <vt:variant>
        <vt:lpstr>Title</vt:lpstr>
      </vt:variant>
      <vt:variant>
        <vt:i4>1</vt:i4>
      </vt:variant>
    </vt:vector>
  </HeadingPairs>
  <TitlesOfParts>
    <vt:vector size="1" baseType="lpstr">
      <vt:lpstr>Subject:</vt:lpstr>
    </vt:vector>
  </TitlesOfParts>
  <Company>CENTENE CORPORATION</Company>
  <LinksUpToDate>false</LinksUpToDate>
  <CharactersWithSpaces>33452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Subject:</dc:title>
  <dc:creator>Marianne E. Santoro</dc:creator>
  <cp:lastModifiedBy>Victoria T. Kostecki</cp:lastModifiedBy>
  <cp:revision>2</cp:revision>
  <cp:lastPrinted>2021-08-19T13:49:00Z</cp:lastPrinted>
  <dcterms:created xsi:type="dcterms:W3CDTF">2025-07-09T15:04:00Z</dcterms:created>
  <dcterms:modified xsi:type="dcterms:W3CDTF">2025-07-09T15:04:00Z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776955-85f6-4fec-9553-96dd3e0373c4_Enabled">
    <vt:lpwstr>true</vt:lpwstr>
  </property>
  <property fmtid="{D5CDD505-2E9C-101B-9397-08002B2CF9AE}" pid="3" name="MSIP_Label_5a776955-85f6-4fec-9553-96dd3e0373c4_SetDate">
    <vt:lpwstr>2021-12-06T18:52:50Z</vt:lpwstr>
  </property>
  <property fmtid="{D5CDD505-2E9C-101B-9397-08002B2CF9AE}" pid="4" name="MSIP_Label_5a776955-85f6-4fec-9553-96dd3e0373c4_Method">
    <vt:lpwstr>Standard</vt:lpwstr>
  </property>
  <property fmtid="{D5CDD505-2E9C-101B-9397-08002B2CF9AE}" pid="5" name="MSIP_Label_5a776955-85f6-4fec-9553-96dd3e0373c4_Name">
    <vt:lpwstr>Confidential</vt:lpwstr>
  </property>
  <property fmtid="{D5CDD505-2E9C-101B-9397-08002B2CF9AE}" pid="6" name="MSIP_Label_5a776955-85f6-4fec-9553-96dd3e0373c4_SiteId">
    <vt:lpwstr>f45ccc07-e57e-4d15-bf6f-f6cbccd2d395</vt:lpwstr>
  </property>
  <property fmtid="{D5CDD505-2E9C-101B-9397-08002B2CF9AE}" pid="7" name="MSIP_Label_5a776955-85f6-4fec-9553-96dd3e0373c4_ActionId">
    <vt:lpwstr>e8928cb9-f4b5-4539-88b2-844886e5853e</vt:lpwstr>
  </property>
  <property fmtid="{D5CDD505-2E9C-101B-9397-08002B2CF9AE}" pid="8" name="MSIP_Label_5a776955-85f6-4fec-9553-96dd3e0373c4_ContentBits">
    <vt:lpwstr>0</vt:lpwstr>
  </property>
</Properties>
</file>