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7ED2" w14:textId="77777777" w:rsidR="00D574CA" w:rsidRPr="00B777AF" w:rsidRDefault="00230FE4"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 xml:space="preserve">Clinical Policy: </w:t>
      </w:r>
      <w:r w:rsidR="0034685C">
        <w:rPr>
          <w:rFonts w:ascii="Times New Roman" w:hAnsi="Times New Roman"/>
          <w:color w:val="00548C"/>
          <w:sz w:val="36"/>
        </w:rPr>
        <w:t>Neonatal Sepsis Management</w:t>
      </w:r>
    </w:p>
    <w:p w14:paraId="52DB7BEC" w14:textId="77777777" w:rsidR="00B777AF" w:rsidRDefault="00B777AF" w:rsidP="00D574CA">
      <w:pPr>
        <w:pStyle w:val="PolicyMainHead"/>
        <w:tabs>
          <w:tab w:val="left" w:pos="360"/>
        </w:tabs>
        <w:spacing w:after="0" w:line="240" w:lineRule="auto"/>
        <w:rPr>
          <w:color w:val="00548C"/>
          <w:sz w:val="24"/>
        </w:rPr>
        <w:sectPr w:rsidR="00B777AF" w:rsidSect="00EC7F11">
          <w:headerReference w:type="even" r:id="rId11"/>
          <w:headerReference w:type="default" r:id="rId12"/>
          <w:footerReference w:type="even" r:id="rId13"/>
          <w:footerReference w:type="default" r:id="rId14"/>
          <w:headerReference w:type="first" r:id="rId15"/>
          <w:footerReference w:type="first" r:id="rId16"/>
          <w:pgSz w:w="12240" w:h="15840" w:code="1"/>
          <w:pgMar w:top="1260" w:right="907" w:bottom="1152" w:left="1440" w:header="576" w:footer="288" w:gutter="0"/>
          <w:cols w:space="720"/>
          <w:titlePg/>
          <w:docGrid w:linePitch="360"/>
        </w:sectPr>
      </w:pPr>
    </w:p>
    <w:p w14:paraId="492DE5D3" w14:textId="77777777" w:rsidR="00B777AF" w:rsidRPr="003D7BE7" w:rsidRDefault="00D574CA" w:rsidP="00480C09">
      <w:pPr>
        <w:pStyle w:val="PolicyMainHead"/>
        <w:spacing w:after="0" w:line="240" w:lineRule="auto"/>
        <w:ind w:left="360"/>
        <w:rPr>
          <w:rFonts w:ascii="Times New Roman" w:hAnsi="Times New Roman"/>
          <w:color w:val="00548C"/>
          <w:sz w:val="24"/>
          <w:szCs w:val="24"/>
        </w:rPr>
        <w:sectPr w:rsidR="00B777AF" w:rsidRPr="003D7BE7" w:rsidSect="00480C09">
          <w:type w:val="continuous"/>
          <w:pgSz w:w="12240" w:h="15840" w:code="1"/>
          <w:pgMar w:top="1440" w:right="1080" w:bottom="1440" w:left="1080" w:header="576" w:footer="288" w:gutter="0"/>
          <w:cols w:num="2" w:space="720"/>
          <w:titlePg/>
          <w:docGrid w:linePitch="360"/>
        </w:sectPr>
      </w:pPr>
      <w:r w:rsidRPr="003D7BE7">
        <w:rPr>
          <w:rFonts w:ascii="Times New Roman" w:hAnsi="Times New Roman"/>
          <w:color w:val="00548C"/>
          <w:sz w:val="24"/>
          <w:szCs w:val="24"/>
        </w:rPr>
        <w:t>Reference Number: CP.</w:t>
      </w:r>
      <w:r w:rsidR="0034685C">
        <w:rPr>
          <w:rFonts w:ascii="Times New Roman" w:hAnsi="Times New Roman"/>
          <w:color w:val="00548C"/>
          <w:sz w:val="24"/>
          <w:szCs w:val="24"/>
        </w:rPr>
        <w:t>MP.85</w:t>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p>
    <w:p w14:paraId="00D6A85F" w14:textId="0D4099F5" w:rsidR="00875924" w:rsidRDefault="00217D53" w:rsidP="00D574CA">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3D7BE7">
        <w:rPr>
          <w:rFonts w:ascii="Times New Roman" w:hAnsi="Times New Roman"/>
          <w:color w:val="00548C"/>
          <w:sz w:val="24"/>
          <w:szCs w:val="24"/>
        </w:rPr>
        <w:t xml:space="preserve">: </w:t>
      </w:r>
      <w:r w:rsidR="00A71C30">
        <w:rPr>
          <w:rFonts w:ascii="Times New Roman" w:hAnsi="Times New Roman"/>
          <w:color w:val="00548C"/>
          <w:sz w:val="24"/>
          <w:szCs w:val="24"/>
        </w:rPr>
        <w:t>0</w:t>
      </w:r>
      <w:r w:rsidR="007D3A65">
        <w:rPr>
          <w:rFonts w:ascii="Times New Roman" w:hAnsi="Times New Roman"/>
          <w:color w:val="00548C"/>
          <w:sz w:val="24"/>
          <w:szCs w:val="24"/>
        </w:rPr>
        <w:t>6</w:t>
      </w:r>
      <w:r w:rsidR="00A71C30">
        <w:rPr>
          <w:rFonts w:ascii="Times New Roman" w:hAnsi="Times New Roman"/>
          <w:color w:val="00548C"/>
          <w:sz w:val="24"/>
          <w:szCs w:val="24"/>
        </w:rPr>
        <w:t>/2</w:t>
      </w:r>
      <w:r w:rsidR="000A6578">
        <w:rPr>
          <w:rFonts w:ascii="Times New Roman" w:hAnsi="Times New Roman"/>
          <w:color w:val="00548C"/>
          <w:sz w:val="24"/>
          <w:szCs w:val="24"/>
        </w:rPr>
        <w:t>5</w:t>
      </w:r>
    </w:p>
    <w:p w14:paraId="4605FA63"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875924">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6E637271" w14:textId="77777777" w:rsidR="00233805" w:rsidRDefault="00233805" w:rsidP="00F03DC0">
      <w:pPr>
        <w:autoSpaceDE w:val="0"/>
        <w:autoSpaceDN w:val="0"/>
        <w:adjustRightInd w:val="0"/>
        <w:rPr>
          <w:color w:val="000000"/>
          <w:sz w:val="22"/>
        </w:rPr>
      </w:pPr>
    </w:p>
    <w:p w14:paraId="782A537B" w14:textId="77777777" w:rsidR="00F03DC0" w:rsidRPr="00233805" w:rsidRDefault="00233805" w:rsidP="00233805">
      <w:pPr>
        <w:pStyle w:val="NormalWeb"/>
        <w:spacing w:before="0" w:beforeAutospacing="0" w:after="0" w:afterAutospacing="0"/>
        <w:rPr>
          <w:rFonts w:ascii="Times New Roman" w:hAnsi="Times New Roman" w:cs="Times New Roman"/>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r w:rsidR="00F03DC0" w:rsidRPr="00C73CF5">
        <w:rPr>
          <w:color w:val="000000"/>
          <w:sz w:val="22"/>
        </w:rPr>
        <w:t xml:space="preserve"> </w:t>
      </w:r>
    </w:p>
    <w:p w14:paraId="0AD18E66" w14:textId="77777777" w:rsidR="00C73CF5" w:rsidRDefault="00C73CF5" w:rsidP="00875924">
      <w:pPr>
        <w:pStyle w:val="NormalWeb"/>
        <w:spacing w:before="0" w:beforeAutospacing="0" w:after="0" w:afterAutospacing="0"/>
        <w:jc w:val="center"/>
        <w:rPr>
          <w:rStyle w:val="Strong"/>
          <w:rFonts w:ascii="Times New Roman" w:hAnsi="Times New Roman" w:cs="Times New Roman"/>
          <w:b w:val="0"/>
          <w:bCs w:val="0"/>
          <w:u w:val="single"/>
        </w:rPr>
      </w:pPr>
    </w:p>
    <w:p w14:paraId="24508425" w14:textId="77777777" w:rsidR="00583376" w:rsidRPr="00E52EA7" w:rsidRDefault="00583376" w:rsidP="00E52EA7">
      <w:pPr>
        <w:pStyle w:val="Heading1"/>
        <w:rPr>
          <w:sz w:val="24"/>
        </w:rPr>
      </w:pPr>
      <w:r w:rsidRPr="00E52EA7">
        <w:rPr>
          <w:sz w:val="24"/>
        </w:rPr>
        <w:t xml:space="preserve">Description </w:t>
      </w:r>
    </w:p>
    <w:p w14:paraId="3FEA55E9" w14:textId="2430D4C2" w:rsidR="0034685C" w:rsidRDefault="0034685C" w:rsidP="0034685C">
      <w:pPr>
        <w:pStyle w:val="Heading2"/>
        <w:rPr>
          <w:b w:val="0"/>
          <w:u w:val="none"/>
        </w:rPr>
      </w:pPr>
      <w:r>
        <w:rPr>
          <w:b w:val="0"/>
          <w:u w:val="none"/>
        </w:rPr>
        <w:t xml:space="preserve">Through the </w:t>
      </w:r>
      <w:r w:rsidR="00323FAE">
        <w:rPr>
          <w:b w:val="0"/>
          <w:u w:val="none"/>
        </w:rPr>
        <w:t xml:space="preserve">increased </w:t>
      </w:r>
      <w:r>
        <w:rPr>
          <w:b w:val="0"/>
          <w:u w:val="none"/>
        </w:rPr>
        <w:t xml:space="preserve">incidence of intra-partum antibiotics, early-onset neonatal sepsis is occurring less frequently. However, </w:t>
      </w:r>
      <w:r w:rsidR="006752DF">
        <w:rPr>
          <w:b w:val="0"/>
          <w:u w:val="none"/>
        </w:rPr>
        <w:t xml:space="preserve">sepsis </w:t>
      </w:r>
      <w:r>
        <w:rPr>
          <w:b w:val="0"/>
          <w:u w:val="none"/>
        </w:rPr>
        <w:t xml:space="preserve">continues to be </w:t>
      </w:r>
      <w:r w:rsidR="00435D14">
        <w:rPr>
          <w:b w:val="0"/>
          <w:u w:val="none"/>
        </w:rPr>
        <w:t xml:space="preserve">a </w:t>
      </w:r>
      <w:r w:rsidR="00E079EB">
        <w:rPr>
          <w:b w:val="0"/>
          <w:u w:val="none"/>
        </w:rPr>
        <w:t>prevalent</w:t>
      </w:r>
      <w:r w:rsidR="006752DF">
        <w:rPr>
          <w:b w:val="0"/>
          <w:u w:val="none"/>
        </w:rPr>
        <w:t xml:space="preserve"> </w:t>
      </w:r>
      <w:r>
        <w:rPr>
          <w:b w:val="0"/>
          <w:u w:val="none"/>
        </w:rPr>
        <w:t>cause of neonatal morbidity and mortality</w:t>
      </w:r>
      <w:r w:rsidR="00435D14">
        <w:rPr>
          <w:b w:val="0"/>
          <w:u w:val="none"/>
        </w:rPr>
        <w:t>.</w:t>
      </w:r>
      <w:r w:rsidR="00C71D6E">
        <w:rPr>
          <w:b w:val="0"/>
          <w:u w:val="none"/>
          <w:vertAlign w:val="superscript"/>
        </w:rPr>
        <w:t>2</w:t>
      </w:r>
      <w:r w:rsidR="006752DF">
        <w:rPr>
          <w:b w:val="0"/>
          <w:u w:val="none"/>
          <w:vertAlign w:val="superscript"/>
        </w:rPr>
        <w:t>,5</w:t>
      </w:r>
      <w:r>
        <w:rPr>
          <w:b w:val="0"/>
          <w:u w:val="none"/>
        </w:rPr>
        <w:t xml:space="preserve"> </w:t>
      </w:r>
    </w:p>
    <w:p w14:paraId="1BEE96A6" w14:textId="77777777" w:rsidR="0034685C" w:rsidRDefault="0034685C" w:rsidP="0034685C"/>
    <w:p w14:paraId="2B163154" w14:textId="0C6B2123" w:rsidR="0034685C" w:rsidRDefault="00F165EC" w:rsidP="0034685C">
      <w:pPr>
        <w:pStyle w:val="Heading2"/>
        <w:rPr>
          <w:b w:val="0"/>
          <w:bCs w:val="0"/>
          <w:u w:val="none"/>
        </w:rPr>
      </w:pPr>
      <w:r>
        <w:rPr>
          <w:b w:val="0"/>
          <w:u w:val="none"/>
        </w:rPr>
        <w:t xml:space="preserve">Group B </w:t>
      </w:r>
      <w:r w:rsidR="001E7DA2">
        <w:rPr>
          <w:b w:val="0"/>
          <w:u w:val="none"/>
        </w:rPr>
        <w:t>s</w:t>
      </w:r>
      <w:r>
        <w:rPr>
          <w:b w:val="0"/>
          <w:u w:val="none"/>
        </w:rPr>
        <w:t>treptococcus (</w:t>
      </w:r>
      <w:r w:rsidR="0034685C">
        <w:rPr>
          <w:b w:val="0"/>
          <w:u w:val="none"/>
        </w:rPr>
        <w:t>GBS</w:t>
      </w:r>
      <w:r>
        <w:rPr>
          <w:b w:val="0"/>
          <w:u w:val="none"/>
        </w:rPr>
        <w:t>)</w:t>
      </w:r>
      <w:r w:rsidR="0034685C">
        <w:rPr>
          <w:b w:val="0"/>
          <w:u w:val="none"/>
        </w:rPr>
        <w:t xml:space="preserve"> </w:t>
      </w:r>
      <w:r w:rsidR="00AE3202">
        <w:rPr>
          <w:b w:val="0"/>
          <w:u w:val="none"/>
        </w:rPr>
        <w:t xml:space="preserve">infection </w:t>
      </w:r>
      <w:r w:rsidR="0034685C">
        <w:rPr>
          <w:b w:val="0"/>
          <w:u w:val="none"/>
        </w:rPr>
        <w:t>remain</w:t>
      </w:r>
      <w:r w:rsidR="002A7F81">
        <w:rPr>
          <w:b w:val="0"/>
          <w:u w:val="none"/>
        </w:rPr>
        <w:t>s</w:t>
      </w:r>
      <w:r w:rsidR="0034685C">
        <w:rPr>
          <w:b w:val="0"/>
          <w:u w:val="none"/>
        </w:rPr>
        <w:t xml:space="preserve"> the leading cause of </w:t>
      </w:r>
      <w:r w:rsidR="007824A6">
        <w:rPr>
          <w:b w:val="0"/>
          <w:u w:val="none"/>
        </w:rPr>
        <w:t xml:space="preserve">early-onset </w:t>
      </w:r>
      <w:r w:rsidR="0034685C">
        <w:rPr>
          <w:b w:val="0"/>
          <w:u w:val="none"/>
        </w:rPr>
        <w:t>neonatal sepsis</w:t>
      </w:r>
      <w:r w:rsidR="007824A6">
        <w:rPr>
          <w:b w:val="0"/>
          <w:u w:val="none"/>
        </w:rPr>
        <w:t xml:space="preserve"> and a major cause of late-onset </w:t>
      </w:r>
      <w:r w:rsidR="008D370E">
        <w:rPr>
          <w:b w:val="0"/>
          <w:u w:val="none"/>
        </w:rPr>
        <w:t xml:space="preserve">sepsis. </w:t>
      </w:r>
      <w:r w:rsidR="00ED72E0">
        <w:rPr>
          <w:b w:val="0"/>
          <w:u w:val="none"/>
        </w:rPr>
        <w:t xml:space="preserve">The American Academy of Pediatrics defines GBS early-onset disease as a blood or cerebrospinal fluid culture-proven infection occurring within the first </w:t>
      </w:r>
      <w:r w:rsidR="00E3050F">
        <w:rPr>
          <w:b w:val="0"/>
          <w:u w:val="none"/>
        </w:rPr>
        <w:t>six</w:t>
      </w:r>
      <w:r w:rsidR="00ED72E0">
        <w:rPr>
          <w:b w:val="0"/>
          <w:u w:val="none"/>
        </w:rPr>
        <w:t xml:space="preserve"> days of life. </w:t>
      </w:r>
      <w:r w:rsidR="00A74DF8" w:rsidRPr="00956E6D">
        <w:rPr>
          <w:b w:val="0"/>
          <w:u w:val="none"/>
        </w:rPr>
        <w:t xml:space="preserve">GBS late-onset disease is defined as isolation of GBS from a normally sterile site from </w:t>
      </w:r>
      <w:r w:rsidR="00A74DF8">
        <w:rPr>
          <w:b w:val="0"/>
          <w:u w:val="none"/>
        </w:rPr>
        <w:t>seven</w:t>
      </w:r>
      <w:r w:rsidR="00A74DF8" w:rsidRPr="00956E6D">
        <w:rPr>
          <w:b w:val="0"/>
          <w:u w:val="none"/>
        </w:rPr>
        <w:t xml:space="preserve"> to 89 days of age</w:t>
      </w:r>
      <w:proofErr w:type="gramStart"/>
      <w:r w:rsidR="00A74DF8" w:rsidRPr="00956E6D">
        <w:rPr>
          <w:b w:val="0"/>
          <w:u w:val="none"/>
        </w:rPr>
        <w:t>.</w:t>
      </w:r>
      <w:r w:rsidR="00A74DF8">
        <w:rPr>
          <w:b w:val="0"/>
          <w:u w:val="none"/>
          <w:vertAlign w:val="superscript"/>
        </w:rPr>
        <w:t>8</w:t>
      </w:r>
      <w:proofErr w:type="gramEnd"/>
      <w:r w:rsidR="00A74DF8">
        <w:rPr>
          <w:b w:val="0"/>
          <w:u w:val="none"/>
        </w:rPr>
        <w:t xml:space="preserve"> </w:t>
      </w:r>
      <w:r w:rsidR="008D370E">
        <w:rPr>
          <w:b w:val="0"/>
          <w:u w:val="none"/>
        </w:rPr>
        <w:t>More</w:t>
      </w:r>
      <w:r w:rsidR="0034685C">
        <w:rPr>
          <w:b w:val="0"/>
          <w:u w:val="none"/>
        </w:rPr>
        <w:t xml:space="preserve"> than half of GBS cases occur in infants of </w:t>
      </w:r>
      <w:r w:rsidR="00A64163">
        <w:rPr>
          <w:b w:val="0"/>
          <w:u w:val="none"/>
        </w:rPr>
        <w:t xml:space="preserve">individuals </w:t>
      </w:r>
      <w:r w:rsidR="0034685C">
        <w:rPr>
          <w:b w:val="0"/>
          <w:u w:val="none"/>
        </w:rPr>
        <w:t xml:space="preserve">with negative GBS cultures, emphasizing the need </w:t>
      </w:r>
      <w:r w:rsidR="00537E0A">
        <w:rPr>
          <w:b w:val="0"/>
          <w:u w:val="none"/>
        </w:rPr>
        <w:t>for</w:t>
      </w:r>
      <w:r w:rsidR="0034685C">
        <w:rPr>
          <w:b w:val="0"/>
          <w:u w:val="none"/>
        </w:rPr>
        <w:t xml:space="preserve"> </w:t>
      </w:r>
      <w:r w:rsidR="00537E0A">
        <w:rPr>
          <w:b w:val="0"/>
          <w:u w:val="none"/>
        </w:rPr>
        <w:t xml:space="preserve">vigilance </w:t>
      </w:r>
      <w:r w:rsidR="007C5463">
        <w:rPr>
          <w:b w:val="0"/>
          <w:u w:val="none"/>
        </w:rPr>
        <w:t xml:space="preserve">of </w:t>
      </w:r>
      <w:r w:rsidR="0034685C">
        <w:rPr>
          <w:b w:val="0"/>
          <w:u w:val="none"/>
        </w:rPr>
        <w:t>signs of sepsis in all newborns.</w:t>
      </w:r>
      <w:r w:rsidR="004806AF">
        <w:rPr>
          <w:b w:val="0"/>
          <w:u w:val="none"/>
        </w:rPr>
        <w:t xml:space="preserve"> </w:t>
      </w:r>
      <w:r w:rsidR="00094CCE">
        <w:rPr>
          <w:b w:val="0"/>
          <w:u w:val="none"/>
        </w:rPr>
        <w:t>T</w:t>
      </w:r>
      <w:r w:rsidR="00907013">
        <w:rPr>
          <w:b w:val="0"/>
          <w:u w:val="none"/>
        </w:rPr>
        <w:t xml:space="preserve">o </w:t>
      </w:r>
      <w:r w:rsidR="002B47A1">
        <w:rPr>
          <w:b w:val="0"/>
          <w:u w:val="none"/>
        </w:rPr>
        <w:t xml:space="preserve">ensure timely treatment and </w:t>
      </w:r>
      <w:r w:rsidR="006C3630">
        <w:rPr>
          <w:b w:val="0"/>
          <w:u w:val="none"/>
        </w:rPr>
        <w:t xml:space="preserve">to </w:t>
      </w:r>
      <w:r w:rsidR="00907013">
        <w:rPr>
          <w:b w:val="0"/>
          <w:u w:val="none"/>
        </w:rPr>
        <w:t>re</w:t>
      </w:r>
      <w:r w:rsidR="00063145">
        <w:rPr>
          <w:b w:val="0"/>
          <w:u w:val="none"/>
        </w:rPr>
        <w:t>d</w:t>
      </w:r>
      <w:r w:rsidR="00907013">
        <w:rPr>
          <w:b w:val="0"/>
          <w:u w:val="none"/>
        </w:rPr>
        <w:t>uce mo</w:t>
      </w:r>
      <w:r w:rsidR="00313451">
        <w:rPr>
          <w:b w:val="0"/>
          <w:u w:val="none"/>
        </w:rPr>
        <w:t>r</w:t>
      </w:r>
      <w:r w:rsidR="00907013">
        <w:rPr>
          <w:b w:val="0"/>
          <w:u w:val="none"/>
        </w:rPr>
        <w:t>bidity and mortality,</w:t>
      </w:r>
      <w:r w:rsidR="002B47A1">
        <w:rPr>
          <w:b w:val="0"/>
          <w:u w:val="none"/>
        </w:rPr>
        <w:t xml:space="preserve"> </w:t>
      </w:r>
      <w:r w:rsidR="00907013">
        <w:rPr>
          <w:b w:val="0"/>
          <w:u w:val="none"/>
        </w:rPr>
        <w:t>t</w:t>
      </w:r>
      <w:r w:rsidR="0034685C">
        <w:rPr>
          <w:b w:val="0"/>
          <w:u w:val="none"/>
        </w:rPr>
        <w:t>hese infants require comprehensive assessment and treatment</w:t>
      </w:r>
      <w:r w:rsidR="00583C18">
        <w:rPr>
          <w:b w:val="0"/>
          <w:u w:val="none"/>
        </w:rPr>
        <w:t>,</w:t>
      </w:r>
      <w:r w:rsidR="0034685C">
        <w:rPr>
          <w:b w:val="0"/>
          <w:u w:val="none"/>
        </w:rPr>
        <w:t xml:space="preserve"> as well as discharge planning</w:t>
      </w:r>
      <w:proofErr w:type="gramStart"/>
      <w:r w:rsidR="00063145">
        <w:rPr>
          <w:b w:val="0"/>
          <w:u w:val="none"/>
        </w:rPr>
        <w:t>.</w:t>
      </w:r>
      <w:r w:rsidR="0034685C">
        <w:rPr>
          <w:b w:val="0"/>
          <w:bCs w:val="0"/>
          <w:u w:val="none"/>
          <w:vertAlign w:val="superscript"/>
        </w:rPr>
        <w:t>2</w:t>
      </w:r>
      <w:r w:rsidR="00EC3DBE">
        <w:rPr>
          <w:b w:val="0"/>
          <w:bCs w:val="0"/>
          <w:u w:val="none"/>
          <w:vertAlign w:val="superscript"/>
        </w:rPr>
        <w:t>,5</w:t>
      </w:r>
      <w:proofErr w:type="gramEnd"/>
    </w:p>
    <w:p w14:paraId="0D6F20E3" w14:textId="2D293910" w:rsidR="00ED0A0D" w:rsidRDefault="00ED0A0D" w:rsidP="00196935"/>
    <w:p w14:paraId="7B4D4EDF" w14:textId="77777777" w:rsidR="00583376" w:rsidRPr="00B777AF" w:rsidRDefault="00583376">
      <w:pPr>
        <w:pStyle w:val="Heading2"/>
        <w:rPr>
          <w:u w:val="none"/>
        </w:rPr>
      </w:pPr>
      <w:r w:rsidRPr="00B777AF">
        <w:rPr>
          <w:u w:val="none"/>
        </w:rPr>
        <w:t>Policy/Criteria</w:t>
      </w:r>
    </w:p>
    <w:p w14:paraId="5FD7B9DF" w14:textId="3B01DB40" w:rsidR="008132E8" w:rsidRPr="00ED3821" w:rsidRDefault="0034685C" w:rsidP="00ED3821">
      <w:pPr>
        <w:numPr>
          <w:ilvl w:val="0"/>
          <w:numId w:val="14"/>
        </w:numPr>
        <w:rPr>
          <w:bCs/>
          <w:color w:val="000000"/>
        </w:rPr>
      </w:pPr>
      <w:r w:rsidRPr="00ED3821">
        <w:rPr>
          <w:bCs/>
          <w:color w:val="000000"/>
        </w:rPr>
        <w:t>It is the policy of Health Plans affiliated with Centene Corporation</w:t>
      </w:r>
      <w:r w:rsidR="00D471DD" w:rsidRPr="00ED3821">
        <w:rPr>
          <w:bCs/>
          <w:color w:val="000000"/>
          <w:vertAlign w:val="superscript"/>
        </w:rPr>
        <w:t>®</w:t>
      </w:r>
      <w:r w:rsidRPr="00ED3821">
        <w:rPr>
          <w:bCs/>
          <w:color w:val="000000"/>
        </w:rPr>
        <w:t xml:space="preserve"> that the management of neonatal sepsis is </w:t>
      </w:r>
      <w:r w:rsidRPr="001C0964">
        <w:rPr>
          <w:b/>
          <w:color w:val="000000"/>
        </w:rPr>
        <w:t>medically necessary</w:t>
      </w:r>
      <w:r w:rsidRPr="00ED3821">
        <w:rPr>
          <w:bCs/>
          <w:color w:val="000000"/>
        </w:rPr>
        <w:t xml:space="preserve"> at the indicated level of care for the following circumstances:</w:t>
      </w:r>
    </w:p>
    <w:p w14:paraId="72027966" w14:textId="105572D0" w:rsidR="0034685C" w:rsidRPr="00ED3821" w:rsidRDefault="0034685C" w:rsidP="00ED3821">
      <w:pPr>
        <w:numPr>
          <w:ilvl w:val="0"/>
          <w:numId w:val="15"/>
        </w:numPr>
      </w:pPr>
      <w:r w:rsidRPr="00ED3821">
        <w:t xml:space="preserve">Episode Day </w:t>
      </w:r>
      <w:r w:rsidR="00ED3821">
        <w:t>1</w:t>
      </w:r>
    </w:p>
    <w:p w14:paraId="63F832A4" w14:textId="3F7DDD50" w:rsidR="0034685C" w:rsidRPr="008D78A1" w:rsidRDefault="0034685C" w:rsidP="00ED3821">
      <w:pPr>
        <w:numPr>
          <w:ilvl w:val="2"/>
          <w:numId w:val="13"/>
        </w:numPr>
        <w:ind w:left="1080" w:hanging="360"/>
      </w:pPr>
      <w:r w:rsidRPr="008D78A1">
        <w:t>Well-appearing infants who are on 48 hours of antibiotics pending blood culture</w:t>
      </w:r>
      <w:r w:rsidR="007F455E">
        <w:t xml:space="preserve"> result</w:t>
      </w:r>
      <w:r w:rsidRPr="008D78A1">
        <w:t xml:space="preserve">s </w:t>
      </w:r>
      <w:r>
        <w:t>are appropriate for</w:t>
      </w:r>
      <w:r w:rsidRPr="008D78A1">
        <w:t xml:space="preserve"> </w:t>
      </w:r>
      <w:r>
        <w:t>l</w:t>
      </w:r>
      <w:r w:rsidRPr="008D78A1">
        <w:t>evel I</w:t>
      </w:r>
      <w:r>
        <w:t>I</w:t>
      </w:r>
      <w:r w:rsidRPr="008D78A1">
        <w:t xml:space="preserve"> </w:t>
      </w:r>
      <w:r>
        <w:t xml:space="preserve">(rev code 172) </w:t>
      </w:r>
      <w:r w:rsidRPr="008D78A1">
        <w:t>nursery</w:t>
      </w:r>
      <w:r w:rsidR="00D540FC">
        <w:t xml:space="preserve">; </w:t>
      </w:r>
      <w:r w:rsidRPr="008D78A1">
        <w:t xml:space="preserve">  </w:t>
      </w:r>
    </w:p>
    <w:p w14:paraId="43BBAFB2" w14:textId="704EA424" w:rsidR="0034685C" w:rsidRDefault="0034685C" w:rsidP="00ED3821">
      <w:pPr>
        <w:numPr>
          <w:ilvl w:val="2"/>
          <w:numId w:val="13"/>
        </w:numPr>
        <w:ind w:left="1080" w:hanging="360"/>
      </w:pPr>
      <w:bookmarkStart w:id="0" w:name="_Hlk153202594"/>
      <w:r w:rsidRPr="008D78A1">
        <w:t>Symptomatic infants</w:t>
      </w:r>
      <w:r>
        <w:t xml:space="preserve"> are appropriate for level III (rev code 173) nursery </w:t>
      </w:r>
      <w:r w:rsidR="00347E59">
        <w:t xml:space="preserve">when meeting </w:t>
      </w:r>
      <w:r w:rsidR="00EC7F11">
        <w:t xml:space="preserve">all </w:t>
      </w:r>
      <w:r w:rsidR="00543454">
        <w:t xml:space="preserve">of </w:t>
      </w:r>
      <w:r w:rsidR="00EC7F11">
        <w:t>the following</w:t>
      </w:r>
      <w:r w:rsidR="00FF3C29">
        <w:t xml:space="preserve"> criteria</w:t>
      </w:r>
      <w:r>
        <w:t xml:space="preserve">: </w:t>
      </w:r>
    </w:p>
    <w:bookmarkEnd w:id="0"/>
    <w:p w14:paraId="12500BA5" w14:textId="56A4B2DC" w:rsidR="0034685C" w:rsidRDefault="00BF451A" w:rsidP="00ED3821">
      <w:pPr>
        <w:numPr>
          <w:ilvl w:val="3"/>
          <w:numId w:val="13"/>
        </w:numPr>
        <w:ind w:left="1440"/>
      </w:pPr>
      <w:r>
        <w:t xml:space="preserve">Signs of neonatal sepsis </w:t>
      </w:r>
      <w:r w:rsidR="008B7E6B">
        <w:t>(e.g. h</w:t>
      </w:r>
      <w:r w:rsidR="0034685C">
        <w:t>ypotonia, lethargy</w:t>
      </w:r>
      <w:r w:rsidR="00583C18">
        <w:t>,</w:t>
      </w:r>
      <w:r w:rsidR="00192157">
        <w:t xml:space="preserve"> </w:t>
      </w:r>
      <w:r w:rsidR="0034685C">
        <w:t>poor</w:t>
      </w:r>
      <w:r w:rsidR="00323FAE">
        <w:t xml:space="preserve"> oral</w:t>
      </w:r>
      <w:r w:rsidR="0034685C">
        <w:t xml:space="preserve"> fee</w:t>
      </w:r>
      <w:r w:rsidR="00583C18">
        <w:t>d</w:t>
      </w:r>
      <w:r w:rsidR="0034685C">
        <w:t>in</w:t>
      </w:r>
      <w:r w:rsidR="00323FAE">
        <w:t>g</w:t>
      </w:r>
      <w:r w:rsidR="008B7E6B">
        <w:t>, tachycardia, bradycardia</w:t>
      </w:r>
      <w:r w:rsidR="001D1A95">
        <w:t>, grunting, nasal flaring, cyanosis)</w:t>
      </w:r>
      <w:r w:rsidR="00EC7F11">
        <w:t xml:space="preserve">; </w:t>
      </w:r>
    </w:p>
    <w:p w14:paraId="23DB7376" w14:textId="3B1189DE" w:rsidR="0034685C" w:rsidRDefault="0034685C" w:rsidP="00ED3821">
      <w:pPr>
        <w:numPr>
          <w:ilvl w:val="3"/>
          <w:numId w:val="13"/>
        </w:numPr>
        <w:ind w:left="1440"/>
      </w:pPr>
      <w:r>
        <w:t>Temp ≥</w:t>
      </w:r>
      <w:r w:rsidR="005E0228">
        <w:t xml:space="preserve"> </w:t>
      </w:r>
      <w:r>
        <w:t>100.4</w:t>
      </w:r>
      <w:r w:rsidRPr="0080273C">
        <w:rPr>
          <w:vertAlign w:val="superscript"/>
        </w:rPr>
        <w:t>◦</w:t>
      </w:r>
      <w:r>
        <w:t>F or ≤ 96.8</w:t>
      </w:r>
      <w:r w:rsidRPr="0080273C">
        <w:rPr>
          <w:vertAlign w:val="superscript"/>
        </w:rPr>
        <w:t>◦</w:t>
      </w:r>
      <w:r>
        <w:t>F</w:t>
      </w:r>
      <w:r w:rsidR="00435D14">
        <w:t xml:space="preserve"> (≥ 38.0</w:t>
      </w:r>
      <w:r w:rsidR="00435D14" w:rsidRPr="0080273C">
        <w:rPr>
          <w:vertAlign w:val="superscript"/>
        </w:rPr>
        <w:t>◦</w:t>
      </w:r>
      <w:r w:rsidR="009A6FD6">
        <w:t>C</w:t>
      </w:r>
      <w:r w:rsidR="00435D14" w:rsidRPr="00ED3821">
        <w:t xml:space="preserve"> </w:t>
      </w:r>
      <w:r w:rsidR="00435D14" w:rsidRPr="00435D14">
        <w:t xml:space="preserve">or </w:t>
      </w:r>
      <w:r w:rsidR="00435D14">
        <w:t>≤ 36.0</w:t>
      </w:r>
      <w:r w:rsidR="00435D14" w:rsidRPr="0080273C">
        <w:rPr>
          <w:vertAlign w:val="superscript"/>
        </w:rPr>
        <w:t>◦</w:t>
      </w:r>
      <w:r w:rsidR="00435D14">
        <w:t>C)</w:t>
      </w:r>
      <w:r w:rsidR="00EC7F11">
        <w:t xml:space="preserve">; </w:t>
      </w:r>
    </w:p>
    <w:p w14:paraId="2444ED5C" w14:textId="5D6AF93D" w:rsidR="00420364" w:rsidRDefault="0034685C" w:rsidP="00420364">
      <w:pPr>
        <w:numPr>
          <w:ilvl w:val="3"/>
          <w:numId w:val="13"/>
        </w:numPr>
        <w:ind w:left="1440"/>
      </w:pPr>
      <w:r>
        <w:t>On 48 hours of antibiotics pending blood culture</w:t>
      </w:r>
      <w:r w:rsidR="00743967">
        <w:t xml:space="preserve"> result</w:t>
      </w:r>
      <w:r>
        <w:t xml:space="preserve">s or treatment of positive blood cultures.  </w:t>
      </w:r>
      <w:bookmarkStart w:id="1" w:name="_Hlk153203202"/>
    </w:p>
    <w:bookmarkEnd w:id="1"/>
    <w:p w14:paraId="74D78D9B" w14:textId="77777777" w:rsidR="0034685C" w:rsidRDefault="0034685C" w:rsidP="0034685C">
      <w:pPr>
        <w:ind w:left="720"/>
      </w:pPr>
    </w:p>
    <w:p w14:paraId="0C6064C1" w14:textId="45EBE91E" w:rsidR="0034685C" w:rsidRPr="00752F8C" w:rsidRDefault="0034685C" w:rsidP="00ED3821">
      <w:pPr>
        <w:numPr>
          <w:ilvl w:val="0"/>
          <w:numId w:val="15"/>
        </w:numPr>
      </w:pPr>
      <w:r w:rsidRPr="00752F8C">
        <w:t>Episode Day 2 and Subsequent</w:t>
      </w:r>
      <w:r w:rsidR="00DF0733" w:rsidRPr="00752F8C">
        <w:t xml:space="preserve"> Days</w:t>
      </w:r>
      <w:r w:rsidR="00D540FC" w:rsidRPr="00752F8C">
        <w:t xml:space="preserve"> </w:t>
      </w:r>
    </w:p>
    <w:p w14:paraId="6905F3E3" w14:textId="5FB76440" w:rsidR="0034685C" w:rsidRDefault="0034685C" w:rsidP="00ED3821">
      <w:pPr>
        <w:numPr>
          <w:ilvl w:val="0"/>
          <w:numId w:val="16"/>
        </w:numPr>
      </w:pPr>
      <w:r w:rsidRPr="00752F8C">
        <w:t xml:space="preserve">Infants with negative cultures who are determined to require antibiotics beyond 48 hours may be </w:t>
      </w:r>
      <w:r w:rsidR="00AF0839" w:rsidRPr="00752F8C">
        <w:t>appropriate for</w:t>
      </w:r>
      <w:r w:rsidRPr="00752F8C">
        <w:t xml:space="preserve"> transitional care or level I nursery (rev code 171) once antibiotics are the only intervention necessitating continued</w:t>
      </w:r>
      <w:r>
        <w:t xml:space="preserve"> stay and if </w:t>
      </w:r>
      <w:r w:rsidR="00743967">
        <w:t xml:space="preserve">outpatient </w:t>
      </w:r>
      <w:r>
        <w:t xml:space="preserve">antibiotics are </w:t>
      </w:r>
      <w:r w:rsidR="00743967">
        <w:t>inappropriate or unmanageable</w:t>
      </w:r>
      <w:r w:rsidR="00D540FC">
        <w:t>;</w:t>
      </w:r>
    </w:p>
    <w:p w14:paraId="246A3903" w14:textId="096AF00B" w:rsidR="0034685C" w:rsidRDefault="0034685C" w:rsidP="00ED3821">
      <w:pPr>
        <w:numPr>
          <w:ilvl w:val="0"/>
          <w:numId w:val="16"/>
        </w:numPr>
      </w:pPr>
      <w:r>
        <w:t xml:space="preserve">Symptomatic infants are appropriate for level III (rev code 173) nursery when meeting </w:t>
      </w:r>
      <w:r w:rsidR="00482F12">
        <w:t xml:space="preserve">all </w:t>
      </w:r>
      <w:r w:rsidR="00FF3C29">
        <w:t xml:space="preserve">of </w:t>
      </w:r>
      <w:r>
        <w:t xml:space="preserve">the following criteria: </w:t>
      </w:r>
    </w:p>
    <w:p w14:paraId="19F67040" w14:textId="5FB6D3AA" w:rsidR="00D807D4" w:rsidRDefault="002346D9" w:rsidP="00ED3821">
      <w:pPr>
        <w:numPr>
          <w:ilvl w:val="0"/>
          <w:numId w:val="17"/>
        </w:numPr>
      </w:pPr>
      <w:r>
        <w:t>Signs of neonatal sepsis (e.g.</w:t>
      </w:r>
      <w:r w:rsidR="004C7563">
        <w:t xml:space="preserve"> </w:t>
      </w:r>
      <w:r w:rsidR="0062193B">
        <w:t>hypotonia</w:t>
      </w:r>
      <w:r w:rsidR="0034685C">
        <w:t>, lethargy</w:t>
      </w:r>
      <w:r w:rsidR="00EC6455">
        <w:t>,</w:t>
      </w:r>
      <w:r w:rsidR="0034685C">
        <w:t xml:space="preserve"> poor </w:t>
      </w:r>
      <w:r w:rsidR="002A7F81">
        <w:t xml:space="preserve">oral </w:t>
      </w:r>
      <w:r w:rsidR="0034685C">
        <w:t>fee</w:t>
      </w:r>
      <w:r w:rsidR="00EC6455">
        <w:t>d</w:t>
      </w:r>
      <w:r w:rsidR="0034685C">
        <w:t>ing</w:t>
      </w:r>
      <w:r w:rsidR="00797E31">
        <w:t>, tachycardia, bradycardia, grunting, nasal flaring, cyanosis)</w:t>
      </w:r>
      <w:r w:rsidR="0034685C">
        <w:t xml:space="preserve">;  </w:t>
      </w:r>
    </w:p>
    <w:p w14:paraId="7794FDC5" w14:textId="343835F4" w:rsidR="008F09AB" w:rsidRDefault="0034685C" w:rsidP="00D94922">
      <w:pPr>
        <w:numPr>
          <w:ilvl w:val="0"/>
          <w:numId w:val="17"/>
        </w:numPr>
      </w:pPr>
      <w:r>
        <w:t>Temp ≥</w:t>
      </w:r>
      <w:r w:rsidR="005E0228">
        <w:t xml:space="preserve"> </w:t>
      </w:r>
      <w:r>
        <w:t>100.4</w:t>
      </w:r>
      <w:r w:rsidRPr="00D807D4">
        <w:rPr>
          <w:vertAlign w:val="superscript"/>
        </w:rPr>
        <w:t>◦</w:t>
      </w:r>
      <w:r>
        <w:t>F or ≤ 96.8</w:t>
      </w:r>
      <w:r w:rsidRPr="00D807D4">
        <w:rPr>
          <w:vertAlign w:val="superscript"/>
        </w:rPr>
        <w:t>◦</w:t>
      </w:r>
      <w:r>
        <w:t>F</w:t>
      </w:r>
      <w:r w:rsidR="00435D14">
        <w:t xml:space="preserve"> (≥ 38.0</w:t>
      </w:r>
      <w:r w:rsidR="00435D14" w:rsidRPr="00D807D4">
        <w:rPr>
          <w:vertAlign w:val="superscript"/>
        </w:rPr>
        <w:t>◦</w:t>
      </w:r>
      <w:r w:rsidR="00F31466">
        <w:t>C</w:t>
      </w:r>
      <w:r w:rsidR="00435D14" w:rsidRPr="00ED3821">
        <w:t xml:space="preserve"> </w:t>
      </w:r>
      <w:r w:rsidR="00435D14" w:rsidRPr="00435D14">
        <w:t xml:space="preserve">or </w:t>
      </w:r>
      <w:r w:rsidR="00435D14">
        <w:t>≤ 36.0</w:t>
      </w:r>
      <w:r w:rsidR="00435D14" w:rsidRPr="00D807D4">
        <w:rPr>
          <w:vertAlign w:val="superscript"/>
        </w:rPr>
        <w:t>◦</w:t>
      </w:r>
      <w:r w:rsidR="00435D14">
        <w:t>C)</w:t>
      </w:r>
      <w:r>
        <w:t xml:space="preserve">;  </w:t>
      </w:r>
    </w:p>
    <w:p w14:paraId="1E85BE88" w14:textId="6B3357F5" w:rsidR="00E5721B" w:rsidRDefault="0034685C" w:rsidP="00D94922">
      <w:pPr>
        <w:numPr>
          <w:ilvl w:val="0"/>
          <w:numId w:val="17"/>
        </w:numPr>
      </w:pPr>
      <w:r>
        <w:t>On 48 hours of antibiotics pending blood culture</w:t>
      </w:r>
      <w:r w:rsidR="00743967">
        <w:t xml:space="preserve"> result</w:t>
      </w:r>
      <w:r>
        <w:t>s or treatment of positive blood cultures.</w:t>
      </w:r>
    </w:p>
    <w:p w14:paraId="7FFC677F" w14:textId="79501D38" w:rsidR="0034685C" w:rsidRPr="0063130D" w:rsidRDefault="0034685C" w:rsidP="00ED3821">
      <w:pPr>
        <w:numPr>
          <w:ilvl w:val="0"/>
          <w:numId w:val="16"/>
        </w:numPr>
      </w:pPr>
      <w:r>
        <w:lastRenderedPageBreak/>
        <w:t>Asymptomatic infants on 48 hours of antibiotics pending blood culture</w:t>
      </w:r>
      <w:r w:rsidR="00743967">
        <w:t xml:space="preserve"> result</w:t>
      </w:r>
      <w:r>
        <w:t xml:space="preserve">s for ≤ </w:t>
      </w:r>
      <w:r w:rsidR="00ED3821" w:rsidRPr="0063130D">
        <w:t>two</w:t>
      </w:r>
      <w:r w:rsidRPr="0063130D">
        <w:t xml:space="preserve"> days are appropriate for Level II (rev code 172) nursery</w:t>
      </w:r>
      <w:r w:rsidR="00D540FC" w:rsidRPr="0063130D">
        <w:t xml:space="preserve">; </w:t>
      </w:r>
    </w:p>
    <w:p w14:paraId="111B627C" w14:textId="77777777" w:rsidR="0034685C" w:rsidRPr="0063130D" w:rsidRDefault="0034685C" w:rsidP="00ED3821">
      <w:pPr>
        <w:numPr>
          <w:ilvl w:val="0"/>
          <w:numId w:val="16"/>
        </w:numPr>
      </w:pPr>
      <w:r w:rsidRPr="0063130D">
        <w:t>Asymptomatic infants with a positive blood culture and no other indications are appropriate for transitional care.</w:t>
      </w:r>
    </w:p>
    <w:p w14:paraId="629DDF86" w14:textId="77777777" w:rsidR="00EC6455" w:rsidRDefault="00EC6455" w:rsidP="0034685C">
      <w:pPr>
        <w:ind w:left="720"/>
      </w:pPr>
    </w:p>
    <w:p w14:paraId="5D950586" w14:textId="77777777" w:rsidR="00990DD9" w:rsidRDefault="0034685C" w:rsidP="0034685C">
      <w:pPr>
        <w:ind w:left="720"/>
      </w:pPr>
      <w:r>
        <w:t>Once the culture and sensitivity results are known and antibiotic therapy is established, a medically stable infant should be transitioned to a lower level of care for treatment completion if no other indication</w:t>
      </w:r>
      <w:r w:rsidR="00810F7B">
        <w:t>s</w:t>
      </w:r>
      <w:r>
        <w:t xml:space="preserve"> exist that require the current level of care. </w:t>
      </w:r>
    </w:p>
    <w:p w14:paraId="3901CA76" w14:textId="77777777" w:rsidR="00990DD9" w:rsidRDefault="00990DD9" w:rsidP="0034685C">
      <w:pPr>
        <w:ind w:left="720"/>
      </w:pPr>
    </w:p>
    <w:p w14:paraId="14C0D01C" w14:textId="75C85987" w:rsidR="0034685C" w:rsidRDefault="004F507A" w:rsidP="0034685C">
      <w:pPr>
        <w:ind w:left="720"/>
      </w:pPr>
      <w:r>
        <w:t xml:space="preserve">It is difficult to administer </w:t>
      </w:r>
      <w:r w:rsidRPr="004F507A">
        <w:t xml:space="preserve">intravenous </w:t>
      </w:r>
      <w:r w:rsidR="008C6AC2">
        <w:t xml:space="preserve">(IV) </w:t>
      </w:r>
      <w:r w:rsidRPr="004F507A">
        <w:t>antibiotics</w:t>
      </w:r>
      <w:r>
        <w:t xml:space="preserve"> in the home with home health care due to the challenge of </w:t>
      </w:r>
      <w:r w:rsidRPr="004F507A">
        <w:t>keeping very small catheters in place and patent.</w:t>
      </w:r>
      <w:r>
        <w:t xml:space="preserve"> Transitional care nursery should be considered if antibiotics cannot safely be administered at home or at home with home health care. </w:t>
      </w:r>
    </w:p>
    <w:p w14:paraId="43FC8156" w14:textId="77777777" w:rsidR="0034685C" w:rsidRDefault="0034685C" w:rsidP="0034685C">
      <w:pPr>
        <w:ind w:left="720"/>
      </w:pPr>
    </w:p>
    <w:p w14:paraId="48FA9ECD" w14:textId="6429D783" w:rsidR="0034685C" w:rsidRPr="00ED3821" w:rsidRDefault="0034685C" w:rsidP="00ED3821">
      <w:pPr>
        <w:numPr>
          <w:ilvl w:val="0"/>
          <w:numId w:val="14"/>
        </w:numPr>
        <w:rPr>
          <w:bCs/>
          <w:color w:val="000000"/>
        </w:rPr>
      </w:pPr>
      <w:r w:rsidRPr="00ED3821">
        <w:rPr>
          <w:bCs/>
          <w:color w:val="000000"/>
        </w:rPr>
        <w:t>Discharge criteria, with or without home antibiotics, meets all</w:t>
      </w:r>
      <w:r w:rsidR="005418A1" w:rsidRPr="00ED3821">
        <w:rPr>
          <w:bCs/>
          <w:color w:val="000000"/>
        </w:rPr>
        <w:t xml:space="preserve"> of the following</w:t>
      </w:r>
      <w:r w:rsidRPr="00ED3821">
        <w:rPr>
          <w:bCs/>
          <w:color w:val="000000"/>
        </w:rPr>
        <w:t xml:space="preserve"> as applicable:</w:t>
      </w:r>
    </w:p>
    <w:p w14:paraId="51AB0127" w14:textId="77777777" w:rsidR="0034685C" w:rsidRPr="005D6347" w:rsidRDefault="00CE3400" w:rsidP="0034685C">
      <w:pPr>
        <w:numPr>
          <w:ilvl w:val="1"/>
          <w:numId w:val="9"/>
        </w:numPr>
        <w:ind w:left="720"/>
      </w:pPr>
      <w:r>
        <w:t>Member/enrollee</w:t>
      </w:r>
      <w:r w:rsidR="0034685C" w:rsidRPr="005D6347">
        <w:t xml:space="preserve"> is clinically stable</w:t>
      </w:r>
      <w:r w:rsidR="00EC7F11">
        <w:t xml:space="preserve">; </w:t>
      </w:r>
    </w:p>
    <w:p w14:paraId="2858177A" w14:textId="77777777" w:rsidR="0034685C" w:rsidRPr="005D6347" w:rsidRDefault="0034685C" w:rsidP="0034685C">
      <w:pPr>
        <w:numPr>
          <w:ilvl w:val="1"/>
          <w:numId w:val="9"/>
        </w:numPr>
        <w:ind w:left="720"/>
      </w:pPr>
      <w:r w:rsidRPr="005D6347">
        <w:t>Home situation is assessed and deemed adequate</w:t>
      </w:r>
      <w:r>
        <w:t xml:space="preserve">; </w:t>
      </w:r>
    </w:p>
    <w:p w14:paraId="568962C9" w14:textId="77777777" w:rsidR="00E925BD" w:rsidRDefault="0034685C" w:rsidP="0034685C">
      <w:pPr>
        <w:numPr>
          <w:ilvl w:val="1"/>
          <w:numId w:val="9"/>
        </w:numPr>
        <w:ind w:left="720"/>
      </w:pPr>
      <w:r w:rsidRPr="005D6347">
        <w:t>Parent or caretaker is agreeable with the plan of care</w:t>
      </w:r>
      <w:r w:rsidR="00EC7F11">
        <w:t xml:space="preserve">; </w:t>
      </w:r>
    </w:p>
    <w:p w14:paraId="6F9F8D16" w14:textId="73DC78D6" w:rsidR="0034685C" w:rsidRPr="005D6347" w:rsidRDefault="00E925BD" w:rsidP="0034685C">
      <w:pPr>
        <w:numPr>
          <w:ilvl w:val="1"/>
          <w:numId w:val="9"/>
        </w:numPr>
        <w:ind w:left="720"/>
      </w:pPr>
      <w:r>
        <w:t>I</w:t>
      </w:r>
      <w:r w:rsidR="0034685C">
        <w:t>f</w:t>
      </w:r>
      <w:r>
        <w:t xml:space="preserve"> going</w:t>
      </w:r>
      <w:r w:rsidR="0034685C">
        <w:t xml:space="preserve"> home with antibiotics</w:t>
      </w:r>
      <w:r>
        <w:t xml:space="preserve">, </w:t>
      </w:r>
      <w:r w:rsidR="00EC7F11">
        <w:t>all</w:t>
      </w:r>
      <w:r w:rsidR="00964477">
        <w:t xml:space="preserve"> of</w:t>
      </w:r>
      <w:r w:rsidR="00EC7F11">
        <w:t xml:space="preserve"> </w:t>
      </w:r>
      <w:r>
        <w:t>the following are met</w:t>
      </w:r>
      <w:r w:rsidR="00810F7B">
        <w:t>:</w:t>
      </w:r>
    </w:p>
    <w:p w14:paraId="56F47D8D" w14:textId="53AA6F18" w:rsidR="0034685C" w:rsidRPr="005D6347" w:rsidRDefault="00403FBF" w:rsidP="00233805">
      <w:pPr>
        <w:numPr>
          <w:ilvl w:val="2"/>
          <w:numId w:val="9"/>
        </w:numPr>
        <w:ind w:left="1080" w:hanging="360"/>
      </w:pPr>
      <w:r>
        <w:t>Contractual agreement of care signed with a</w:t>
      </w:r>
      <w:r w:rsidR="0034685C" w:rsidRPr="005D6347">
        <w:t xml:space="preserve"> home infusion company</w:t>
      </w:r>
      <w:r w:rsidR="00B22A8C">
        <w:t xml:space="preserve"> </w:t>
      </w:r>
      <w:r w:rsidR="00B22A8C" w:rsidRPr="005D6347">
        <w:t>experienced in neonatal IV</w:t>
      </w:r>
      <w:r w:rsidR="00B22A8C">
        <w:t xml:space="preserve"> </w:t>
      </w:r>
      <w:r w:rsidR="00B22A8C" w:rsidRPr="005D6347">
        <w:t>therapy or short-term intramuscular therapy</w:t>
      </w:r>
      <w:r w:rsidR="00EC7F11">
        <w:t xml:space="preserve">; </w:t>
      </w:r>
    </w:p>
    <w:p w14:paraId="7C816E19" w14:textId="13D70CEE" w:rsidR="0034685C" w:rsidRPr="005D6347" w:rsidRDefault="0034685C" w:rsidP="00233805">
      <w:pPr>
        <w:numPr>
          <w:ilvl w:val="2"/>
          <w:numId w:val="9"/>
        </w:numPr>
        <w:ind w:left="1080" w:hanging="360"/>
      </w:pPr>
      <w:r w:rsidRPr="005D6347">
        <w:t>Secure IV access is in place</w:t>
      </w:r>
      <w:r w:rsidR="008B7BB1">
        <w:t>,</w:t>
      </w:r>
      <w:r w:rsidR="00EC6455">
        <w:t xml:space="preserve"> if chosen</w:t>
      </w:r>
      <w:r w:rsidR="00EC7F11">
        <w:t xml:space="preserve">; </w:t>
      </w:r>
      <w:r w:rsidRPr="005D6347">
        <w:t xml:space="preserve">   </w:t>
      </w:r>
    </w:p>
    <w:p w14:paraId="0C69BA28" w14:textId="5E214C28" w:rsidR="0034685C" w:rsidRPr="002A25CF" w:rsidRDefault="007A5BC0" w:rsidP="00233805">
      <w:pPr>
        <w:numPr>
          <w:ilvl w:val="2"/>
          <w:numId w:val="9"/>
        </w:numPr>
        <w:ind w:left="1080" w:hanging="360"/>
        <w:rPr>
          <w:color w:val="1F497D"/>
        </w:rPr>
      </w:pPr>
      <w:r>
        <w:t>Contact information regarding t</w:t>
      </w:r>
      <w:r w:rsidRPr="005D6347">
        <w:t>he</w:t>
      </w:r>
      <w:r>
        <w:rPr>
          <w:color w:val="000000"/>
          <w:lang w:val="en"/>
        </w:rPr>
        <w:t xml:space="preserve"> </w:t>
      </w:r>
      <w:r w:rsidR="0034685C">
        <w:rPr>
          <w:color w:val="000000"/>
          <w:lang w:val="en"/>
        </w:rPr>
        <w:t>responsible physician (</w:t>
      </w:r>
      <w:r w:rsidR="00FD6881">
        <w:rPr>
          <w:color w:val="000000"/>
          <w:lang w:val="en"/>
        </w:rPr>
        <w:t xml:space="preserve">e.g., </w:t>
      </w:r>
      <w:r w:rsidR="0034685C">
        <w:rPr>
          <w:color w:val="000000"/>
          <w:lang w:val="en"/>
        </w:rPr>
        <w:t>neonatologist, primary care pediatrician) and back-up health care facility (</w:t>
      </w:r>
      <w:r w:rsidR="00624A50">
        <w:rPr>
          <w:color w:val="000000"/>
          <w:lang w:val="en"/>
        </w:rPr>
        <w:t>neonatal intensive care unit [</w:t>
      </w:r>
      <w:r w:rsidR="0034685C">
        <w:rPr>
          <w:color w:val="000000"/>
          <w:lang w:val="en"/>
        </w:rPr>
        <w:t>NICU</w:t>
      </w:r>
      <w:r w:rsidR="00624A50">
        <w:rPr>
          <w:color w:val="000000"/>
          <w:lang w:val="en"/>
        </w:rPr>
        <w:t>]</w:t>
      </w:r>
      <w:r w:rsidR="0034685C">
        <w:rPr>
          <w:color w:val="000000"/>
          <w:lang w:val="en"/>
        </w:rPr>
        <w:t xml:space="preserve">, community hospital) should be </w:t>
      </w:r>
      <w:r w:rsidR="00FB6E3A">
        <w:rPr>
          <w:color w:val="000000"/>
          <w:lang w:val="en"/>
        </w:rPr>
        <w:t xml:space="preserve">provided </w:t>
      </w:r>
      <w:r w:rsidR="0034685C">
        <w:rPr>
          <w:color w:val="000000"/>
          <w:lang w:val="en"/>
        </w:rPr>
        <w:t>to the family and home</w:t>
      </w:r>
      <w:r w:rsidR="0034685C">
        <w:t xml:space="preserve"> care agency prior to discharge</w:t>
      </w:r>
      <w:r w:rsidR="002A25CF">
        <w:t>;</w:t>
      </w:r>
    </w:p>
    <w:p w14:paraId="4F175AC9" w14:textId="139A5E48" w:rsidR="00FB0592" w:rsidRPr="002A25CF" w:rsidRDefault="00347F9F" w:rsidP="0036385C">
      <w:pPr>
        <w:numPr>
          <w:ilvl w:val="1"/>
          <w:numId w:val="9"/>
        </w:numPr>
        <w:ind w:left="720"/>
        <w:rPr>
          <w:b/>
          <w:bCs/>
        </w:rPr>
      </w:pPr>
      <w:r>
        <w:t xml:space="preserve">Provider follow up </w:t>
      </w:r>
      <w:r w:rsidR="003379F6">
        <w:t>scheduled</w:t>
      </w:r>
      <w:r w:rsidR="002A25CF">
        <w:t xml:space="preserve"> within 48 hours of discharge.  </w:t>
      </w:r>
    </w:p>
    <w:p w14:paraId="4E02AB15" w14:textId="77777777" w:rsidR="002A25CF" w:rsidRPr="002A25CF" w:rsidRDefault="002A25CF" w:rsidP="002A25CF">
      <w:pPr>
        <w:ind w:left="720"/>
        <w:rPr>
          <w:b/>
          <w:bCs/>
        </w:rPr>
      </w:pPr>
    </w:p>
    <w:p w14:paraId="576A2B34" w14:textId="77777777" w:rsidR="00FB0592" w:rsidRDefault="00FB0592" w:rsidP="00FB0592">
      <w:pPr>
        <w:pStyle w:val="Heading2"/>
        <w:rPr>
          <w:u w:val="none"/>
        </w:rPr>
      </w:pPr>
      <w:r w:rsidRPr="00B777AF">
        <w:rPr>
          <w:u w:val="none"/>
        </w:rPr>
        <w:t>Background</w:t>
      </w:r>
    </w:p>
    <w:p w14:paraId="1F085D48" w14:textId="14EA98FB" w:rsidR="0034685C" w:rsidRPr="002277C8" w:rsidRDefault="0034685C" w:rsidP="002277C8">
      <w:pPr>
        <w:numPr>
          <w:ilvl w:val="0"/>
          <w:numId w:val="10"/>
        </w:numPr>
        <w:ind w:left="360"/>
        <w:rPr>
          <w:i/>
          <w:vertAlign w:val="superscript"/>
        </w:rPr>
      </w:pPr>
      <w:r w:rsidRPr="0034685C">
        <w:rPr>
          <w:i/>
        </w:rPr>
        <w:t xml:space="preserve">Identification and treatment of </w:t>
      </w:r>
      <w:r w:rsidR="00943A7C">
        <w:rPr>
          <w:i/>
        </w:rPr>
        <w:t>birthing individual</w:t>
      </w:r>
      <w:r w:rsidR="00943A7C" w:rsidRPr="0034685C">
        <w:rPr>
          <w:i/>
        </w:rPr>
        <w:t xml:space="preserve"> </w:t>
      </w:r>
      <w:r w:rsidRPr="0034685C">
        <w:rPr>
          <w:i/>
        </w:rPr>
        <w:t>during pregnancy and lab</w:t>
      </w:r>
      <w:r w:rsidR="002277C8">
        <w:rPr>
          <w:i/>
        </w:rPr>
        <w:t>o</w:t>
      </w:r>
      <w:r w:rsidR="00AC5728">
        <w:rPr>
          <w:i/>
        </w:rPr>
        <w:t>r</w:t>
      </w:r>
      <w:r w:rsidR="00AC5728">
        <w:rPr>
          <w:i/>
          <w:vertAlign w:val="superscript"/>
        </w:rPr>
        <w:t>6</w:t>
      </w:r>
      <w:r w:rsidR="009B5DD8">
        <w:rPr>
          <w:i/>
          <w:vertAlign w:val="superscript"/>
        </w:rPr>
        <w:t>,7</w:t>
      </w:r>
      <w:r w:rsidR="0097264F">
        <w:rPr>
          <w:i/>
          <w:vertAlign w:val="superscript"/>
        </w:rPr>
        <w:t>,9</w:t>
      </w:r>
    </w:p>
    <w:p w14:paraId="1EEF6282" w14:textId="4C0D66A6" w:rsidR="0034685C" w:rsidRDefault="00943A7C" w:rsidP="0034685C">
      <w:pPr>
        <w:numPr>
          <w:ilvl w:val="1"/>
          <w:numId w:val="10"/>
        </w:numPr>
        <w:ind w:left="720"/>
      </w:pPr>
      <w:r>
        <w:rPr>
          <w:color w:val="000000"/>
          <w:lang w:val="en"/>
        </w:rPr>
        <w:t xml:space="preserve">Birthing individuals </w:t>
      </w:r>
      <w:r w:rsidR="0034685C">
        <w:rPr>
          <w:color w:val="000000"/>
          <w:lang w:val="en"/>
        </w:rPr>
        <w:t xml:space="preserve">with </w:t>
      </w:r>
      <w:r w:rsidR="009645EC">
        <w:rPr>
          <w:color w:val="000000"/>
          <w:lang w:val="en"/>
        </w:rPr>
        <w:t>Group B streptococcus (</w:t>
      </w:r>
      <w:r w:rsidR="0034685C">
        <w:rPr>
          <w:color w:val="000000"/>
          <w:lang w:val="en"/>
        </w:rPr>
        <w:t>GBS</w:t>
      </w:r>
      <w:r w:rsidR="009645EC">
        <w:rPr>
          <w:color w:val="000000"/>
          <w:lang w:val="en"/>
        </w:rPr>
        <w:t>)</w:t>
      </w:r>
      <w:r w:rsidR="0034685C">
        <w:rPr>
          <w:color w:val="000000"/>
          <w:lang w:val="en"/>
        </w:rPr>
        <w:t xml:space="preserve"> isolated in the urine any time during the current pregnancy or who had a previous infant with invasive GBS disease should receive</w:t>
      </w:r>
      <w:r w:rsidR="00C315CB">
        <w:rPr>
          <w:color w:val="000000"/>
          <w:lang w:val="en"/>
        </w:rPr>
        <w:t xml:space="preserve"> </w:t>
      </w:r>
      <w:r w:rsidR="0046406F">
        <w:rPr>
          <w:color w:val="000000"/>
          <w:lang w:val="en"/>
        </w:rPr>
        <w:t>intravenous (</w:t>
      </w:r>
      <w:r w:rsidR="00EC7F11">
        <w:rPr>
          <w:color w:val="000000"/>
          <w:lang w:val="en"/>
        </w:rPr>
        <w:t>IV</w:t>
      </w:r>
      <w:r w:rsidR="0046406F">
        <w:rPr>
          <w:color w:val="000000"/>
          <w:lang w:val="en"/>
        </w:rPr>
        <w:t>)</w:t>
      </w:r>
      <w:r w:rsidR="0034685C">
        <w:rPr>
          <w:color w:val="000000"/>
          <w:lang w:val="en"/>
        </w:rPr>
        <w:t xml:space="preserve"> intrapartum antibiotic prophylaxis. Third trimester screening for GBS colonization is not needed</w:t>
      </w:r>
      <w:r w:rsidR="0074484D">
        <w:rPr>
          <w:color w:val="000000"/>
          <w:lang w:val="en"/>
        </w:rPr>
        <w:t xml:space="preserve"> in this population</w:t>
      </w:r>
      <w:r w:rsidR="0034685C">
        <w:rPr>
          <w:color w:val="000000"/>
          <w:lang w:val="en"/>
        </w:rPr>
        <w:t xml:space="preserve">. </w:t>
      </w:r>
    </w:p>
    <w:p w14:paraId="60A2D66A" w14:textId="2CF5A0D9" w:rsidR="0034685C" w:rsidRDefault="00EA58E4" w:rsidP="0034685C">
      <w:pPr>
        <w:numPr>
          <w:ilvl w:val="1"/>
          <w:numId w:val="10"/>
        </w:numPr>
        <w:ind w:left="720"/>
      </w:pPr>
      <w:r>
        <w:rPr>
          <w:color w:val="000000"/>
          <w:lang w:val="en"/>
        </w:rPr>
        <w:t xml:space="preserve">Birthing individuals </w:t>
      </w:r>
      <w:r w:rsidR="0034685C">
        <w:rPr>
          <w:color w:val="000000"/>
          <w:lang w:val="en"/>
        </w:rPr>
        <w:t>with symptomatic or asymptomatic GBS urinary tract infection (UTI) detected during pregnancy should be treated according to current standards of care for UTI during pregnancy and should receive intrapartum antibiotic prophylaxis to prevent early-onset GBS disease.</w:t>
      </w:r>
    </w:p>
    <w:p w14:paraId="6D54C51E" w14:textId="7EC874E1" w:rsidR="00457AA5" w:rsidRPr="007557A9" w:rsidRDefault="0034685C" w:rsidP="0034685C">
      <w:pPr>
        <w:numPr>
          <w:ilvl w:val="1"/>
          <w:numId w:val="10"/>
        </w:numPr>
        <w:ind w:left="720"/>
      </w:pPr>
      <w:r>
        <w:rPr>
          <w:color w:val="000000"/>
          <w:lang w:val="en"/>
        </w:rPr>
        <w:t xml:space="preserve">All other </w:t>
      </w:r>
      <w:r w:rsidR="006728B4">
        <w:rPr>
          <w:color w:val="000000"/>
          <w:lang w:val="en"/>
        </w:rPr>
        <w:t>bi</w:t>
      </w:r>
      <w:r w:rsidR="00E13044">
        <w:rPr>
          <w:color w:val="000000"/>
          <w:lang w:val="en"/>
        </w:rPr>
        <w:t>rthing</w:t>
      </w:r>
      <w:r w:rsidR="006728B4">
        <w:rPr>
          <w:color w:val="000000"/>
          <w:lang w:val="en"/>
        </w:rPr>
        <w:t xml:space="preserve"> </w:t>
      </w:r>
      <w:r w:rsidR="00EA58E4">
        <w:rPr>
          <w:color w:val="000000"/>
          <w:lang w:val="en"/>
        </w:rPr>
        <w:t>individuals</w:t>
      </w:r>
      <w:r>
        <w:rPr>
          <w:color w:val="000000"/>
          <w:lang w:val="en"/>
        </w:rPr>
        <w:t xml:space="preserve">, including those with a scheduled cesarean delivery, should be screened at </w:t>
      </w:r>
      <w:r w:rsidR="004D00D1">
        <w:rPr>
          <w:color w:val="000000"/>
          <w:lang w:val="en"/>
        </w:rPr>
        <w:t xml:space="preserve">36 0/7 </w:t>
      </w:r>
      <w:r w:rsidR="002571AF">
        <w:rPr>
          <w:color w:val="000000"/>
          <w:lang w:val="en"/>
        </w:rPr>
        <w:t>through</w:t>
      </w:r>
      <w:r w:rsidR="004D00D1">
        <w:rPr>
          <w:color w:val="000000"/>
          <w:lang w:val="en"/>
        </w:rPr>
        <w:t xml:space="preserve"> 37 6/7 </w:t>
      </w:r>
      <w:r>
        <w:rPr>
          <w:color w:val="000000"/>
          <w:lang w:val="en"/>
        </w:rPr>
        <w:t>weeks gestation for vaginal and rectal GBS colonization.</w:t>
      </w:r>
      <w:r w:rsidR="0076065E">
        <w:rPr>
          <w:color w:val="000000"/>
          <w:lang w:val="en"/>
        </w:rPr>
        <w:t xml:space="preserve">  </w:t>
      </w:r>
    </w:p>
    <w:p w14:paraId="7A72B831" w14:textId="62375142" w:rsidR="0034685C" w:rsidRDefault="0034685C" w:rsidP="004D00D1">
      <w:pPr>
        <w:numPr>
          <w:ilvl w:val="1"/>
          <w:numId w:val="10"/>
        </w:numPr>
        <w:ind w:left="720"/>
      </w:pPr>
      <w:r>
        <w:rPr>
          <w:color w:val="000000"/>
          <w:lang w:val="en"/>
        </w:rPr>
        <w:t>At the time of labor or rupture of membranes</w:t>
      </w:r>
      <w:r w:rsidR="00D52767">
        <w:rPr>
          <w:color w:val="000000"/>
          <w:lang w:val="en"/>
        </w:rPr>
        <w:t xml:space="preserve"> (ROM)</w:t>
      </w:r>
      <w:r>
        <w:rPr>
          <w:color w:val="000000"/>
          <w:lang w:val="en"/>
        </w:rPr>
        <w:t xml:space="preserve">, intrapartum antibiotic prophylaxis should be given to all </w:t>
      </w:r>
      <w:r w:rsidR="00E13044">
        <w:rPr>
          <w:color w:val="000000"/>
          <w:lang w:val="en"/>
        </w:rPr>
        <w:t xml:space="preserve">birthing </w:t>
      </w:r>
      <w:r w:rsidR="00D00482">
        <w:rPr>
          <w:color w:val="000000"/>
          <w:lang w:val="en"/>
        </w:rPr>
        <w:t xml:space="preserve">individuals </w:t>
      </w:r>
      <w:r w:rsidR="004D00D1">
        <w:rPr>
          <w:color w:val="000000"/>
          <w:lang w:val="en"/>
        </w:rPr>
        <w:t>whose vaginal-rectal cultures were</w:t>
      </w:r>
      <w:r>
        <w:rPr>
          <w:color w:val="000000"/>
          <w:lang w:val="en"/>
        </w:rPr>
        <w:t xml:space="preserve"> positive for GBS colonization, including those undergoing cesarean delivery. If cesarean delivery is performed before onset of labor on a </w:t>
      </w:r>
      <w:r w:rsidR="00C54151">
        <w:rPr>
          <w:color w:val="000000"/>
          <w:lang w:val="en"/>
        </w:rPr>
        <w:t xml:space="preserve">birthing individual </w:t>
      </w:r>
      <w:r>
        <w:rPr>
          <w:color w:val="000000"/>
          <w:lang w:val="en"/>
        </w:rPr>
        <w:t xml:space="preserve">with intact amniotic membranes, prophylaxis </w:t>
      </w:r>
      <w:r w:rsidR="00EC6455">
        <w:rPr>
          <w:color w:val="000000"/>
          <w:lang w:val="en"/>
        </w:rPr>
        <w:t xml:space="preserve">need </w:t>
      </w:r>
      <w:r>
        <w:rPr>
          <w:color w:val="000000"/>
          <w:lang w:val="en"/>
        </w:rPr>
        <w:t>not be given.</w:t>
      </w:r>
    </w:p>
    <w:p w14:paraId="1E111C39" w14:textId="75558526" w:rsidR="0034685C" w:rsidRPr="00EC7F11" w:rsidRDefault="0034685C" w:rsidP="0034685C">
      <w:pPr>
        <w:numPr>
          <w:ilvl w:val="1"/>
          <w:numId w:val="10"/>
        </w:numPr>
        <w:ind w:left="720"/>
      </w:pPr>
      <w:r>
        <w:rPr>
          <w:color w:val="000000"/>
          <w:lang w:val="en"/>
        </w:rPr>
        <w:lastRenderedPageBreak/>
        <w:t>When screening results are not available at the time of labor and delivery, intrapartum antibiotic</w:t>
      </w:r>
      <w:r w:rsidR="002105C1">
        <w:rPr>
          <w:color w:val="000000"/>
          <w:lang w:val="en"/>
        </w:rPr>
        <w:t>s</w:t>
      </w:r>
      <w:r>
        <w:rPr>
          <w:color w:val="000000"/>
          <w:lang w:val="en"/>
        </w:rPr>
        <w:t xml:space="preserve"> should be given to </w:t>
      </w:r>
      <w:r w:rsidR="00C54151">
        <w:rPr>
          <w:color w:val="000000"/>
          <w:lang w:val="en"/>
        </w:rPr>
        <w:t xml:space="preserve">birthing </w:t>
      </w:r>
      <w:r w:rsidR="00A15C89">
        <w:rPr>
          <w:color w:val="000000"/>
          <w:lang w:val="en"/>
        </w:rPr>
        <w:t xml:space="preserve">individuals </w:t>
      </w:r>
      <w:r>
        <w:rPr>
          <w:color w:val="000000"/>
          <w:lang w:val="en"/>
        </w:rPr>
        <w:t xml:space="preserve">who </w:t>
      </w:r>
      <w:r w:rsidR="00C315CB">
        <w:rPr>
          <w:color w:val="000000"/>
          <w:lang w:val="en"/>
        </w:rPr>
        <w:t>present in labor with a substantial risk of preterm birth, who have preterm pre</w:t>
      </w:r>
      <w:r w:rsidR="00ED3821">
        <w:rPr>
          <w:color w:val="000000"/>
          <w:lang w:val="en"/>
        </w:rPr>
        <w:t>-</w:t>
      </w:r>
      <w:r w:rsidR="00C315CB">
        <w:rPr>
          <w:color w:val="000000"/>
          <w:lang w:val="en"/>
        </w:rPr>
        <w:t>labor rupture of membranes (PPROM)</w:t>
      </w:r>
      <w:r w:rsidR="00BD7063">
        <w:rPr>
          <w:color w:val="000000"/>
          <w:lang w:val="en"/>
        </w:rPr>
        <w:t>,</w:t>
      </w:r>
      <w:r w:rsidR="00C315CB">
        <w:rPr>
          <w:color w:val="000000"/>
          <w:lang w:val="en"/>
        </w:rPr>
        <w:t xml:space="preserve"> </w:t>
      </w:r>
      <w:r w:rsidR="00D52767">
        <w:rPr>
          <w:color w:val="000000"/>
          <w:lang w:val="en"/>
        </w:rPr>
        <w:t>ROM</w:t>
      </w:r>
      <w:r w:rsidR="00C315CB">
        <w:rPr>
          <w:color w:val="000000"/>
          <w:lang w:val="en"/>
        </w:rPr>
        <w:t xml:space="preserve"> ≥ 18 hours at term, or who present with intrapartum temperature</w:t>
      </w:r>
      <w:r>
        <w:rPr>
          <w:color w:val="000000"/>
          <w:lang w:val="en"/>
        </w:rPr>
        <w:t xml:space="preserve"> ≥</w:t>
      </w:r>
      <w:r w:rsidR="000B6EDF">
        <w:rPr>
          <w:color w:val="000000"/>
          <w:lang w:val="en"/>
        </w:rPr>
        <w:t xml:space="preserve"> </w:t>
      </w:r>
      <w:r>
        <w:rPr>
          <w:color w:val="000000"/>
          <w:lang w:val="en"/>
        </w:rPr>
        <w:t>100.4</w:t>
      </w:r>
      <w:r w:rsidRPr="00ED3821">
        <w:rPr>
          <w:rStyle w:val="superscript"/>
          <w:color w:val="000000"/>
          <w:vertAlign w:val="superscript"/>
          <w:lang w:val="en"/>
        </w:rPr>
        <w:t>º</w:t>
      </w:r>
      <w:r>
        <w:rPr>
          <w:color w:val="000000"/>
          <w:lang w:val="en"/>
        </w:rPr>
        <w:t xml:space="preserve"> F (≥</w:t>
      </w:r>
      <w:r w:rsidR="005E0228">
        <w:rPr>
          <w:color w:val="000000"/>
          <w:lang w:val="en"/>
        </w:rPr>
        <w:t xml:space="preserve"> </w:t>
      </w:r>
      <w:r>
        <w:rPr>
          <w:color w:val="000000"/>
          <w:lang w:val="en"/>
        </w:rPr>
        <w:t>38.0</w:t>
      </w:r>
      <w:r w:rsidRPr="00ED3821">
        <w:rPr>
          <w:rStyle w:val="superscript"/>
          <w:color w:val="000000"/>
          <w:vertAlign w:val="superscript"/>
          <w:lang w:val="en"/>
        </w:rPr>
        <w:t>º</w:t>
      </w:r>
      <w:r>
        <w:rPr>
          <w:color w:val="000000"/>
          <w:lang w:val="en"/>
        </w:rPr>
        <w:t>C).</w:t>
      </w:r>
      <w:r w:rsidR="00C315CB">
        <w:rPr>
          <w:color w:val="000000"/>
          <w:lang w:val="en"/>
        </w:rPr>
        <w:t xml:space="preserve"> If </w:t>
      </w:r>
      <w:r w:rsidR="00E30A98">
        <w:rPr>
          <w:color w:val="000000"/>
          <w:lang w:val="en"/>
        </w:rPr>
        <w:t>none of the above risks are present but there is a history</w:t>
      </w:r>
      <w:r w:rsidR="00482868">
        <w:rPr>
          <w:color w:val="000000"/>
          <w:lang w:val="en"/>
        </w:rPr>
        <w:t xml:space="preserve"> </w:t>
      </w:r>
      <w:r w:rsidR="00C315CB">
        <w:rPr>
          <w:color w:val="000000"/>
          <w:lang w:val="en"/>
        </w:rPr>
        <w:t>of GBS colonization in a previous pregnancy, it is reasonable to offer intrapartum antibiotic prophylaxis and/or discuss it as an option in a shared decision-making process with the provider.</w:t>
      </w:r>
    </w:p>
    <w:p w14:paraId="11748A41" w14:textId="77777777" w:rsidR="00C315CB" w:rsidRDefault="00C315CB" w:rsidP="0034685C">
      <w:pPr>
        <w:numPr>
          <w:ilvl w:val="1"/>
          <w:numId w:val="10"/>
        </w:numPr>
        <w:ind w:left="720"/>
      </w:pPr>
      <w:r>
        <w:rPr>
          <w:color w:val="000000"/>
          <w:lang w:val="en"/>
        </w:rPr>
        <w:t>If intraamniotic infection is suspected, broad-spectrum antibiotic therapy that provides coverage for polymicrobial infections as well as GBS should replace the antibiotic that provides coverage for GBS prophylaxis specifically.</w:t>
      </w:r>
    </w:p>
    <w:p w14:paraId="3EE8A765" w14:textId="6B9A8F0E" w:rsidR="0034685C" w:rsidRPr="00EC7F11" w:rsidRDefault="0034685C" w:rsidP="0034685C">
      <w:pPr>
        <w:numPr>
          <w:ilvl w:val="1"/>
          <w:numId w:val="10"/>
        </w:numPr>
        <w:ind w:left="720"/>
      </w:pPr>
      <w:r>
        <w:rPr>
          <w:color w:val="000000"/>
          <w:lang w:val="en"/>
        </w:rPr>
        <w:t>In the absence of GBS UTI</w:t>
      </w:r>
      <w:r w:rsidR="00306C7C">
        <w:rPr>
          <w:color w:val="000000"/>
          <w:lang w:val="en"/>
        </w:rPr>
        <w:t xml:space="preserve"> that is symptomatic, or with GBS present at levels </w:t>
      </w:r>
      <w:r w:rsidR="009574CA">
        <w:rPr>
          <w:color w:val="000000"/>
          <w:lang w:val="en"/>
        </w:rPr>
        <w:t>≤</w:t>
      </w:r>
      <w:r w:rsidR="00EC7F11">
        <w:rPr>
          <w:color w:val="000000"/>
          <w:lang w:val="en"/>
        </w:rPr>
        <w:t xml:space="preserve"> </w:t>
      </w:r>
      <w:r w:rsidR="00306C7C">
        <w:rPr>
          <w:color w:val="000000"/>
          <w:lang w:val="en"/>
        </w:rPr>
        <w:t>10</w:t>
      </w:r>
      <w:r w:rsidR="00EA35D6" w:rsidRPr="008D54C0">
        <w:rPr>
          <w:color w:val="000000"/>
          <w:vertAlign w:val="superscript"/>
          <w:lang w:val="en"/>
        </w:rPr>
        <w:t>5</w:t>
      </w:r>
      <w:r w:rsidR="00306C7C">
        <w:rPr>
          <w:color w:val="000000"/>
          <w:vertAlign w:val="superscript"/>
          <w:lang w:val="en"/>
        </w:rPr>
        <w:t xml:space="preserve"> </w:t>
      </w:r>
      <w:r w:rsidR="00306C7C">
        <w:rPr>
          <w:color w:val="000000"/>
          <w:lang w:val="en"/>
        </w:rPr>
        <w:t>colony forming units (CFU)/mL</w:t>
      </w:r>
      <w:r>
        <w:rPr>
          <w:color w:val="000000"/>
          <w:lang w:val="en"/>
        </w:rPr>
        <w:t xml:space="preserve">, antimicrobial agents should not be used before the intrapartum period to eradicate GBS genitorectal colonization because such treatment </w:t>
      </w:r>
      <w:r w:rsidR="00EC6455">
        <w:rPr>
          <w:color w:val="000000"/>
          <w:lang w:val="en"/>
        </w:rPr>
        <w:t xml:space="preserve">has </w:t>
      </w:r>
      <w:r>
        <w:rPr>
          <w:color w:val="000000"/>
          <w:lang w:val="en"/>
        </w:rPr>
        <w:t xml:space="preserve">not </w:t>
      </w:r>
      <w:r w:rsidR="00EC6455">
        <w:rPr>
          <w:color w:val="000000"/>
          <w:lang w:val="en"/>
        </w:rPr>
        <w:t xml:space="preserve">been shown to </w:t>
      </w:r>
      <w:r w:rsidR="00306C7C">
        <w:rPr>
          <w:color w:val="000000"/>
          <w:lang w:val="en"/>
        </w:rPr>
        <w:t xml:space="preserve">provide better </w:t>
      </w:r>
      <w:r w:rsidR="005545DC">
        <w:rPr>
          <w:color w:val="000000"/>
          <w:lang w:val="en"/>
        </w:rPr>
        <w:t>outcomes to the birthing individual or neonate</w:t>
      </w:r>
      <w:r w:rsidR="002D7E56">
        <w:rPr>
          <w:color w:val="000000"/>
          <w:lang w:val="en"/>
        </w:rPr>
        <w:t>.</w:t>
      </w:r>
    </w:p>
    <w:p w14:paraId="7E6AA7FA" w14:textId="1D724734" w:rsidR="00C315CB" w:rsidRPr="00DA633C" w:rsidRDefault="00C315CB" w:rsidP="0034685C">
      <w:pPr>
        <w:numPr>
          <w:ilvl w:val="1"/>
          <w:numId w:val="10"/>
        </w:numPr>
        <w:ind w:left="720"/>
      </w:pPr>
      <w:r>
        <w:rPr>
          <w:color w:val="000000"/>
          <w:lang w:val="en"/>
        </w:rPr>
        <w:t xml:space="preserve">Obstetric interventions, when necessary, should not be delayed solely to provide </w:t>
      </w:r>
      <w:r w:rsidR="003F5C5D">
        <w:rPr>
          <w:color w:val="000000"/>
          <w:lang w:val="en"/>
        </w:rPr>
        <w:t>four</w:t>
      </w:r>
      <w:r>
        <w:rPr>
          <w:color w:val="000000"/>
          <w:lang w:val="en"/>
        </w:rPr>
        <w:t xml:space="preserve"> hours of antibiotic administration before birth.</w:t>
      </w:r>
    </w:p>
    <w:p w14:paraId="5CBB1D4D" w14:textId="77777777" w:rsidR="0034685C" w:rsidRDefault="0034685C" w:rsidP="0034685C">
      <w:pPr>
        <w:ind w:left="720"/>
      </w:pPr>
    </w:p>
    <w:p w14:paraId="115FFA01" w14:textId="57BA21BA" w:rsidR="0034685C" w:rsidRPr="0034685C" w:rsidRDefault="0034685C" w:rsidP="0034685C">
      <w:pPr>
        <w:numPr>
          <w:ilvl w:val="0"/>
          <w:numId w:val="10"/>
        </w:numPr>
        <w:ind w:left="360"/>
        <w:rPr>
          <w:i/>
          <w:vertAlign w:val="superscript"/>
        </w:rPr>
      </w:pPr>
      <w:bookmarkStart w:id="2" w:name="Tab3"/>
      <w:bookmarkEnd w:id="2"/>
      <w:r w:rsidRPr="0034685C">
        <w:rPr>
          <w:i/>
        </w:rPr>
        <w:t>Identification and Treatment of the newborn</w:t>
      </w:r>
      <w:r w:rsidR="00485541">
        <w:rPr>
          <w:i/>
          <w:vertAlign w:val="superscript"/>
        </w:rPr>
        <w:t>7</w:t>
      </w:r>
      <w:r w:rsidR="006C485A">
        <w:rPr>
          <w:i/>
          <w:vertAlign w:val="superscript"/>
        </w:rPr>
        <w:t>,8</w:t>
      </w:r>
      <w:r w:rsidRPr="0034685C">
        <w:rPr>
          <w:i/>
        </w:rPr>
        <w:t xml:space="preserve"> </w:t>
      </w:r>
    </w:p>
    <w:p w14:paraId="2A06A27A" w14:textId="6F0CD5F7" w:rsidR="0034685C" w:rsidRDefault="002B0782" w:rsidP="002B0782">
      <w:pPr>
        <w:numPr>
          <w:ilvl w:val="1"/>
          <w:numId w:val="10"/>
        </w:numPr>
        <w:ind w:left="720"/>
        <w:rPr>
          <w:color w:val="000000"/>
          <w:lang w:val="en"/>
        </w:rPr>
      </w:pPr>
      <w:r>
        <w:rPr>
          <w:color w:val="000000"/>
          <w:lang w:val="en"/>
        </w:rPr>
        <w:t>Infants born at ≥</w:t>
      </w:r>
      <w:r w:rsidR="000B6EDF">
        <w:rPr>
          <w:color w:val="000000"/>
          <w:lang w:val="en"/>
        </w:rPr>
        <w:t xml:space="preserve"> </w:t>
      </w:r>
      <w:r>
        <w:rPr>
          <w:color w:val="000000"/>
          <w:lang w:val="en"/>
        </w:rPr>
        <w:t>35 weeks g</w:t>
      </w:r>
      <w:r w:rsidRPr="002B0782">
        <w:rPr>
          <w:color w:val="000000"/>
          <w:lang w:val="en"/>
        </w:rPr>
        <w:t>estation</w:t>
      </w:r>
      <w:r>
        <w:rPr>
          <w:color w:val="000000"/>
          <w:lang w:val="en"/>
        </w:rPr>
        <w:t xml:space="preserve"> s</w:t>
      </w:r>
      <w:r w:rsidR="006057EB">
        <w:rPr>
          <w:color w:val="000000"/>
          <w:lang w:val="en"/>
        </w:rPr>
        <w:t xml:space="preserve">hould be managed according to </w:t>
      </w:r>
      <w:r>
        <w:rPr>
          <w:color w:val="000000"/>
          <w:lang w:val="en"/>
        </w:rPr>
        <w:t xml:space="preserve">risk, as determined by categorical risk assessment, </w:t>
      </w:r>
      <w:r w:rsidR="00331413">
        <w:rPr>
          <w:color w:val="000000"/>
          <w:lang w:val="en"/>
        </w:rPr>
        <w:t>clinical condition,</w:t>
      </w:r>
      <w:r w:rsidR="00575027">
        <w:rPr>
          <w:color w:val="000000"/>
          <w:lang w:val="en"/>
        </w:rPr>
        <w:t xml:space="preserve"> or</w:t>
      </w:r>
      <w:r w:rsidR="00331413">
        <w:rPr>
          <w:color w:val="000000"/>
          <w:lang w:val="en"/>
        </w:rPr>
        <w:t xml:space="preserve"> </w:t>
      </w:r>
      <w:r>
        <w:rPr>
          <w:color w:val="000000"/>
          <w:lang w:val="en"/>
        </w:rPr>
        <w:t>multivariate risk assessment</w:t>
      </w:r>
      <w:r w:rsidR="00626188">
        <w:rPr>
          <w:color w:val="000000"/>
          <w:lang w:val="en"/>
        </w:rPr>
        <w:t xml:space="preserve">. A copy </w:t>
      </w:r>
      <w:r w:rsidR="00221E41">
        <w:rPr>
          <w:color w:val="000000"/>
          <w:lang w:val="en"/>
        </w:rPr>
        <w:t xml:space="preserve"> of a risk assessment</w:t>
      </w:r>
      <w:r w:rsidR="002B7AAB">
        <w:rPr>
          <w:color w:val="000000"/>
          <w:lang w:val="en"/>
        </w:rPr>
        <w:t xml:space="preserve">, </w:t>
      </w:r>
      <w:r w:rsidR="009E1999">
        <w:rPr>
          <w:color w:val="000000"/>
          <w:lang w:val="en"/>
        </w:rPr>
        <w:t xml:space="preserve">the </w:t>
      </w:r>
      <w:r w:rsidR="002B7AAB">
        <w:rPr>
          <w:color w:val="000000"/>
          <w:lang w:val="en"/>
        </w:rPr>
        <w:t>Neonatal Early-Onset Sepsis Calculator,</w:t>
      </w:r>
      <w:r w:rsidR="00221E41">
        <w:rPr>
          <w:color w:val="000000"/>
          <w:lang w:val="en"/>
        </w:rPr>
        <w:t xml:space="preserve"> is available at </w:t>
      </w:r>
      <w:r w:rsidR="0076065E">
        <w:rPr>
          <w:color w:val="000000"/>
          <w:lang w:val="en"/>
        </w:rPr>
        <w:t xml:space="preserve"> </w:t>
      </w:r>
      <w:hyperlink r:id="rId17" w:history="1">
        <w:r w:rsidR="00E31810" w:rsidRPr="00EA1771">
          <w:rPr>
            <w:rStyle w:val="Hyperlink"/>
            <w:lang w:val="en"/>
          </w:rPr>
          <w:t>https://neonatalsepsiscalculator.kaiserpermanente.org/</w:t>
        </w:r>
      </w:hyperlink>
      <w:r>
        <w:rPr>
          <w:color w:val="000000"/>
          <w:lang w:val="en"/>
        </w:rPr>
        <w:t>.</w:t>
      </w:r>
    </w:p>
    <w:p w14:paraId="5B93D8F1" w14:textId="24B91299" w:rsidR="002B0782" w:rsidRPr="00B43507" w:rsidRDefault="00E43792" w:rsidP="002B0782">
      <w:pPr>
        <w:numPr>
          <w:ilvl w:val="1"/>
          <w:numId w:val="10"/>
        </w:numPr>
        <w:ind w:left="720"/>
        <w:rPr>
          <w:color w:val="000000"/>
          <w:lang w:val="en"/>
        </w:rPr>
      </w:pPr>
      <w:r>
        <w:rPr>
          <w:color w:val="000000"/>
          <w:lang w:val="en"/>
        </w:rPr>
        <w:t>Preterm i</w:t>
      </w:r>
      <w:r w:rsidR="002B0782">
        <w:rPr>
          <w:color w:val="000000"/>
          <w:lang w:val="en"/>
        </w:rPr>
        <w:t xml:space="preserve">nfants born at ≤34 weeks are at highest risk for early-onset sepsis (EOS) in the following circumstances: </w:t>
      </w:r>
      <w:r w:rsidR="002B0782" w:rsidRPr="002B0782">
        <w:rPr>
          <w:color w:val="000000"/>
          <w:lang w:val="en"/>
        </w:rPr>
        <w:t xml:space="preserve">Infants born preterm because of cervical insufficiency, preterm labor, </w:t>
      </w:r>
      <w:r w:rsidR="00735950">
        <w:rPr>
          <w:color w:val="000000"/>
          <w:lang w:val="en"/>
        </w:rPr>
        <w:t>premature rupture of membranes</w:t>
      </w:r>
      <w:r w:rsidR="002B0782" w:rsidRPr="002B0782">
        <w:rPr>
          <w:color w:val="000000"/>
          <w:lang w:val="en"/>
        </w:rPr>
        <w:t xml:space="preserve">, intraamniotic infection, and/or acute and otherwise unexplained onset of nonreassuring fetal status are at the highest risk of EOS and GBS </w:t>
      </w:r>
      <w:r w:rsidR="00F930CD">
        <w:rPr>
          <w:color w:val="000000"/>
          <w:lang w:val="en"/>
        </w:rPr>
        <w:t>early-onset disease</w:t>
      </w:r>
      <w:r w:rsidR="006770D5">
        <w:rPr>
          <w:color w:val="000000"/>
          <w:lang w:val="en"/>
        </w:rPr>
        <w:t xml:space="preserve"> (</w:t>
      </w:r>
      <w:r w:rsidR="002B0782" w:rsidRPr="002B0782">
        <w:rPr>
          <w:color w:val="000000"/>
          <w:lang w:val="en"/>
        </w:rPr>
        <w:t>EOD</w:t>
      </w:r>
      <w:r w:rsidR="006770D5">
        <w:rPr>
          <w:color w:val="000000"/>
          <w:lang w:val="en"/>
        </w:rPr>
        <w:t>)</w:t>
      </w:r>
      <w:r w:rsidR="002B0782" w:rsidRPr="002B0782">
        <w:rPr>
          <w:color w:val="000000"/>
          <w:lang w:val="en"/>
        </w:rPr>
        <w:t>.</w:t>
      </w:r>
      <w:r>
        <w:rPr>
          <w:color w:val="000000"/>
          <w:lang w:val="en"/>
        </w:rPr>
        <w:t xml:space="preserve"> A blood culture and initiation of empirical antibiotic treatment is recommended for infants with any of these risk factors.</w:t>
      </w:r>
    </w:p>
    <w:p w14:paraId="51F67F59" w14:textId="2F0D40BE" w:rsidR="00E43792" w:rsidRDefault="00E43792" w:rsidP="00E43792">
      <w:pPr>
        <w:numPr>
          <w:ilvl w:val="1"/>
          <w:numId w:val="10"/>
        </w:numPr>
        <w:ind w:left="720"/>
        <w:rPr>
          <w:color w:val="000000"/>
          <w:lang w:val="en"/>
        </w:rPr>
      </w:pPr>
      <w:r>
        <w:rPr>
          <w:color w:val="000000"/>
          <w:lang w:val="en"/>
        </w:rPr>
        <w:t xml:space="preserve">Preterm infants born at ≤34 weeks are at lower risk for EOS when meeting all of the following: </w:t>
      </w:r>
      <w:r w:rsidR="000B6EDF">
        <w:rPr>
          <w:color w:val="000000"/>
          <w:lang w:val="en"/>
        </w:rPr>
        <w:t>(</w:t>
      </w:r>
      <w:r w:rsidRPr="00E43792">
        <w:rPr>
          <w:color w:val="000000"/>
          <w:lang w:val="en"/>
        </w:rPr>
        <w:t xml:space="preserve">1) maternal and/or fetal indications for preterm birth (such as maternal preeclampsia or other noninfectious medical illness, placental insufficiency, or fetal growth restriction), (2) birth by cesarean delivery, and (3) absence of labor, </w:t>
      </w:r>
      <w:r w:rsidR="005D43F6">
        <w:rPr>
          <w:color w:val="000000"/>
          <w:lang w:val="en"/>
        </w:rPr>
        <w:t xml:space="preserve">no </w:t>
      </w:r>
      <w:r w:rsidRPr="00E43792">
        <w:rPr>
          <w:color w:val="000000"/>
          <w:lang w:val="en"/>
        </w:rPr>
        <w:t xml:space="preserve">attempts to induce labor, </w:t>
      </w:r>
      <w:r w:rsidR="006A1603">
        <w:rPr>
          <w:color w:val="000000"/>
          <w:lang w:val="en"/>
        </w:rPr>
        <w:t>and</w:t>
      </w:r>
      <w:r w:rsidRPr="00E43792">
        <w:rPr>
          <w:color w:val="000000"/>
          <w:lang w:val="en"/>
        </w:rPr>
        <w:t xml:space="preserve"> </w:t>
      </w:r>
      <w:r w:rsidR="005D43F6">
        <w:rPr>
          <w:color w:val="000000"/>
          <w:lang w:val="en"/>
        </w:rPr>
        <w:t xml:space="preserve">no </w:t>
      </w:r>
      <w:r w:rsidR="003400B0">
        <w:rPr>
          <w:color w:val="000000"/>
          <w:lang w:val="en"/>
        </w:rPr>
        <w:t>rupture of membranes (</w:t>
      </w:r>
      <w:r w:rsidRPr="00E43792">
        <w:rPr>
          <w:color w:val="000000"/>
          <w:lang w:val="en"/>
        </w:rPr>
        <w:t>ROM</w:t>
      </w:r>
      <w:r w:rsidR="003400B0">
        <w:rPr>
          <w:color w:val="000000"/>
          <w:lang w:val="en"/>
        </w:rPr>
        <w:t>)</w:t>
      </w:r>
      <w:r w:rsidRPr="00E43792">
        <w:rPr>
          <w:color w:val="000000"/>
          <w:lang w:val="en"/>
        </w:rPr>
        <w:t xml:space="preserve"> before delivery.</w:t>
      </w:r>
    </w:p>
    <w:p w14:paraId="78806573" w14:textId="3276FA0E" w:rsidR="00E43792" w:rsidRDefault="00E43792" w:rsidP="00E43792">
      <w:pPr>
        <w:numPr>
          <w:ilvl w:val="1"/>
          <w:numId w:val="10"/>
        </w:numPr>
        <w:ind w:left="720"/>
        <w:rPr>
          <w:color w:val="000000"/>
          <w:lang w:val="en"/>
        </w:rPr>
      </w:pPr>
      <w:r>
        <w:rPr>
          <w:color w:val="000000"/>
          <w:lang w:val="en"/>
        </w:rPr>
        <w:t xml:space="preserve">For lower risk preterm infants, </w:t>
      </w:r>
      <w:r w:rsidRPr="00E43792">
        <w:rPr>
          <w:color w:val="000000"/>
          <w:lang w:val="en"/>
        </w:rPr>
        <w:t>initial approaches include</w:t>
      </w:r>
      <w:r w:rsidR="00206394">
        <w:rPr>
          <w:color w:val="000000"/>
          <w:lang w:val="en"/>
        </w:rPr>
        <w:t>:</w:t>
      </w:r>
      <w:r w:rsidRPr="00E43792">
        <w:rPr>
          <w:color w:val="000000"/>
          <w:lang w:val="en"/>
        </w:rPr>
        <w:t xml:space="preserve"> (1) no laboratory evaluation and no empirical antibiotic therapy or (2) blood culture and clinical monitoring. For infants who do not improve after initial stabilization and/or those who have severe systemic instability, the administration of empirical antibiotics may be reasonable but is not mandatory.</w:t>
      </w:r>
    </w:p>
    <w:p w14:paraId="70C0F119" w14:textId="5639EEFF" w:rsidR="006E1B4A" w:rsidRDefault="00F029F1" w:rsidP="00DA251A">
      <w:pPr>
        <w:numPr>
          <w:ilvl w:val="1"/>
          <w:numId w:val="10"/>
        </w:numPr>
        <w:ind w:left="720"/>
        <w:rPr>
          <w:color w:val="000000"/>
          <w:lang w:val="en"/>
        </w:rPr>
      </w:pPr>
      <w:r>
        <w:rPr>
          <w:color w:val="000000"/>
          <w:lang w:val="en"/>
        </w:rPr>
        <w:t xml:space="preserve">Physicians should use their best judgment to determine when cerebrospinal fluid </w:t>
      </w:r>
      <w:r w:rsidR="00206394">
        <w:rPr>
          <w:color w:val="000000"/>
          <w:lang w:val="en"/>
        </w:rPr>
        <w:t xml:space="preserve">(CSF) </w:t>
      </w:r>
      <w:r>
        <w:rPr>
          <w:color w:val="000000"/>
          <w:lang w:val="en"/>
        </w:rPr>
        <w:t xml:space="preserve">analysis should be performed in the absence of bacteremia, as culture-confirmed meningitis in the absence of culture-confirmed bacteremia is approximately </w:t>
      </w:r>
      <w:r w:rsidR="003B2CF7">
        <w:rPr>
          <w:color w:val="000000"/>
          <w:lang w:val="en"/>
        </w:rPr>
        <w:t>one</w:t>
      </w:r>
      <w:r>
        <w:rPr>
          <w:color w:val="000000"/>
          <w:lang w:val="en"/>
        </w:rPr>
        <w:t xml:space="preserve"> to </w:t>
      </w:r>
      <w:r w:rsidR="003B2CF7">
        <w:rPr>
          <w:color w:val="000000"/>
          <w:lang w:val="en"/>
        </w:rPr>
        <w:t>two</w:t>
      </w:r>
      <w:r>
        <w:rPr>
          <w:color w:val="000000"/>
          <w:lang w:val="en"/>
        </w:rPr>
        <w:t xml:space="preserve"> cases per 100,000 live births.</w:t>
      </w:r>
      <w:r w:rsidR="0034685C" w:rsidRPr="00F029F1">
        <w:rPr>
          <w:color w:val="000000"/>
          <w:lang w:val="en"/>
        </w:rPr>
        <w:t xml:space="preserve"> </w:t>
      </w:r>
      <w:r w:rsidR="00DA251A">
        <w:rPr>
          <w:color w:val="000000"/>
          <w:lang w:val="en"/>
        </w:rPr>
        <w:t>However, the rate of meningitis is higher in preterm infants, and a</w:t>
      </w:r>
      <w:r w:rsidR="00DA251A" w:rsidRPr="00DA251A">
        <w:rPr>
          <w:color w:val="000000"/>
          <w:lang w:val="en"/>
        </w:rPr>
        <w:t xml:space="preserve"> lumbar puncture for culture and analysis of CSF should be considered in clinically ill infants when there is a high suspicion for GBS EOD unless the procedure will compromise the neonate’s clinical condition.</w:t>
      </w:r>
    </w:p>
    <w:p w14:paraId="34EE43E5" w14:textId="6E35504E" w:rsidR="0034685C" w:rsidRPr="00F029F1" w:rsidRDefault="0034685C" w:rsidP="00EC7F11">
      <w:pPr>
        <w:numPr>
          <w:ilvl w:val="1"/>
          <w:numId w:val="10"/>
        </w:numPr>
        <w:ind w:left="720"/>
        <w:rPr>
          <w:color w:val="000000"/>
          <w:lang w:val="en"/>
        </w:rPr>
      </w:pPr>
      <w:r w:rsidRPr="00F029F1">
        <w:rPr>
          <w:color w:val="000000"/>
          <w:lang w:val="en"/>
        </w:rPr>
        <w:lastRenderedPageBreak/>
        <w:t xml:space="preserve">Therapy for </w:t>
      </w:r>
      <w:r w:rsidR="006E1B4A">
        <w:rPr>
          <w:color w:val="000000"/>
          <w:lang w:val="en"/>
        </w:rPr>
        <w:t>a</w:t>
      </w:r>
      <w:r w:rsidR="00E43792">
        <w:rPr>
          <w:color w:val="000000"/>
          <w:lang w:val="en"/>
        </w:rPr>
        <w:t xml:space="preserve"> term</w:t>
      </w:r>
      <w:r w:rsidR="006E1B4A">
        <w:rPr>
          <w:color w:val="000000"/>
          <w:lang w:val="en"/>
        </w:rPr>
        <w:t xml:space="preserve"> infant at risk of </w:t>
      </w:r>
      <w:r w:rsidR="00E43792">
        <w:rPr>
          <w:color w:val="000000"/>
          <w:lang w:val="en"/>
        </w:rPr>
        <w:t>EOS</w:t>
      </w:r>
      <w:r w:rsidRPr="00F029F1">
        <w:rPr>
          <w:color w:val="000000"/>
          <w:lang w:val="en"/>
        </w:rPr>
        <w:t xml:space="preserve"> should include antimicrobial agents active against GBS (including </w:t>
      </w:r>
      <w:r w:rsidR="00F23E3D" w:rsidRPr="00F029F1">
        <w:rPr>
          <w:color w:val="000000"/>
          <w:lang w:val="en"/>
        </w:rPr>
        <w:t xml:space="preserve">IV </w:t>
      </w:r>
      <w:r w:rsidRPr="00F029F1">
        <w:rPr>
          <w:color w:val="000000"/>
          <w:lang w:val="en"/>
        </w:rPr>
        <w:t>ampicillin</w:t>
      </w:r>
      <w:r w:rsidR="00F029F1">
        <w:rPr>
          <w:color w:val="000000"/>
          <w:lang w:val="en"/>
        </w:rPr>
        <w:t xml:space="preserve"> and gentamicin</w:t>
      </w:r>
      <w:r w:rsidRPr="00F029F1">
        <w:rPr>
          <w:color w:val="000000"/>
          <w:lang w:val="en"/>
        </w:rPr>
        <w:t>)</w:t>
      </w:r>
      <w:r w:rsidR="00CE5C30" w:rsidRPr="00F029F1">
        <w:rPr>
          <w:color w:val="000000"/>
          <w:lang w:val="en"/>
        </w:rPr>
        <w:t>,</w:t>
      </w:r>
      <w:r w:rsidRPr="00F029F1">
        <w:rPr>
          <w:color w:val="000000"/>
          <w:lang w:val="en"/>
        </w:rPr>
        <w:t xml:space="preserve"> as well as other organisms that might cause neonatal sepsis, such as </w:t>
      </w:r>
      <w:r w:rsidRPr="001C0964">
        <w:rPr>
          <w:i/>
          <w:iCs/>
          <w:color w:val="000000"/>
          <w:lang w:val="en"/>
        </w:rPr>
        <w:t>E. coli</w:t>
      </w:r>
      <w:r w:rsidRPr="00F029F1">
        <w:rPr>
          <w:color w:val="000000"/>
          <w:lang w:val="en"/>
        </w:rPr>
        <w:t>.</w:t>
      </w:r>
      <w:r w:rsidR="00DA251A" w:rsidRPr="00EC7F11" w:rsidDel="00DA251A">
        <w:rPr>
          <w:color w:val="000000"/>
          <w:vertAlign w:val="superscript"/>
          <w:lang w:val="en"/>
        </w:rPr>
        <w:t xml:space="preserve"> </w:t>
      </w:r>
    </w:p>
    <w:p w14:paraId="33AF6CC0" w14:textId="4A8A6445" w:rsidR="0034685C" w:rsidRDefault="00D46DAF" w:rsidP="00B43507">
      <w:pPr>
        <w:numPr>
          <w:ilvl w:val="1"/>
          <w:numId w:val="10"/>
        </w:numPr>
        <w:ind w:left="720"/>
      </w:pPr>
      <w:r w:rsidRPr="00D46DAF">
        <w:rPr>
          <w:color w:val="000000"/>
          <w:lang w:val="en"/>
        </w:rPr>
        <w:t>Early-onset GBS infection is diagnosed by blood or CSF culture. Common laboratory tests such as the complete blood cell count and C-reactive protein do not perform well in predicting early-onset infection, particularly among well-appearing infants at lowest baseline risk of infection.</w:t>
      </w:r>
      <w:r w:rsidRPr="00D46DAF" w:rsidDel="00D46DAF">
        <w:rPr>
          <w:color w:val="000000"/>
          <w:lang w:val="en"/>
        </w:rPr>
        <w:t xml:space="preserve"> </w:t>
      </w:r>
      <w:r w:rsidR="005D43F6">
        <w:rPr>
          <w:color w:val="000000"/>
          <w:lang w:val="en"/>
        </w:rPr>
        <w:t xml:space="preserve">Procalcitonin </w:t>
      </w:r>
      <w:r w:rsidR="006A1603">
        <w:rPr>
          <w:color w:val="000000"/>
          <w:lang w:val="en"/>
        </w:rPr>
        <w:t>has also been suggested as a</w:t>
      </w:r>
      <w:r w:rsidR="005D43F6">
        <w:rPr>
          <w:color w:val="000000"/>
          <w:lang w:val="en"/>
        </w:rPr>
        <w:t xml:space="preserve"> biomarker for determining the risk of early</w:t>
      </w:r>
      <w:r w:rsidR="00FA3B2F">
        <w:rPr>
          <w:color w:val="000000"/>
          <w:lang w:val="en"/>
        </w:rPr>
        <w:t>-</w:t>
      </w:r>
      <w:r w:rsidR="005D43F6">
        <w:rPr>
          <w:color w:val="000000"/>
          <w:lang w:val="en"/>
        </w:rPr>
        <w:t>onset sepsis</w:t>
      </w:r>
      <w:r w:rsidR="00FE0621">
        <w:rPr>
          <w:color w:val="000000"/>
          <w:lang w:val="en"/>
        </w:rPr>
        <w:t>. However,</w:t>
      </w:r>
      <w:r w:rsidR="005D43F6">
        <w:rPr>
          <w:color w:val="000000"/>
          <w:lang w:val="en"/>
        </w:rPr>
        <w:t xml:space="preserve"> </w:t>
      </w:r>
      <w:r w:rsidR="001B4EEF">
        <w:rPr>
          <w:color w:val="000000"/>
          <w:lang w:val="en"/>
        </w:rPr>
        <w:t xml:space="preserve">it </w:t>
      </w:r>
      <w:r w:rsidR="005D43F6">
        <w:rPr>
          <w:color w:val="000000"/>
          <w:lang w:val="en"/>
        </w:rPr>
        <w:t>is not definitive</w:t>
      </w:r>
      <w:r w:rsidR="001B4EEF">
        <w:rPr>
          <w:color w:val="000000"/>
          <w:lang w:val="en"/>
        </w:rPr>
        <w:t xml:space="preserve"> in ruling in or ruling out an infection in neonates</w:t>
      </w:r>
      <w:r w:rsidR="005D43F6">
        <w:rPr>
          <w:color w:val="000000"/>
          <w:lang w:val="en"/>
        </w:rPr>
        <w:t>.</w:t>
      </w:r>
    </w:p>
    <w:p w14:paraId="6BEBE34E" w14:textId="77777777" w:rsidR="00D46DAF" w:rsidRDefault="00D46DAF" w:rsidP="00B43507">
      <w:pPr>
        <w:ind w:left="360"/>
        <w:rPr>
          <w:i/>
        </w:rPr>
      </w:pPr>
      <w:bookmarkStart w:id="3" w:name="Fig9"/>
      <w:bookmarkEnd w:id="3"/>
    </w:p>
    <w:p w14:paraId="537C1435" w14:textId="75515769" w:rsidR="0034685C" w:rsidRPr="0034685C" w:rsidRDefault="0034685C" w:rsidP="0034685C">
      <w:pPr>
        <w:numPr>
          <w:ilvl w:val="0"/>
          <w:numId w:val="10"/>
        </w:numPr>
        <w:ind w:left="360"/>
        <w:rPr>
          <w:i/>
        </w:rPr>
      </w:pPr>
      <w:r w:rsidRPr="0034685C">
        <w:rPr>
          <w:i/>
        </w:rPr>
        <w:t>General Considerations</w:t>
      </w:r>
      <w:r w:rsidR="004B29EF">
        <w:rPr>
          <w:i/>
          <w:vertAlign w:val="superscript"/>
        </w:rPr>
        <w:t>7</w:t>
      </w:r>
    </w:p>
    <w:p w14:paraId="5A200C3F" w14:textId="77777777" w:rsidR="0034685C" w:rsidRDefault="0034685C" w:rsidP="0034685C">
      <w:pPr>
        <w:numPr>
          <w:ilvl w:val="1"/>
          <w:numId w:val="10"/>
        </w:numPr>
        <w:ind w:left="720"/>
        <w:rPr>
          <w:color w:val="000000"/>
          <w:lang w:val="en"/>
        </w:rPr>
      </w:pPr>
      <w:r>
        <w:rPr>
          <w:color w:val="000000"/>
          <w:lang w:val="en"/>
        </w:rPr>
        <w:t>Stable infants at 35 weeks gestational age or older who are treated for sepsis should be discharged the same day the antibiotics are discontinued.</w:t>
      </w:r>
    </w:p>
    <w:p w14:paraId="1A82A24F" w14:textId="62ECF6A2" w:rsidR="0034685C" w:rsidRDefault="0034685C" w:rsidP="0034685C">
      <w:pPr>
        <w:numPr>
          <w:ilvl w:val="1"/>
          <w:numId w:val="10"/>
        </w:numPr>
        <w:ind w:left="720"/>
        <w:rPr>
          <w:color w:val="000000"/>
          <w:lang w:val="en"/>
        </w:rPr>
      </w:pPr>
      <w:r>
        <w:rPr>
          <w:color w:val="000000"/>
          <w:lang w:val="en"/>
        </w:rPr>
        <w:t xml:space="preserve">For </w:t>
      </w:r>
      <w:r w:rsidR="003B6FDF">
        <w:rPr>
          <w:color w:val="000000"/>
          <w:lang w:val="en"/>
        </w:rPr>
        <w:t>ruling out</w:t>
      </w:r>
      <w:r>
        <w:rPr>
          <w:color w:val="000000"/>
          <w:lang w:val="en"/>
        </w:rPr>
        <w:t xml:space="preserve"> sepsis due to perinatal risk factors, </w:t>
      </w:r>
      <w:r w:rsidR="005D43F6">
        <w:rPr>
          <w:color w:val="000000"/>
          <w:lang w:val="en"/>
        </w:rPr>
        <w:t>36</w:t>
      </w:r>
      <w:r w:rsidR="003B2CF7">
        <w:rPr>
          <w:color w:val="000000"/>
          <w:lang w:val="en"/>
        </w:rPr>
        <w:t xml:space="preserve"> to </w:t>
      </w:r>
      <w:r>
        <w:rPr>
          <w:color w:val="000000"/>
          <w:lang w:val="en"/>
        </w:rPr>
        <w:t>48 hours of antibiotic administration is considered appropriate pending culture results and evaluation of lab data.</w:t>
      </w:r>
    </w:p>
    <w:p w14:paraId="380C5F5D" w14:textId="02FB7089" w:rsidR="0034685C" w:rsidRPr="00D13555" w:rsidRDefault="006A4633" w:rsidP="00D13555">
      <w:pPr>
        <w:numPr>
          <w:ilvl w:val="1"/>
          <w:numId w:val="10"/>
        </w:numPr>
        <w:ind w:left="720"/>
        <w:rPr>
          <w:color w:val="000000"/>
          <w:lang w:val="en"/>
        </w:rPr>
      </w:pPr>
      <w:r w:rsidRPr="005039D9">
        <w:rPr>
          <w:color w:val="000000"/>
          <w:lang w:val="en"/>
        </w:rPr>
        <w:t>When blood cultures are sterile, antibiotic therapy should be discontinued by 36 to 48 hours of incubation unless there is clear evidence of site-specific infection</w:t>
      </w:r>
      <w:r w:rsidR="00FA48AC">
        <w:rPr>
          <w:color w:val="000000"/>
          <w:lang w:val="en"/>
        </w:rPr>
        <w:t>.</w:t>
      </w:r>
    </w:p>
    <w:p w14:paraId="75FA9DE2" w14:textId="77777777" w:rsidR="007557A9" w:rsidRDefault="007557A9" w:rsidP="0034685C">
      <w:pPr>
        <w:pStyle w:val="ListParagraph"/>
        <w:ind w:left="0"/>
        <w:rPr>
          <w:color w:val="1F497D"/>
        </w:rPr>
      </w:pPr>
    </w:p>
    <w:tbl>
      <w:tblPr>
        <w:tblStyle w:val="LightList-Accent1"/>
        <w:tblW w:w="9838" w:type="dxa"/>
        <w:tblInd w:w="-1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470"/>
        <w:gridCol w:w="1170"/>
        <w:gridCol w:w="1198"/>
      </w:tblGrid>
      <w:tr w:rsidR="00B777AF" w:rsidRPr="00B777AF" w14:paraId="62E6275F" w14:textId="77777777" w:rsidTr="007B67C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470" w:type="dxa"/>
            <w:tcBorders>
              <w:left w:val="none" w:sz="0" w:space="0" w:color="auto"/>
              <w:right w:val="none" w:sz="0" w:space="0" w:color="auto"/>
            </w:tcBorders>
            <w:shd w:val="clear" w:color="auto" w:fill="00548C"/>
          </w:tcPr>
          <w:p w14:paraId="4DB35145" w14:textId="77777777" w:rsidR="00B777AF" w:rsidRPr="00B777AF" w:rsidRDefault="00B777AF" w:rsidP="00B777AF">
            <w:pPr>
              <w:rPr>
                <w:bCs w:val="0"/>
              </w:rPr>
            </w:pPr>
            <w:bookmarkStart w:id="4" w:name="Revision_Log"/>
            <w:r w:rsidRPr="00B777AF">
              <w:rPr>
                <w:bCs w:val="0"/>
              </w:rPr>
              <w:t>Reviews</w:t>
            </w:r>
            <w:r>
              <w:rPr>
                <w:bCs w:val="0"/>
              </w:rPr>
              <w:t>, Revisions, and Approvals</w:t>
            </w:r>
            <w:bookmarkEnd w:id="4"/>
          </w:p>
        </w:tc>
        <w:tc>
          <w:tcPr>
            <w:tcW w:w="1170" w:type="dxa"/>
            <w:shd w:val="clear" w:color="auto" w:fill="00548C"/>
          </w:tcPr>
          <w:p w14:paraId="73419FC7" w14:textId="77777777" w:rsidR="00B777AF" w:rsidRPr="00B777AF" w:rsidRDefault="00353143" w:rsidP="007303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198" w:type="dxa"/>
            <w:tcBorders>
              <w:left w:val="none" w:sz="0" w:space="0" w:color="auto"/>
              <w:right w:val="none" w:sz="0" w:space="0" w:color="auto"/>
            </w:tcBorders>
            <w:shd w:val="clear" w:color="auto" w:fill="00548C"/>
          </w:tcPr>
          <w:p w14:paraId="379B7BB9" w14:textId="77777777" w:rsidR="00B777AF" w:rsidRPr="00B777AF" w:rsidRDefault="001818D7" w:rsidP="007303FD">
            <w:pPr>
              <w:jc w:val="center"/>
              <w:rPr>
                <w:bCs w:val="0"/>
              </w:rPr>
            </w:pPr>
            <w:r>
              <w:rPr>
                <w:bCs w:val="0"/>
              </w:rPr>
              <w:t>Approval</w:t>
            </w:r>
            <w:r w:rsidR="00B777AF" w:rsidRPr="00B777AF">
              <w:rPr>
                <w:bCs w:val="0"/>
              </w:rPr>
              <w:t xml:space="preserve"> Date</w:t>
            </w:r>
          </w:p>
        </w:tc>
      </w:tr>
      <w:tr w:rsidR="00B777AF" w14:paraId="32B78F22" w14:textId="77777777" w:rsidTr="007B67C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70" w:type="dxa"/>
            <w:tcBorders>
              <w:top w:val="none" w:sz="0" w:space="0" w:color="auto"/>
              <w:left w:val="none" w:sz="0" w:space="0" w:color="auto"/>
              <w:bottom w:val="none" w:sz="0" w:space="0" w:color="auto"/>
              <w:right w:val="none" w:sz="0" w:space="0" w:color="auto"/>
            </w:tcBorders>
          </w:tcPr>
          <w:p w14:paraId="32814613" w14:textId="3F86D540" w:rsidR="00B777AF" w:rsidRDefault="007303FD" w:rsidP="00583C18">
            <w:pPr>
              <w:tabs>
                <w:tab w:val="num" w:pos="720"/>
              </w:tabs>
            </w:pPr>
            <w:r>
              <w:t xml:space="preserve">Policy </w:t>
            </w:r>
            <w:r w:rsidR="001817BC">
              <w:t>developed;</w:t>
            </w:r>
            <w:r>
              <w:t xml:space="preserve"> Neonatologist reviewed</w:t>
            </w:r>
          </w:p>
        </w:tc>
        <w:tc>
          <w:tcPr>
            <w:tcW w:w="1170" w:type="dxa"/>
            <w:tcBorders>
              <w:top w:val="none" w:sz="0" w:space="0" w:color="auto"/>
              <w:bottom w:val="none" w:sz="0" w:space="0" w:color="auto"/>
            </w:tcBorders>
          </w:tcPr>
          <w:p w14:paraId="246A0339" w14:textId="77777777" w:rsidR="00B777AF" w:rsidRDefault="007303FD" w:rsidP="007303FD">
            <w:pPr>
              <w:jc w:val="center"/>
              <w:cnfStyle w:val="000000100000" w:firstRow="0" w:lastRow="0" w:firstColumn="0" w:lastColumn="0" w:oddVBand="0" w:evenVBand="0" w:oddHBand="1" w:evenHBand="0" w:firstRowFirstColumn="0" w:firstRowLastColumn="0" w:lastRowFirstColumn="0" w:lastRowLastColumn="0"/>
            </w:pPr>
            <w:r>
              <w:t>08/13</w:t>
            </w:r>
          </w:p>
        </w:tc>
        <w:tc>
          <w:tcPr>
            <w:cnfStyle w:val="000010000000" w:firstRow="0" w:lastRow="0" w:firstColumn="0" w:lastColumn="0" w:oddVBand="1" w:evenVBand="0" w:oddHBand="0" w:evenHBand="0" w:firstRowFirstColumn="0" w:firstRowLastColumn="0" w:lastRowFirstColumn="0" w:lastRowLastColumn="0"/>
            <w:tcW w:w="1198" w:type="dxa"/>
            <w:tcBorders>
              <w:top w:val="none" w:sz="0" w:space="0" w:color="auto"/>
              <w:left w:val="none" w:sz="0" w:space="0" w:color="auto"/>
              <w:bottom w:val="none" w:sz="0" w:space="0" w:color="auto"/>
              <w:right w:val="none" w:sz="0" w:space="0" w:color="auto"/>
            </w:tcBorders>
          </w:tcPr>
          <w:p w14:paraId="120A5DA7" w14:textId="77777777" w:rsidR="00B777AF" w:rsidRDefault="007303FD" w:rsidP="007303FD">
            <w:pPr>
              <w:jc w:val="center"/>
            </w:pPr>
            <w:r>
              <w:t>08/13</w:t>
            </w:r>
          </w:p>
        </w:tc>
      </w:tr>
      <w:tr w:rsidR="00E3747E" w14:paraId="5C6403CB" w14:textId="77777777" w:rsidTr="007B67C2">
        <w:tc>
          <w:tcPr>
            <w:cnfStyle w:val="000010000000" w:firstRow="0" w:lastRow="0" w:firstColumn="0" w:lastColumn="0" w:oddVBand="1" w:evenVBand="0" w:oddHBand="0" w:evenHBand="0" w:firstRowFirstColumn="0" w:firstRowLastColumn="0" w:lastRowFirstColumn="0" w:lastRowLastColumn="0"/>
            <w:tcW w:w="7470" w:type="dxa"/>
          </w:tcPr>
          <w:p w14:paraId="3714DD99" w14:textId="77777777" w:rsidR="00E3747E" w:rsidRPr="00F40A6A" w:rsidRDefault="00E3747E" w:rsidP="0036552D">
            <w:pPr>
              <w:pStyle w:val="Heading5"/>
              <w:rPr>
                <w:b w:val="0"/>
                <w:szCs w:val="24"/>
              </w:rPr>
            </w:pPr>
            <w:r>
              <w:rPr>
                <w:b w:val="0"/>
              </w:rPr>
              <w:t>Annual Review. Removed “or level 1 nursery (rev code 171),” from II</w:t>
            </w:r>
            <w:r w:rsidRPr="000C0537">
              <w:rPr>
                <w:b w:val="0"/>
              </w:rPr>
              <w:t>.</w:t>
            </w:r>
            <w:r>
              <w:rPr>
                <w:b w:val="0"/>
              </w:rPr>
              <w:t>D: “</w:t>
            </w:r>
            <w:r w:rsidRPr="000C0537">
              <w:rPr>
                <w:b w:val="0"/>
              </w:rPr>
              <w:t>Asymptomatic infants with a positive blood culture and no other indications are appropriate for transitional care</w:t>
            </w:r>
            <w:r>
              <w:rPr>
                <w:b w:val="0"/>
              </w:rPr>
              <w:t xml:space="preserve"> or level 1 nursery (rev code 171)</w:t>
            </w:r>
            <w:r w:rsidRPr="000C0537">
              <w:rPr>
                <w:b w:val="0"/>
              </w:rPr>
              <w:t>.</w:t>
            </w:r>
            <w:r>
              <w:rPr>
                <w:b w:val="0"/>
              </w:rPr>
              <w:t>” Added sentence to note under criteria point II.D. to say, “</w:t>
            </w:r>
            <w:r w:rsidRPr="00A4467E">
              <w:rPr>
                <w:b w:val="0"/>
              </w:rPr>
              <w:t>It is difficult to administer intravenous antibiotics in the home with home health care due to the challenge of keeping very small catheters in place and patent</w:t>
            </w:r>
            <w:r>
              <w:rPr>
                <w:b w:val="0"/>
              </w:rPr>
              <w:t>.” C</w:t>
            </w:r>
            <w:r w:rsidRPr="00FD6881">
              <w:rPr>
                <w:b w:val="0"/>
              </w:rPr>
              <w:t>larified III.D.3. that neonatologist, primary care pediatrician are examples of the responsible physician.</w:t>
            </w:r>
            <w:r>
              <w:rPr>
                <w:b w:val="0"/>
              </w:rPr>
              <w:t xml:space="preserve"> </w:t>
            </w:r>
            <w:r w:rsidRPr="00723C0A">
              <w:rPr>
                <w:b w:val="0"/>
              </w:rPr>
              <w:t>References reviewed and updated. Replaced all instance</w:t>
            </w:r>
            <w:r>
              <w:rPr>
                <w:b w:val="0"/>
              </w:rPr>
              <w:t>s</w:t>
            </w:r>
            <w:r w:rsidRPr="00723C0A">
              <w:rPr>
                <w:b w:val="0"/>
              </w:rPr>
              <w:t xml:space="preserve"> of “member” with “member/enrollee”.</w:t>
            </w:r>
            <w:r>
              <w:rPr>
                <w:b w:val="0"/>
              </w:rPr>
              <w:t xml:space="preserve">  </w:t>
            </w:r>
            <w:r w:rsidRPr="00EF563B">
              <w:rPr>
                <w:b w:val="0"/>
              </w:rPr>
              <w:t>Changed “review date” in the header to “date of last revision” and “date” in the revision log header to “revision date."</w:t>
            </w:r>
            <w:r>
              <w:rPr>
                <w:b w:val="0"/>
              </w:rPr>
              <w:t xml:space="preserve"> Sent for specialist review. </w:t>
            </w:r>
          </w:p>
        </w:tc>
        <w:tc>
          <w:tcPr>
            <w:tcW w:w="1170" w:type="dxa"/>
          </w:tcPr>
          <w:p w14:paraId="36860C3A" w14:textId="77777777" w:rsidR="00E3747E" w:rsidRDefault="00E3747E" w:rsidP="0036552D">
            <w:pPr>
              <w:jc w:val="center"/>
              <w:cnfStyle w:val="000000000000" w:firstRow="0" w:lastRow="0" w:firstColumn="0" w:lastColumn="0" w:oddVBand="0" w:evenVBand="0" w:oddHBand="0" w:evenHBand="0" w:firstRowFirstColumn="0" w:firstRowLastColumn="0" w:lastRowFirstColumn="0" w:lastRowLastColumn="0"/>
            </w:pPr>
            <w:r>
              <w:t>07/21</w:t>
            </w:r>
          </w:p>
        </w:tc>
        <w:tc>
          <w:tcPr>
            <w:cnfStyle w:val="000010000000" w:firstRow="0" w:lastRow="0" w:firstColumn="0" w:lastColumn="0" w:oddVBand="1" w:evenVBand="0" w:oddHBand="0" w:evenHBand="0" w:firstRowFirstColumn="0" w:firstRowLastColumn="0" w:lastRowFirstColumn="0" w:lastRowLastColumn="0"/>
            <w:tcW w:w="1198" w:type="dxa"/>
          </w:tcPr>
          <w:p w14:paraId="4F8FD826" w14:textId="77777777" w:rsidR="00E3747E" w:rsidRDefault="00E3747E" w:rsidP="0036552D">
            <w:pPr>
              <w:jc w:val="center"/>
            </w:pPr>
            <w:r>
              <w:t>07/21</w:t>
            </w:r>
          </w:p>
        </w:tc>
      </w:tr>
      <w:tr w:rsidR="00E3747E" w14:paraId="17D45A25" w14:textId="77777777" w:rsidTr="007B67C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70" w:type="dxa"/>
          </w:tcPr>
          <w:p w14:paraId="03F2625C" w14:textId="77777777" w:rsidR="00E3747E" w:rsidRDefault="00E3747E" w:rsidP="0036552D">
            <w:pPr>
              <w:rPr>
                <w:b/>
              </w:rPr>
            </w:pPr>
            <w:r w:rsidRPr="0012367B">
              <w:t xml:space="preserve">Annual review. </w:t>
            </w:r>
            <w:r>
              <w:t xml:space="preserve">Description </w:t>
            </w:r>
            <w:r w:rsidRPr="00C94BDA">
              <w:t>update</w:t>
            </w:r>
            <w:r>
              <w:t>d. Background updated: Minor rewording for clarity in II.C; a</w:t>
            </w:r>
            <w:r w:rsidRPr="006A1603">
              <w:t>dded verbiage about procalcitonin in II.G</w:t>
            </w:r>
            <w:r>
              <w:t xml:space="preserve">; in III.B, changed 48 hours to 36 to 48 hours. </w:t>
            </w:r>
            <w:r w:rsidRPr="0012367B">
              <w:t>References reviewed and updated.</w:t>
            </w:r>
            <w:r>
              <w:t xml:space="preserve"> Reviewed by specialist. </w:t>
            </w:r>
          </w:p>
        </w:tc>
        <w:tc>
          <w:tcPr>
            <w:tcW w:w="1170" w:type="dxa"/>
          </w:tcPr>
          <w:p w14:paraId="04B40E36" w14:textId="77777777" w:rsidR="00E3747E" w:rsidRDefault="00E3747E" w:rsidP="0036552D">
            <w:pPr>
              <w:jc w:val="center"/>
              <w:cnfStyle w:val="000000100000" w:firstRow="0" w:lastRow="0" w:firstColumn="0" w:lastColumn="0" w:oddVBand="0" w:evenVBand="0" w:oddHBand="1" w:evenHBand="0" w:firstRowFirstColumn="0" w:firstRowLastColumn="0" w:lastRowFirstColumn="0" w:lastRowLastColumn="0"/>
            </w:pPr>
            <w:r>
              <w:t>07/22</w:t>
            </w:r>
          </w:p>
        </w:tc>
        <w:tc>
          <w:tcPr>
            <w:cnfStyle w:val="000010000000" w:firstRow="0" w:lastRow="0" w:firstColumn="0" w:lastColumn="0" w:oddVBand="1" w:evenVBand="0" w:oddHBand="0" w:evenHBand="0" w:firstRowFirstColumn="0" w:firstRowLastColumn="0" w:lastRowFirstColumn="0" w:lastRowLastColumn="0"/>
            <w:tcW w:w="1198" w:type="dxa"/>
          </w:tcPr>
          <w:p w14:paraId="0A91D63B" w14:textId="77777777" w:rsidR="00E3747E" w:rsidRDefault="00E3747E" w:rsidP="0036552D">
            <w:pPr>
              <w:jc w:val="center"/>
            </w:pPr>
            <w:r>
              <w:t>07/22</w:t>
            </w:r>
          </w:p>
        </w:tc>
      </w:tr>
      <w:tr w:rsidR="00E3747E" w14:paraId="5C1B12CA" w14:textId="77777777" w:rsidTr="007B67C2">
        <w:tc>
          <w:tcPr>
            <w:cnfStyle w:val="000010000000" w:firstRow="0" w:lastRow="0" w:firstColumn="0" w:lastColumn="0" w:oddVBand="1" w:evenVBand="0" w:oddHBand="0" w:evenHBand="0" w:firstRowFirstColumn="0" w:firstRowLastColumn="0" w:lastRowFirstColumn="0" w:lastRowLastColumn="0"/>
            <w:tcW w:w="7470" w:type="dxa"/>
          </w:tcPr>
          <w:p w14:paraId="48930692" w14:textId="77777777" w:rsidR="00E3747E" w:rsidRPr="0012367B" w:rsidRDefault="00E3747E" w:rsidP="0036552D">
            <w:r>
              <w:t>Annual review completed. Description and b</w:t>
            </w:r>
            <w:r w:rsidRPr="00173AEE">
              <w:rPr>
                <w:bCs/>
              </w:rPr>
              <w:t>ackground updated</w:t>
            </w:r>
            <w:r>
              <w:rPr>
                <w:bCs/>
              </w:rPr>
              <w:t>. M</w:t>
            </w:r>
            <w:r w:rsidRPr="00173AEE">
              <w:rPr>
                <w:bCs/>
              </w:rPr>
              <w:t>inor rewording with no clinical significance</w:t>
            </w:r>
            <w:r>
              <w:rPr>
                <w:bCs/>
              </w:rPr>
              <w:t xml:space="preserve">. References reviewed and updated. </w:t>
            </w:r>
          </w:p>
        </w:tc>
        <w:tc>
          <w:tcPr>
            <w:tcW w:w="1170" w:type="dxa"/>
          </w:tcPr>
          <w:p w14:paraId="4B6FF3AB" w14:textId="77777777" w:rsidR="00E3747E" w:rsidRDefault="00E3747E" w:rsidP="0036552D">
            <w:pPr>
              <w:jc w:val="center"/>
              <w:cnfStyle w:val="000000000000" w:firstRow="0" w:lastRow="0" w:firstColumn="0" w:lastColumn="0" w:oddVBand="0" w:evenVBand="0" w:oddHBand="0" w:evenHBand="0" w:firstRowFirstColumn="0" w:firstRowLastColumn="0" w:lastRowFirstColumn="0" w:lastRowLastColumn="0"/>
            </w:pPr>
            <w:r>
              <w:t>02/23</w:t>
            </w:r>
          </w:p>
        </w:tc>
        <w:tc>
          <w:tcPr>
            <w:cnfStyle w:val="000010000000" w:firstRow="0" w:lastRow="0" w:firstColumn="0" w:lastColumn="0" w:oddVBand="1" w:evenVBand="0" w:oddHBand="0" w:evenHBand="0" w:firstRowFirstColumn="0" w:firstRowLastColumn="0" w:lastRowFirstColumn="0" w:lastRowLastColumn="0"/>
            <w:tcW w:w="1198" w:type="dxa"/>
          </w:tcPr>
          <w:p w14:paraId="20E3BECA" w14:textId="77777777" w:rsidR="00E3747E" w:rsidRDefault="00E3747E" w:rsidP="0036552D">
            <w:pPr>
              <w:jc w:val="center"/>
            </w:pPr>
            <w:r>
              <w:t>02/23</w:t>
            </w:r>
          </w:p>
        </w:tc>
      </w:tr>
      <w:tr w:rsidR="00E3747E" w14:paraId="7B88AC75" w14:textId="77777777" w:rsidTr="007B67C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70" w:type="dxa"/>
          </w:tcPr>
          <w:p w14:paraId="15ACAD32" w14:textId="77777777" w:rsidR="00E3747E" w:rsidRDefault="00E3747E" w:rsidP="0036552D">
            <w:r w:rsidRPr="00BB3B5F">
              <w:t xml:space="preserve">Annual review. Reworded description with no clinical significance. Reworded criteria under I.A.2. "when meeting all of the following criteria" with no impact to criteria. </w:t>
            </w:r>
            <w:r>
              <w:t>Expanded criteria under I.A.2.a. and I.B.2.a. “</w:t>
            </w:r>
            <w:r w:rsidRPr="00614CBB">
              <w:t>Signs of neonatal sepsis (e.g.: hypotonia, lethargy, poor oral feeding, tachycardia, bradycardia, grunting, nasal flaring, cyanosis)</w:t>
            </w:r>
            <w:r>
              <w:t>.</w:t>
            </w:r>
            <w:r w:rsidRPr="00614CBB">
              <w:t xml:space="preserve">  </w:t>
            </w:r>
            <w:r>
              <w:t>Reworded</w:t>
            </w:r>
            <w:r w:rsidRPr="00BB3B5F">
              <w:t xml:space="preserve"> criteria under II.D.1.,</w:t>
            </w:r>
            <w:r>
              <w:t xml:space="preserve"> </w:t>
            </w:r>
            <w:r w:rsidRPr="00BB3B5F">
              <w:t xml:space="preserve">II.D.3. and II.E. with no impact to criteria. References reviewed and updated. Reviewed by </w:t>
            </w:r>
            <w:r>
              <w:t>external</w:t>
            </w:r>
            <w:r w:rsidRPr="00BB3B5F">
              <w:t xml:space="preserve"> specialist.</w:t>
            </w:r>
          </w:p>
        </w:tc>
        <w:tc>
          <w:tcPr>
            <w:tcW w:w="1170" w:type="dxa"/>
          </w:tcPr>
          <w:p w14:paraId="1C7D1A87" w14:textId="77777777" w:rsidR="00E3747E" w:rsidRDefault="00E3747E" w:rsidP="0036552D">
            <w:pPr>
              <w:jc w:val="center"/>
              <w:cnfStyle w:val="000000100000" w:firstRow="0" w:lastRow="0" w:firstColumn="0" w:lastColumn="0" w:oddVBand="0" w:evenVBand="0" w:oddHBand="1" w:evenHBand="0" w:firstRowFirstColumn="0" w:firstRowLastColumn="0" w:lastRowFirstColumn="0" w:lastRowLastColumn="0"/>
            </w:pPr>
            <w:r>
              <w:t>01/24</w:t>
            </w:r>
          </w:p>
        </w:tc>
        <w:tc>
          <w:tcPr>
            <w:cnfStyle w:val="000010000000" w:firstRow="0" w:lastRow="0" w:firstColumn="0" w:lastColumn="0" w:oddVBand="1" w:evenVBand="0" w:oddHBand="0" w:evenHBand="0" w:firstRowFirstColumn="0" w:firstRowLastColumn="0" w:lastRowFirstColumn="0" w:lastRowLastColumn="0"/>
            <w:tcW w:w="1198" w:type="dxa"/>
          </w:tcPr>
          <w:p w14:paraId="066F6BD6" w14:textId="77777777" w:rsidR="00E3747E" w:rsidRDefault="00E3747E" w:rsidP="0036552D">
            <w:pPr>
              <w:jc w:val="center"/>
            </w:pPr>
            <w:r>
              <w:t>01/24</w:t>
            </w:r>
          </w:p>
        </w:tc>
      </w:tr>
      <w:tr w:rsidR="00E3747E" w14:paraId="31117302" w14:textId="77777777" w:rsidTr="007B67C2">
        <w:tc>
          <w:tcPr>
            <w:cnfStyle w:val="000010000000" w:firstRow="0" w:lastRow="0" w:firstColumn="0" w:lastColumn="0" w:oddVBand="1" w:evenVBand="0" w:oddHBand="0" w:evenHBand="0" w:firstRowFirstColumn="0" w:firstRowLastColumn="0" w:lastRowFirstColumn="0" w:lastRowLastColumn="0"/>
            <w:tcW w:w="7470" w:type="dxa"/>
          </w:tcPr>
          <w:p w14:paraId="454CFBCA" w14:textId="00DC1F19" w:rsidR="00E3747E" w:rsidRPr="00BB3B5F" w:rsidRDefault="00D94922" w:rsidP="0036552D">
            <w:r>
              <w:lastRenderedPageBreak/>
              <w:t>Annual Review. References reviewed and updated.</w:t>
            </w:r>
          </w:p>
        </w:tc>
        <w:tc>
          <w:tcPr>
            <w:tcW w:w="1170" w:type="dxa"/>
          </w:tcPr>
          <w:p w14:paraId="356454D1" w14:textId="5B2CB3B5" w:rsidR="00E3747E" w:rsidRDefault="00D94922" w:rsidP="0036552D">
            <w:pPr>
              <w:jc w:val="center"/>
              <w:cnfStyle w:val="000000000000" w:firstRow="0" w:lastRow="0" w:firstColumn="0" w:lastColumn="0" w:oddVBand="0" w:evenVBand="0" w:oddHBand="0" w:evenHBand="0" w:firstRowFirstColumn="0" w:firstRowLastColumn="0" w:lastRowFirstColumn="0" w:lastRowLastColumn="0"/>
            </w:pPr>
            <w:r>
              <w:t>01/25</w:t>
            </w:r>
          </w:p>
        </w:tc>
        <w:tc>
          <w:tcPr>
            <w:cnfStyle w:val="000010000000" w:firstRow="0" w:lastRow="0" w:firstColumn="0" w:lastColumn="0" w:oddVBand="1" w:evenVBand="0" w:oddHBand="0" w:evenHBand="0" w:firstRowFirstColumn="0" w:firstRowLastColumn="0" w:lastRowFirstColumn="0" w:lastRowLastColumn="0"/>
            <w:tcW w:w="1198" w:type="dxa"/>
          </w:tcPr>
          <w:p w14:paraId="6516A6FF" w14:textId="0699A742" w:rsidR="00E3747E" w:rsidRDefault="00BE18D8" w:rsidP="0036552D">
            <w:pPr>
              <w:jc w:val="center"/>
            </w:pPr>
            <w:r>
              <w:t>01/25</w:t>
            </w:r>
          </w:p>
        </w:tc>
      </w:tr>
      <w:tr w:rsidR="0092091A" w14:paraId="2FC82E63" w14:textId="77777777" w:rsidTr="007B67C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70" w:type="dxa"/>
          </w:tcPr>
          <w:p w14:paraId="53247B1A" w14:textId="75A79F88" w:rsidR="0092091A" w:rsidRDefault="0092091A" w:rsidP="0036552D">
            <w:r>
              <w:t xml:space="preserve">Annual review. </w:t>
            </w:r>
            <w:r w:rsidR="00FD4FD0">
              <w:t xml:space="preserve">Description and background updated with no clinical significance. </w:t>
            </w:r>
            <w:r w:rsidR="002F6A40">
              <w:t xml:space="preserve">Criteria </w:t>
            </w:r>
            <w:r w:rsidR="00561F21">
              <w:t xml:space="preserve">updated with no impact </w:t>
            </w:r>
            <w:r w:rsidR="00E9729D">
              <w:t>to</w:t>
            </w:r>
            <w:r w:rsidR="00561F21">
              <w:t xml:space="preserve"> criteria. </w:t>
            </w:r>
            <w:r>
              <w:t xml:space="preserve">References reviewed and updated. </w:t>
            </w:r>
          </w:p>
        </w:tc>
        <w:tc>
          <w:tcPr>
            <w:tcW w:w="1170" w:type="dxa"/>
          </w:tcPr>
          <w:p w14:paraId="39937B2C" w14:textId="64D63036" w:rsidR="0092091A" w:rsidRDefault="0092091A" w:rsidP="0036552D">
            <w:pPr>
              <w:jc w:val="center"/>
              <w:cnfStyle w:val="000000100000" w:firstRow="0" w:lastRow="0" w:firstColumn="0" w:lastColumn="0" w:oddVBand="0" w:evenVBand="0" w:oddHBand="1" w:evenHBand="0" w:firstRowFirstColumn="0" w:firstRowLastColumn="0" w:lastRowFirstColumn="0" w:lastRowLastColumn="0"/>
            </w:pPr>
            <w:r>
              <w:t>06/25</w:t>
            </w:r>
          </w:p>
        </w:tc>
        <w:tc>
          <w:tcPr>
            <w:cnfStyle w:val="000010000000" w:firstRow="0" w:lastRow="0" w:firstColumn="0" w:lastColumn="0" w:oddVBand="1" w:evenVBand="0" w:oddHBand="0" w:evenHBand="0" w:firstRowFirstColumn="0" w:firstRowLastColumn="0" w:lastRowFirstColumn="0" w:lastRowLastColumn="0"/>
            <w:tcW w:w="1198" w:type="dxa"/>
          </w:tcPr>
          <w:p w14:paraId="69E921F2" w14:textId="53E189B5" w:rsidR="0092091A" w:rsidRDefault="00FE5921" w:rsidP="0036552D">
            <w:pPr>
              <w:jc w:val="center"/>
            </w:pPr>
            <w:r>
              <w:t>06/25</w:t>
            </w:r>
          </w:p>
        </w:tc>
      </w:tr>
    </w:tbl>
    <w:p w14:paraId="50F99901" w14:textId="77777777" w:rsidR="002105C1" w:rsidRDefault="002105C1" w:rsidP="0034685C">
      <w:pPr>
        <w:pStyle w:val="Heading3"/>
      </w:pPr>
    </w:p>
    <w:p w14:paraId="126F928C" w14:textId="77777777" w:rsidR="00E52EA7" w:rsidRPr="002105C1" w:rsidRDefault="00E52EA7" w:rsidP="002105C1">
      <w:pPr>
        <w:sectPr w:rsidR="00E52EA7" w:rsidRPr="002105C1" w:rsidSect="00480C09">
          <w:type w:val="continuous"/>
          <w:pgSz w:w="12240" w:h="15840" w:code="1"/>
          <w:pgMar w:top="1440" w:right="1440" w:bottom="1440" w:left="1440" w:header="576" w:footer="288" w:gutter="0"/>
          <w:cols w:space="720"/>
          <w:titlePg/>
          <w:docGrid w:linePitch="360"/>
        </w:sectPr>
      </w:pPr>
    </w:p>
    <w:p w14:paraId="5D55B21D" w14:textId="77777777" w:rsidR="0034685C" w:rsidRPr="0034685C" w:rsidRDefault="0034685C" w:rsidP="0034685C">
      <w:pPr>
        <w:pStyle w:val="Heading3"/>
      </w:pPr>
      <w:r w:rsidRPr="0034685C">
        <w:t>References</w:t>
      </w:r>
    </w:p>
    <w:p w14:paraId="3B9EF7A6" w14:textId="38DF380A" w:rsidR="0034685C" w:rsidRPr="0049105D" w:rsidRDefault="00711BE2" w:rsidP="0034685C">
      <w:pPr>
        <w:pStyle w:val="Heading3"/>
        <w:numPr>
          <w:ilvl w:val="0"/>
          <w:numId w:val="11"/>
        </w:numPr>
        <w:rPr>
          <w:rStyle w:val="cit-lpage"/>
          <w:b w:val="0"/>
          <w:u w:val="single"/>
        </w:rPr>
      </w:pPr>
      <w:r>
        <w:rPr>
          <w:b w:val="0"/>
          <w:shd w:val="clear" w:color="auto" w:fill="FFFFFF"/>
        </w:rPr>
        <w:t>Baker C. Prevention of early-onset group B streptococcal disease in neonates</w:t>
      </w:r>
      <w:r w:rsidR="00961F8A">
        <w:rPr>
          <w:b w:val="0"/>
          <w:shd w:val="clear" w:color="auto" w:fill="FFFFFF"/>
        </w:rPr>
        <w:t xml:space="preserve">. UpToDate. </w:t>
      </w:r>
      <w:hyperlink r:id="rId18" w:history="1">
        <w:r w:rsidR="00961F8A" w:rsidRPr="005740E2">
          <w:rPr>
            <w:rStyle w:val="Hyperlink"/>
            <w:b w:val="0"/>
            <w:shd w:val="clear" w:color="auto" w:fill="FFFFFF"/>
          </w:rPr>
          <w:t>www.uptodate.com.</w:t>
        </w:r>
      </w:hyperlink>
      <w:r w:rsidR="00961F8A">
        <w:rPr>
          <w:b w:val="0"/>
          <w:shd w:val="clear" w:color="auto" w:fill="FFFFFF"/>
        </w:rPr>
        <w:t xml:space="preserve"> Updated January 21, 2025. </w:t>
      </w:r>
      <w:r w:rsidR="005740E2">
        <w:rPr>
          <w:b w:val="0"/>
          <w:shd w:val="clear" w:color="auto" w:fill="FFFFFF"/>
        </w:rPr>
        <w:t xml:space="preserve">Accessed </w:t>
      </w:r>
      <w:r w:rsidR="00E732EC">
        <w:rPr>
          <w:b w:val="0"/>
          <w:shd w:val="clear" w:color="auto" w:fill="FFFFFF"/>
        </w:rPr>
        <w:t>May 5</w:t>
      </w:r>
      <w:r w:rsidR="005740E2">
        <w:rPr>
          <w:b w:val="0"/>
          <w:shd w:val="clear" w:color="auto" w:fill="FFFFFF"/>
        </w:rPr>
        <w:t>, 2025.</w:t>
      </w:r>
      <w:r w:rsidR="004F1028">
        <w:rPr>
          <w:b w:val="0"/>
          <w:shd w:val="clear" w:color="auto" w:fill="FFFFFF"/>
        </w:rPr>
        <w:t xml:space="preserve"> </w:t>
      </w:r>
    </w:p>
    <w:p w14:paraId="5C8F7179" w14:textId="044B6AAD" w:rsidR="0034685C" w:rsidRPr="00413DB8" w:rsidRDefault="0034685C">
      <w:pPr>
        <w:pStyle w:val="Heading3"/>
        <w:numPr>
          <w:ilvl w:val="0"/>
          <w:numId w:val="11"/>
        </w:numPr>
        <w:rPr>
          <w:b w:val="0"/>
        </w:rPr>
      </w:pPr>
      <w:r w:rsidRPr="00D91890">
        <w:rPr>
          <w:b w:val="0"/>
        </w:rPr>
        <w:t xml:space="preserve">Polin RA. Management of Neonates with Suspected or Proven Early-Onset Bacterial Sepsis. </w:t>
      </w:r>
      <w:r w:rsidRPr="00413DB8">
        <w:rPr>
          <w:b w:val="0"/>
          <w:i/>
        </w:rPr>
        <w:t>Ped</w:t>
      </w:r>
      <w:r w:rsidR="000F3F48" w:rsidRPr="00413DB8">
        <w:rPr>
          <w:b w:val="0"/>
          <w:i/>
        </w:rPr>
        <w:t>iatric</w:t>
      </w:r>
      <w:r w:rsidRPr="00413DB8">
        <w:rPr>
          <w:b w:val="0"/>
          <w:i/>
        </w:rPr>
        <w:t>s</w:t>
      </w:r>
      <w:r w:rsidRPr="00413DB8">
        <w:rPr>
          <w:b w:val="0"/>
        </w:rPr>
        <w:t xml:space="preserve">. </w:t>
      </w:r>
      <w:r w:rsidR="000134B7" w:rsidRPr="00413DB8">
        <w:rPr>
          <w:b w:val="0"/>
          <w:bCs w:val="0"/>
          <w:shd w:val="clear" w:color="auto" w:fill="FFFFFF"/>
        </w:rPr>
        <w:t>2012;129(5):1006</w:t>
      </w:r>
      <w:r w:rsidR="00252A55" w:rsidRPr="00413DB8">
        <w:rPr>
          <w:b w:val="0"/>
          <w:bCs w:val="0"/>
          <w:shd w:val="clear" w:color="auto" w:fill="FFFFFF"/>
        </w:rPr>
        <w:t xml:space="preserve"> to </w:t>
      </w:r>
      <w:r w:rsidR="000134B7" w:rsidRPr="00413DB8">
        <w:rPr>
          <w:b w:val="0"/>
          <w:bCs w:val="0"/>
          <w:shd w:val="clear" w:color="auto" w:fill="FFFFFF"/>
        </w:rPr>
        <w:t>1015. doi:10.1542/peds.2012-0541</w:t>
      </w:r>
    </w:p>
    <w:p w14:paraId="70149348" w14:textId="15C96654" w:rsidR="0034685C" w:rsidRPr="00413DB8" w:rsidRDefault="0034685C">
      <w:pPr>
        <w:numPr>
          <w:ilvl w:val="0"/>
          <w:numId w:val="11"/>
        </w:numPr>
        <w:shd w:val="clear" w:color="auto" w:fill="FFFFFF"/>
        <w:jc w:val="both"/>
        <w:rPr>
          <w:lang w:val="en"/>
        </w:rPr>
      </w:pPr>
      <w:r w:rsidRPr="00413DB8">
        <w:rPr>
          <w:rStyle w:val="cit-name-surname"/>
          <w:lang w:val="en"/>
        </w:rPr>
        <w:t>Schuchat</w:t>
      </w:r>
      <w:r w:rsidRPr="00413DB8">
        <w:rPr>
          <w:rStyle w:val="cit-auth2"/>
          <w:lang w:val="en"/>
        </w:rPr>
        <w:t xml:space="preserve"> </w:t>
      </w:r>
      <w:r w:rsidRPr="00413DB8">
        <w:rPr>
          <w:rStyle w:val="cit-name-given-names"/>
          <w:lang w:val="en"/>
        </w:rPr>
        <w:t>A</w:t>
      </w:r>
      <w:r w:rsidRPr="00413DB8">
        <w:rPr>
          <w:lang w:val="en"/>
        </w:rPr>
        <w:t xml:space="preserve">, </w:t>
      </w:r>
      <w:r w:rsidRPr="00413DB8">
        <w:rPr>
          <w:rStyle w:val="cit-name-surname"/>
          <w:lang w:val="en"/>
        </w:rPr>
        <w:t>Zywicki</w:t>
      </w:r>
      <w:r w:rsidRPr="00413DB8">
        <w:rPr>
          <w:rStyle w:val="cit-auth2"/>
          <w:lang w:val="en"/>
        </w:rPr>
        <w:t xml:space="preserve"> </w:t>
      </w:r>
      <w:r w:rsidRPr="00413DB8">
        <w:rPr>
          <w:rStyle w:val="cit-name-given-names"/>
          <w:lang w:val="en"/>
        </w:rPr>
        <w:t>SS</w:t>
      </w:r>
      <w:r w:rsidRPr="00413DB8">
        <w:rPr>
          <w:lang w:val="en"/>
        </w:rPr>
        <w:t xml:space="preserve">, </w:t>
      </w:r>
      <w:r w:rsidRPr="00413DB8">
        <w:rPr>
          <w:rStyle w:val="cit-name-surname"/>
          <w:lang w:val="en"/>
        </w:rPr>
        <w:t>Dinsmoor</w:t>
      </w:r>
      <w:r w:rsidRPr="00413DB8">
        <w:rPr>
          <w:rStyle w:val="cit-auth2"/>
          <w:lang w:val="en"/>
        </w:rPr>
        <w:t xml:space="preserve"> </w:t>
      </w:r>
      <w:r w:rsidRPr="00413DB8">
        <w:rPr>
          <w:rStyle w:val="cit-name-given-names"/>
          <w:lang w:val="en"/>
        </w:rPr>
        <w:t>MJ</w:t>
      </w:r>
      <w:r w:rsidRPr="00413DB8">
        <w:rPr>
          <w:lang w:val="en"/>
        </w:rPr>
        <w:t xml:space="preserve">, </w:t>
      </w:r>
      <w:r w:rsidRPr="00413DB8">
        <w:rPr>
          <w:rStyle w:val="cit-etal"/>
          <w:lang w:val="en"/>
        </w:rPr>
        <w:t>et al</w:t>
      </w:r>
      <w:r w:rsidRPr="00413DB8">
        <w:rPr>
          <w:rStyle w:val="HTMLCite"/>
          <w:iCs/>
          <w:lang w:val="en"/>
        </w:rPr>
        <w:t xml:space="preserve">. </w:t>
      </w:r>
      <w:r w:rsidRPr="00413DB8">
        <w:rPr>
          <w:rStyle w:val="cit-article-title"/>
          <w:iCs/>
          <w:lang w:val="en"/>
        </w:rPr>
        <w:t>Risk factors and opportunities for prevention of early-onset neonatal sepsis: a multicenter case-control study.</w:t>
      </w:r>
      <w:r w:rsidRPr="00413DB8">
        <w:rPr>
          <w:rStyle w:val="HTMLCite"/>
          <w:iCs/>
          <w:lang w:val="en"/>
        </w:rPr>
        <w:t xml:space="preserve"> Ped</w:t>
      </w:r>
      <w:r w:rsidR="000F3F48" w:rsidRPr="00413DB8">
        <w:rPr>
          <w:rStyle w:val="HTMLCite"/>
          <w:iCs/>
          <w:lang w:val="en"/>
        </w:rPr>
        <w:t>iatrics</w:t>
      </w:r>
      <w:r w:rsidRPr="00413DB8">
        <w:rPr>
          <w:rStyle w:val="HTMLCite"/>
          <w:i w:val="0"/>
          <w:iCs/>
          <w:lang w:val="en"/>
        </w:rPr>
        <w:t xml:space="preserve">. </w:t>
      </w:r>
      <w:r w:rsidR="000F3F48" w:rsidRPr="00413DB8">
        <w:rPr>
          <w:rStyle w:val="HTMLCite"/>
          <w:i w:val="0"/>
          <w:iCs/>
          <w:lang w:val="en"/>
        </w:rPr>
        <w:t>2000;105(1 Pt 1):21</w:t>
      </w:r>
      <w:r w:rsidR="001434EC" w:rsidRPr="00413DB8">
        <w:rPr>
          <w:rStyle w:val="HTMLCite"/>
          <w:i w:val="0"/>
          <w:iCs/>
          <w:lang w:val="en"/>
        </w:rPr>
        <w:t xml:space="preserve"> to</w:t>
      </w:r>
      <w:r w:rsidR="0034432E">
        <w:rPr>
          <w:rStyle w:val="HTMLCite"/>
          <w:i w:val="0"/>
          <w:iCs/>
          <w:lang w:val="en"/>
        </w:rPr>
        <w:t xml:space="preserve"> </w:t>
      </w:r>
      <w:r w:rsidR="000F3F48" w:rsidRPr="00413DB8">
        <w:rPr>
          <w:rStyle w:val="HTMLCite"/>
          <w:i w:val="0"/>
          <w:iCs/>
          <w:lang w:val="en"/>
        </w:rPr>
        <w:t>26. doi:10.1542/peds.105.1.21.</w:t>
      </w:r>
    </w:p>
    <w:p w14:paraId="10C8A5B8" w14:textId="6A256136" w:rsidR="0034685C" w:rsidRPr="00413DB8" w:rsidRDefault="0034685C" w:rsidP="00B1387B">
      <w:pPr>
        <w:numPr>
          <w:ilvl w:val="0"/>
          <w:numId w:val="11"/>
        </w:numPr>
        <w:shd w:val="clear" w:color="auto" w:fill="FFFFFF"/>
        <w:autoSpaceDE w:val="0"/>
        <w:autoSpaceDN w:val="0"/>
        <w:adjustRightInd w:val="0"/>
      </w:pPr>
      <w:r w:rsidRPr="00413DB8">
        <w:t xml:space="preserve">Polin RA, Watterberg K, Benitz W, Eichenwald, E. The conundrum of early-onset sepsis.  </w:t>
      </w:r>
      <w:r w:rsidRPr="00413DB8">
        <w:rPr>
          <w:i/>
          <w:iCs/>
        </w:rPr>
        <w:t>Pediatrics</w:t>
      </w:r>
      <w:r w:rsidR="00B1387B" w:rsidRPr="00413DB8">
        <w:t>. 2014;133(6):1122</w:t>
      </w:r>
      <w:r w:rsidR="006E6431" w:rsidRPr="00413DB8">
        <w:t xml:space="preserve"> to </w:t>
      </w:r>
      <w:r w:rsidR="00B1387B" w:rsidRPr="00413DB8">
        <w:t>1123. doi:10.1542/peds.2014-0360</w:t>
      </w:r>
    </w:p>
    <w:p w14:paraId="71ADB2C4" w14:textId="439FBE9A" w:rsidR="00E54676" w:rsidRDefault="00E807CE" w:rsidP="0034685C">
      <w:pPr>
        <w:numPr>
          <w:ilvl w:val="0"/>
          <w:numId w:val="11"/>
        </w:numPr>
        <w:shd w:val="clear" w:color="auto" w:fill="FFFFFF"/>
        <w:autoSpaceDE w:val="0"/>
        <w:autoSpaceDN w:val="0"/>
        <w:adjustRightInd w:val="0"/>
      </w:pPr>
      <w:r>
        <w:t>Cantey, JB</w:t>
      </w:r>
      <w:r w:rsidR="0034685C" w:rsidRPr="00413DB8">
        <w:t xml:space="preserve">. </w:t>
      </w:r>
      <w:r>
        <w:t xml:space="preserve">Neonatal bacterial sepsis: </w:t>
      </w:r>
      <w:r w:rsidR="0034685C" w:rsidRPr="00413DB8">
        <w:t>Clinical features</w:t>
      </w:r>
      <w:r w:rsidR="00187AEF" w:rsidRPr="00413DB8">
        <w:t xml:space="preserve"> </w:t>
      </w:r>
      <w:r w:rsidR="0034685C" w:rsidRPr="00413DB8">
        <w:t xml:space="preserve">and diagnosis in </w:t>
      </w:r>
      <w:r>
        <w:t xml:space="preserve">neonates </w:t>
      </w:r>
      <w:r w:rsidR="00062C38">
        <w:t xml:space="preserve">born at or after </w:t>
      </w:r>
      <w:r>
        <w:t>35 weeks gestation</w:t>
      </w:r>
      <w:r w:rsidR="0034685C" w:rsidRPr="00413DB8">
        <w:t>. UpToDate</w:t>
      </w:r>
      <w:r w:rsidR="00B1387B" w:rsidRPr="00413DB8">
        <w:t xml:space="preserve">. </w:t>
      </w:r>
      <w:hyperlink r:id="rId19" w:history="1">
        <w:r w:rsidR="00B1387B" w:rsidRPr="004A2DF3">
          <w:rPr>
            <w:rStyle w:val="Hyperlink"/>
          </w:rPr>
          <w:t>www.uptodate.com</w:t>
        </w:r>
      </w:hyperlink>
      <w:r w:rsidR="00B1387B">
        <w:t xml:space="preserve">. </w:t>
      </w:r>
      <w:r w:rsidR="00B1387B" w:rsidRPr="0049105D">
        <w:t>Updated</w:t>
      </w:r>
      <w:r w:rsidR="006A1DDA">
        <w:t xml:space="preserve"> November 11, 2024</w:t>
      </w:r>
      <w:r w:rsidR="00B1387B" w:rsidRPr="00413DB8">
        <w:t>.</w:t>
      </w:r>
      <w:r w:rsidR="0034685C" w:rsidRPr="00413DB8">
        <w:t xml:space="preserve"> Accessed </w:t>
      </w:r>
      <w:r w:rsidR="0028741F">
        <w:t>May 5</w:t>
      </w:r>
      <w:r w:rsidR="008661DA">
        <w:t>, 2025</w:t>
      </w:r>
      <w:r w:rsidR="006A1DDA">
        <w:t xml:space="preserve">. </w:t>
      </w:r>
    </w:p>
    <w:p w14:paraId="0A95DB99" w14:textId="79239307" w:rsidR="00E54676" w:rsidRDefault="00E54676" w:rsidP="00E54676">
      <w:pPr>
        <w:pStyle w:val="ListParagraph"/>
        <w:numPr>
          <w:ilvl w:val="0"/>
          <w:numId w:val="11"/>
        </w:numPr>
      </w:pPr>
      <w:r w:rsidRPr="00E54676">
        <w:t xml:space="preserve">Puopolo KM, Benitz WE, Zaoutis TE; Committee on fetus and newborn; committee on infectious diseases. Management of neonates born at ≤34 6/7 weeks' gestation with suspected or proven early-onset bacterial sepsis. </w:t>
      </w:r>
      <w:r w:rsidRPr="00E54676">
        <w:rPr>
          <w:i/>
          <w:iCs/>
        </w:rPr>
        <w:t>Pediatrics</w:t>
      </w:r>
      <w:r w:rsidRPr="00E54676">
        <w:t>. 2018;142(6):e20182896. doi:10.1542/peds.2018-2896</w:t>
      </w:r>
    </w:p>
    <w:p w14:paraId="2A1A3AA4" w14:textId="4FB3525E" w:rsidR="00E54676" w:rsidRDefault="00E54676" w:rsidP="00E54676">
      <w:pPr>
        <w:pStyle w:val="ListParagraph"/>
        <w:numPr>
          <w:ilvl w:val="0"/>
          <w:numId w:val="11"/>
        </w:numPr>
      </w:pPr>
      <w:r w:rsidRPr="00E54676">
        <w:t xml:space="preserve">Puopolo KM, Benitz WE, Zaoutis TE; Committee on fetus and newborn; committee on infectious diseases. Management of neonates born at ≥35 0/7 weeks' gestation with suspected or proven early-onset bacterial sepsis. </w:t>
      </w:r>
      <w:r w:rsidRPr="00E54676">
        <w:rPr>
          <w:i/>
          <w:iCs/>
        </w:rPr>
        <w:t>Pediatrics</w:t>
      </w:r>
      <w:r w:rsidRPr="00E54676">
        <w:t xml:space="preserve">. 2018;142(6):e20182894. doi:10.1542/peds.2018-2894 </w:t>
      </w:r>
    </w:p>
    <w:p w14:paraId="3276BF5F" w14:textId="1F31F7DE" w:rsidR="00E40D8D" w:rsidRPr="00413DB8" w:rsidRDefault="00555624" w:rsidP="00E54676">
      <w:pPr>
        <w:pStyle w:val="ListParagraph"/>
        <w:numPr>
          <w:ilvl w:val="0"/>
          <w:numId w:val="11"/>
        </w:numPr>
      </w:pPr>
      <w:r w:rsidRPr="00555624">
        <w:t>Puopolo KM, Lynfield R, Cummings JJ; American Academy of Pediatrics, Committee on Fetus and Newborn, Committee on Infectious Diseases. Management of Infants at Risk for Group B Streptococcal Disease. </w:t>
      </w:r>
      <w:r w:rsidRPr="00555624">
        <w:rPr>
          <w:i/>
          <w:iCs/>
        </w:rPr>
        <w:t>Pediatrics.</w:t>
      </w:r>
      <w:r w:rsidRPr="00555624">
        <w:t> 2019;144(2):e20191881. </w:t>
      </w:r>
      <w:r w:rsidRPr="00555624">
        <w:rPr>
          <w:i/>
          <w:iCs/>
        </w:rPr>
        <w:t>Pediatrics</w:t>
      </w:r>
      <w:r w:rsidRPr="00555624">
        <w:t>. 2019;144(4):e20192350. doi:10.1542/peds.2019-2350</w:t>
      </w:r>
    </w:p>
    <w:p w14:paraId="29401DA1" w14:textId="346CB04F" w:rsidR="008118F3" w:rsidRPr="00413DB8" w:rsidRDefault="00B1387B" w:rsidP="008118F3">
      <w:pPr>
        <w:pStyle w:val="ListParagraph"/>
        <w:numPr>
          <w:ilvl w:val="0"/>
          <w:numId w:val="11"/>
        </w:numPr>
      </w:pPr>
      <w:r w:rsidRPr="00413DB8">
        <w:t xml:space="preserve">Prevention of Group B Streptococcal Early-Onset Disease in Newborns: ACOG Committee Opinion, Number 797 [published correction appears in Obstet Gynecol. 2020 Apr;135(4):978-979]. </w:t>
      </w:r>
      <w:r w:rsidRPr="00413DB8">
        <w:rPr>
          <w:i/>
        </w:rPr>
        <w:t>Obstet Gynecol</w:t>
      </w:r>
      <w:r w:rsidRPr="00413DB8">
        <w:t>. 2020;135(2):e51</w:t>
      </w:r>
      <w:r w:rsidR="00136632" w:rsidRPr="00413DB8">
        <w:t xml:space="preserve"> to </w:t>
      </w:r>
      <w:r w:rsidRPr="00413DB8">
        <w:t>e72. doi:10.1097/AOG.0000000000003668.</w:t>
      </w:r>
    </w:p>
    <w:p w14:paraId="2C77EBE8" w14:textId="38732B61" w:rsidR="00C5211E" w:rsidRPr="00413DB8" w:rsidRDefault="00C5211E" w:rsidP="008118F3">
      <w:pPr>
        <w:pStyle w:val="ListParagraph"/>
        <w:numPr>
          <w:ilvl w:val="0"/>
          <w:numId w:val="11"/>
        </w:numPr>
      </w:pPr>
      <w:r w:rsidRPr="00413DB8">
        <w:t xml:space="preserve">Pammi M. </w:t>
      </w:r>
      <w:r w:rsidR="00836D14">
        <w:t xml:space="preserve">Neonatal bacterial sepsis: </w:t>
      </w:r>
      <w:r w:rsidRPr="00413DB8">
        <w:t xml:space="preserve">Clinical features and diagnosis in </w:t>
      </w:r>
      <w:r w:rsidR="00836D14">
        <w:t xml:space="preserve">neonates </w:t>
      </w:r>
      <w:r w:rsidR="00005FD6">
        <w:t>born at less than 35</w:t>
      </w:r>
      <w:r w:rsidRPr="00413DB8">
        <w:t xml:space="preserve"> weeks gestation. UpToDate. </w:t>
      </w:r>
      <w:hyperlink r:id="rId20" w:history="1">
        <w:r w:rsidR="003C73EF" w:rsidRPr="00DF23DD">
          <w:rPr>
            <w:rStyle w:val="Hyperlink"/>
          </w:rPr>
          <w:t>www.uptodate.com</w:t>
        </w:r>
      </w:hyperlink>
      <w:r w:rsidR="003C73EF">
        <w:t xml:space="preserve">. </w:t>
      </w:r>
      <w:r w:rsidRPr="0049105D">
        <w:t>Updated</w:t>
      </w:r>
      <w:r w:rsidR="00836D14">
        <w:t xml:space="preserve"> November 11, 2024</w:t>
      </w:r>
      <w:r w:rsidRPr="0049105D">
        <w:t>. Accessed</w:t>
      </w:r>
      <w:r w:rsidR="00836D14">
        <w:t xml:space="preserve"> </w:t>
      </w:r>
      <w:r w:rsidR="00705EBF">
        <w:t>May 5</w:t>
      </w:r>
      <w:r w:rsidR="002C309A">
        <w:t>, 2025</w:t>
      </w:r>
      <w:r w:rsidRPr="00413DB8">
        <w:t>.</w:t>
      </w:r>
    </w:p>
    <w:p w14:paraId="44F70D13" w14:textId="4FCF21A5" w:rsidR="00B1387B" w:rsidRPr="00D91890" w:rsidRDefault="00C75A35" w:rsidP="00723C0A">
      <w:pPr>
        <w:pStyle w:val="ListParagraph"/>
        <w:numPr>
          <w:ilvl w:val="0"/>
          <w:numId w:val="11"/>
        </w:numPr>
      </w:pPr>
      <w:r w:rsidRPr="00413DB8">
        <w:t xml:space="preserve">Puopolo, KM. </w:t>
      </w:r>
      <w:r w:rsidR="009911F2">
        <w:t>Approach to risk assessment and initial m</w:t>
      </w:r>
      <w:r w:rsidRPr="00413DB8">
        <w:t xml:space="preserve">anagement of </w:t>
      </w:r>
      <w:r w:rsidR="003C73EF" w:rsidRPr="00413DB8">
        <w:t>ne</w:t>
      </w:r>
      <w:r w:rsidR="009911F2">
        <w:t>wborns with</w:t>
      </w:r>
      <w:r w:rsidR="003C73EF" w:rsidRPr="00413DB8">
        <w:t xml:space="preserve"> risk </w:t>
      </w:r>
      <w:r w:rsidR="00075A8C">
        <w:t xml:space="preserve">factors </w:t>
      </w:r>
      <w:r w:rsidR="003C73EF" w:rsidRPr="00413DB8">
        <w:t>for early-onset</w:t>
      </w:r>
      <w:r w:rsidR="00075A8C">
        <w:t xml:space="preserve"> sepsis</w:t>
      </w:r>
      <w:r w:rsidR="003C73EF" w:rsidRPr="00413DB8">
        <w:t xml:space="preserve">. UpToDate. </w:t>
      </w:r>
      <w:hyperlink r:id="rId21" w:history="1">
        <w:r w:rsidR="003C73EF" w:rsidRPr="00DF23DD">
          <w:rPr>
            <w:rStyle w:val="Hyperlink"/>
          </w:rPr>
          <w:t>www.uptodate.com</w:t>
        </w:r>
      </w:hyperlink>
      <w:r w:rsidR="003C73EF">
        <w:t xml:space="preserve">. </w:t>
      </w:r>
      <w:r w:rsidR="003C73EF" w:rsidRPr="0049105D">
        <w:t xml:space="preserve">Updated </w:t>
      </w:r>
      <w:r w:rsidR="003E6966">
        <w:t>April 21, 2025</w:t>
      </w:r>
      <w:r w:rsidR="003C73EF" w:rsidRPr="0049105D">
        <w:t>. Accessed</w:t>
      </w:r>
      <w:r w:rsidR="00075A8C">
        <w:t xml:space="preserve"> </w:t>
      </w:r>
      <w:r w:rsidR="006A3018">
        <w:t>May 5</w:t>
      </w:r>
      <w:r w:rsidR="003E6966">
        <w:t>, 2025</w:t>
      </w:r>
      <w:r w:rsidR="003C73EF" w:rsidRPr="0049105D">
        <w:t>.</w:t>
      </w:r>
    </w:p>
    <w:p w14:paraId="7EE56918" w14:textId="7C865F57" w:rsidR="0030550F" w:rsidRPr="00413DB8" w:rsidRDefault="0030550F" w:rsidP="00723C0A">
      <w:pPr>
        <w:pStyle w:val="ListParagraph"/>
        <w:numPr>
          <w:ilvl w:val="0"/>
          <w:numId w:val="11"/>
        </w:numPr>
      </w:pPr>
      <w:r w:rsidRPr="00413DB8">
        <w:t xml:space="preserve">Cantey JB, Prusakov P. A </w:t>
      </w:r>
      <w:r w:rsidR="00136632" w:rsidRPr="00413DB8">
        <w:t>proposed framework for the clinical management of neonatal "culture-negative" sepsis</w:t>
      </w:r>
      <w:r w:rsidRPr="00413DB8">
        <w:t>. </w:t>
      </w:r>
      <w:r w:rsidRPr="00E54676">
        <w:rPr>
          <w:i/>
          <w:iCs/>
        </w:rPr>
        <w:t>J Pediatr.</w:t>
      </w:r>
      <w:r w:rsidRPr="0049105D">
        <w:t xml:space="preserve"> 2022;244:203</w:t>
      </w:r>
      <w:r w:rsidR="00FD14DB" w:rsidRPr="00D91890">
        <w:t xml:space="preserve"> to </w:t>
      </w:r>
      <w:r w:rsidRPr="00413DB8">
        <w:t>211. doi:10.1016/j.jpeds.2022.01.006</w:t>
      </w:r>
    </w:p>
    <w:p w14:paraId="655FD24B" w14:textId="77777777" w:rsidR="00D404AB" w:rsidRPr="00413DB8" w:rsidRDefault="008C059A" w:rsidP="00D404AB">
      <w:pPr>
        <w:pStyle w:val="ListParagraph"/>
        <w:numPr>
          <w:ilvl w:val="0"/>
          <w:numId w:val="11"/>
        </w:numPr>
      </w:pPr>
      <w:r w:rsidRPr="00413DB8">
        <w:t>Paul SP, Khattak H, Kini PK, Heaton PA, Goel N. NICE guideline review: neonatal infection: antibiotics for prevention and treatment (NG195) [published online ahead of print</w:t>
      </w:r>
      <w:r w:rsidRPr="008118F3">
        <w:t xml:space="preserve">, </w:t>
      </w:r>
      <w:r w:rsidRPr="0049105D">
        <w:lastRenderedPageBreak/>
        <w:t>2021 Nov 12]. </w:t>
      </w:r>
      <w:r w:rsidRPr="00D91890">
        <w:rPr>
          <w:i/>
          <w:iCs/>
        </w:rPr>
        <w:t>Arch Dis Child Educ Pract Ed</w:t>
      </w:r>
      <w:r w:rsidRPr="00413DB8">
        <w:t>. 2021;edpract-2021-322349. doi:10.1136/archdischild-2021-322349</w:t>
      </w:r>
    </w:p>
    <w:p w14:paraId="54BD763B" w14:textId="4A0488FC" w:rsidR="00875924" w:rsidRPr="00413DB8" w:rsidRDefault="008118F3" w:rsidP="00D404AB">
      <w:pPr>
        <w:pStyle w:val="ListParagraph"/>
        <w:numPr>
          <w:ilvl w:val="0"/>
          <w:numId w:val="11"/>
        </w:numPr>
      </w:pPr>
      <w:r w:rsidRPr="00413DB8">
        <w:t xml:space="preserve">Dhudasia MB, Flannery DD, Pfeifer MR, Puopolo KM. Updated Guidance: Prevention and </w:t>
      </w:r>
      <w:r w:rsidR="001722E5" w:rsidRPr="00413DB8">
        <w:t xml:space="preserve">management of perinatal </w:t>
      </w:r>
      <w:r w:rsidRPr="00413DB8">
        <w:t xml:space="preserve">Group B </w:t>
      </w:r>
      <w:r w:rsidR="001722E5" w:rsidRPr="00413DB8">
        <w:t>streptococcus infection</w:t>
      </w:r>
      <w:r w:rsidRPr="00413DB8">
        <w:t xml:space="preserve">. </w:t>
      </w:r>
      <w:r w:rsidRPr="00413DB8">
        <w:rPr>
          <w:i/>
          <w:iCs/>
        </w:rPr>
        <w:t>Neoreviews</w:t>
      </w:r>
      <w:r w:rsidRPr="00413DB8">
        <w:t>. 2021;22(3):e177</w:t>
      </w:r>
      <w:r w:rsidR="00B679A4" w:rsidRPr="00413DB8">
        <w:t xml:space="preserve"> to </w:t>
      </w:r>
      <w:r w:rsidRPr="00413DB8">
        <w:t>e188. doi:10.1542/neo.22-3-e177</w:t>
      </w:r>
    </w:p>
    <w:p w14:paraId="6AFC81DD" w14:textId="269F7F73" w:rsidR="00027061" w:rsidRPr="00413DB8" w:rsidRDefault="00DD2352" w:rsidP="00D404AB">
      <w:pPr>
        <w:pStyle w:val="ListParagraph"/>
        <w:numPr>
          <w:ilvl w:val="0"/>
          <w:numId w:val="11"/>
        </w:numPr>
      </w:pPr>
      <w:r w:rsidRPr="00413DB8">
        <w:t xml:space="preserve">Pammi M. </w:t>
      </w:r>
      <w:r w:rsidR="00D57046">
        <w:t xml:space="preserve">Neonatal bacterial sepsis: </w:t>
      </w:r>
      <w:r w:rsidRPr="00413DB8">
        <w:t>Treatment</w:t>
      </w:r>
      <w:r w:rsidR="00882BFA">
        <w:t xml:space="preserve">, </w:t>
      </w:r>
      <w:r w:rsidRPr="00413DB8">
        <w:t>prevention</w:t>
      </w:r>
      <w:r w:rsidR="00882BFA">
        <w:t>, and outcome in neonates</w:t>
      </w:r>
      <w:r w:rsidRPr="00413DB8">
        <w:t xml:space="preserve"> </w:t>
      </w:r>
      <w:r w:rsidR="001216AD">
        <w:t xml:space="preserve">born at less than </w:t>
      </w:r>
      <w:r w:rsidRPr="00413DB8">
        <w:t>3</w:t>
      </w:r>
      <w:r w:rsidR="00882BFA">
        <w:t>5</w:t>
      </w:r>
      <w:r w:rsidRPr="00413DB8">
        <w:t xml:space="preserve"> weeks ge</w:t>
      </w:r>
      <w:r w:rsidR="00645C23" w:rsidRPr="00413DB8">
        <w:t>station. UpToDate</w:t>
      </w:r>
      <w:r w:rsidR="00645C23">
        <w:t xml:space="preserve">. </w:t>
      </w:r>
      <w:hyperlink r:id="rId22" w:history="1">
        <w:r w:rsidR="00645C23" w:rsidRPr="00974183">
          <w:rPr>
            <w:rStyle w:val="Hyperlink"/>
          </w:rPr>
          <w:t>www.uptodate.com</w:t>
        </w:r>
      </w:hyperlink>
      <w:r w:rsidR="00645C23">
        <w:t xml:space="preserve">. </w:t>
      </w:r>
      <w:r w:rsidR="00645C23" w:rsidRPr="0049105D">
        <w:t>Updated</w:t>
      </w:r>
      <w:r w:rsidR="00882BFA">
        <w:t xml:space="preserve"> February </w:t>
      </w:r>
      <w:r w:rsidR="00364293">
        <w:t>15, 2024</w:t>
      </w:r>
      <w:r w:rsidR="00645C23" w:rsidRPr="00D91890">
        <w:t xml:space="preserve">. Accessed </w:t>
      </w:r>
      <w:r w:rsidR="001216AD">
        <w:t>May 5</w:t>
      </w:r>
      <w:r w:rsidR="000856F3">
        <w:t>, 2025</w:t>
      </w:r>
      <w:r w:rsidR="00364293">
        <w:t xml:space="preserve">. </w:t>
      </w:r>
    </w:p>
    <w:p w14:paraId="4540FBF1" w14:textId="3601D26A" w:rsidR="004666A6" w:rsidRDefault="004666A6" w:rsidP="00D404AB">
      <w:pPr>
        <w:pStyle w:val="ListParagraph"/>
        <w:numPr>
          <w:ilvl w:val="0"/>
          <w:numId w:val="11"/>
        </w:numPr>
      </w:pPr>
      <w:r w:rsidRPr="00413DB8">
        <w:t>Choi Y, Han HS, Chong GO, et al. Updates on Group B </w:t>
      </w:r>
      <w:r w:rsidRPr="00413DB8">
        <w:rPr>
          <w:i/>
          <w:iCs/>
        </w:rPr>
        <w:t>Streptococcus</w:t>
      </w:r>
      <w:r w:rsidRPr="00413DB8">
        <w:t> Infection in the Field of Obstetrics and Gynecology. </w:t>
      </w:r>
      <w:r w:rsidRPr="00413DB8">
        <w:rPr>
          <w:i/>
          <w:iCs/>
        </w:rPr>
        <w:t>Microorganisms</w:t>
      </w:r>
      <w:r w:rsidRPr="00413DB8">
        <w:t>. 2022;10(12):2398. Published 2022 Dec 2. doi:10.3390/microorganisms10122398</w:t>
      </w:r>
    </w:p>
    <w:p w14:paraId="635033BD" w14:textId="2829CC3A" w:rsidR="00AB10AC" w:rsidRPr="005E2111" w:rsidRDefault="00AB10AC" w:rsidP="00D404AB">
      <w:pPr>
        <w:pStyle w:val="ListParagraph"/>
        <w:numPr>
          <w:ilvl w:val="0"/>
          <w:numId w:val="11"/>
        </w:numPr>
      </w:pPr>
      <w:r w:rsidRPr="005E2111">
        <w:rPr>
          <w:color w:val="212121"/>
          <w:shd w:val="clear" w:color="auto" w:fill="FFFFFF"/>
        </w:rPr>
        <w:t>Ershad M, Mostafa A, Dela Cruz M, Vearrier D. Neonatal Sepsis. </w:t>
      </w:r>
      <w:r w:rsidRPr="005E2111">
        <w:rPr>
          <w:i/>
          <w:iCs/>
          <w:color w:val="212121"/>
          <w:shd w:val="clear" w:color="auto" w:fill="FFFFFF"/>
        </w:rPr>
        <w:t>Curr Emerg Hosp Med Rep</w:t>
      </w:r>
      <w:r w:rsidRPr="005E2111">
        <w:rPr>
          <w:color w:val="212121"/>
          <w:shd w:val="clear" w:color="auto" w:fill="FFFFFF"/>
        </w:rPr>
        <w:t>. 2019;7(3):83</w:t>
      </w:r>
      <w:r w:rsidR="004A1D55">
        <w:rPr>
          <w:color w:val="212121"/>
          <w:shd w:val="clear" w:color="auto" w:fill="FFFFFF"/>
        </w:rPr>
        <w:t xml:space="preserve"> to </w:t>
      </w:r>
      <w:r w:rsidRPr="005E2111">
        <w:rPr>
          <w:color w:val="212121"/>
          <w:shd w:val="clear" w:color="auto" w:fill="FFFFFF"/>
        </w:rPr>
        <w:t>90. doi:10.1007/s40138-019-00188-z</w:t>
      </w:r>
    </w:p>
    <w:p w14:paraId="3BCB513D" w14:textId="678B9B62" w:rsidR="00773D66" w:rsidRPr="005E2111" w:rsidRDefault="00130122" w:rsidP="00773D66">
      <w:pPr>
        <w:pStyle w:val="ListParagraph"/>
        <w:numPr>
          <w:ilvl w:val="0"/>
          <w:numId w:val="11"/>
        </w:numPr>
        <w:ind w:right="720"/>
        <w:rPr>
          <w:color w:val="000000"/>
        </w:rPr>
      </w:pPr>
      <w:r w:rsidRPr="005E2111">
        <w:rPr>
          <w:color w:val="000000"/>
        </w:rPr>
        <w:t>Singh</w:t>
      </w:r>
      <w:r w:rsidR="00730E88">
        <w:rPr>
          <w:color w:val="000000"/>
        </w:rPr>
        <w:t xml:space="preserve"> M</w:t>
      </w:r>
      <w:r w:rsidRPr="005E2111">
        <w:rPr>
          <w:color w:val="000000"/>
        </w:rPr>
        <w:t xml:space="preserve">, </w:t>
      </w:r>
      <w:r w:rsidR="00F720A3">
        <w:rPr>
          <w:color w:val="000000"/>
        </w:rPr>
        <w:t xml:space="preserve">Alsaleem M, </w:t>
      </w:r>
      <w:r w:rsidRPr="005E2111">
        <w:rPr>
          <w:color w:val="000000"/>
        </w:rPr>
        <w:t xml:space="preserve">Gray CP. Neonatal Sepsis. </w:t>
      </w:r>
      <w:r w:rsidRPr="001C0964">
        <w:rPr>
          <w:i/>
          <w:iCs/>
          <w:color w:val="000000"/>
        </w:rPr>
        <w:t>N</w:t>
      </w:r>
      <w:r w:rsidR="00323011">
        <w:rPr>
          <w:i/>
          <w:iCs/>
          <w:color w:val="000000"/>
        </w:rPr>
        <w:t>IH</w:t>
      </w:r>
      <w:r w:rsidRPr="001C0964">
        <w:rPr>
          <w:i/>
          <w:iCs/>
          <w:color w:val="000000"/>
        </w:rPr>
        <w:t>.</w:t>
      </w:r>
      <w:r w:rsidRPr="005E2111">
        <w:rPr>
          <w:color w:val="000000"/>
        </w:rPr>
        <w:t xml:space="preserve"> </w:t>
      </w:r>
      <w:hyperlink r:id="rId23" w:history="1">
        <w:r w:rsidR="00F5117E" w:rsidRPr="009E0BC1">
          <w:rPr>
            <w:rStyle w:val="Hyperlink"/>
          </w:rPr>
          <w:t>https://www.ncbi.nlm.nih.gov/books/NBK531478/</w:t>
        </w:r>
      </w:hyperlink>
      <w:r w:rsidR="00F5117E">
        <w:t xml:space="preserve">. </w:t>
      </w:r>
      <w:r w:rsidRPr="005E2111">
        <w:rPr>
          <w:color w:val="000000"/>
        </w:rPr>
        <w:t xml:space="preserve">Published July 15, 2019. </w:t>
      </w:r>
      <w:r w:rsidR="00B11F93">
        <w:rPr>
          <w:color w:val="000000"/>
        </w:rPr>
        <w:t xml:space="preserve">Updated </w:t>
      </w:r>
      <w:r w:rsidR="00412409">
        <w:rPr>
          <w:color w:val="000000"/>
        </w:rPr>
        <w:t xml:space="preserve">September 29, 2022. </w:t>
      </w:r>
      <w:r w:rsidR="00125D7C">
        <w:rPr>
          <w:color w:val="000000"/>
        </w:rPr>
        <w:t xml:space="preserve">Accessed May 5, 2025. </w:t>
      </w:r>
    </w:p>
    <w:p w14:paraId="02DC5FAA" w14:textId="03B49F4E" w:rsidR="007D09FB" w:rsidRPr="005E2111" w:rsidRDefault="00C36EB0" w:rsidP="00773D66">
      <w:pPr>
        <w:pStyle w:val="ListParagraph"/>
        <w:numPr>
          <w:ilvl w:val="0"/>
          <w:numId w:val="11"/>
        </w:numPr>
        <w:ind w:right="720"/>
        <w:rPr>
          <w:color w:val="000000"/>
        </w:rPr>
      </w:pPr>
      <w:r w:rsidRPr="00C36EB0">
        <w:rPr>
          <w:color w:val="000000"/>
        </w:rPr>
        <w:t>Briggs-Steinberg C, Roth P. Early-Onset Sepsis in Newborns. </w:t>
      </w:r>
      <w:r w:rsidRPr="00C36EB0">
        <w:rPr>
          <w:i/>
          <w:iCs/>
          <w:color w:val="000000"/>
        </w:rPr>
        <w:t>Pediatr Rev</w:t>
      </w:r>
      <w:r w:rsidRPr="00C36EB0">
        <w:rPr>
          <w:color w:val="000000"/>
        </w:rPr>
        <w:t>. 2023;44(1):14</w:t>
      </w:r>
      <w:r w:rsidR="004A1D55">
        <w:rPr>
          <w:color w:val="000000"/>
        </w:rPr>
        <w:t xml:space="preserve"> to </w:t>
      </w:r>
      <w:r w:rsidRPr="00C36EB0">
        <w:rPr>
          <w:color w:val="000000"/>
        </w:rPr>
        <w:t>22. doi:10.1542/pir.2020-001164</w:t>
      </w:r>
    </w:p>
    <w:p w14:paraId="5B38C21A" w14:textId="6D3EB737" w:rsidR="00773D66" w:rsidRDefault="00773D66" w:rsidP="00773D66">
      <w:pPr>
        <w:pStyle w:val="ListParagraph"/>
        <w:numPr>
          <w:ilvl w:val="0"/>
          <w:numId w:val="11"/>
        </w:numPr>
        <w:ind w:right="720"/>
        <w:rPr>
          <w:color w:val="000000"/>
        </w:rPr>
      </w:pPr>
      <w:r w:rsidRPr="005E2111">
        <w:rPr>
          <w:color w:val="000000"/>
        </w:rPr>
        <w:t>‌</w:t>
      </w:r>
      <w:r w:rsidR="008F2F85" w:rsidRPr="005E2111">
        <w:rPr>
          <w:color w:val="000000"/>
        </w:rPr>
        <w:t>Stoll BJ, Puopolo KM, Hansen NI, et al. Early-Onset Neonatal Sepsis 2015 to 2017, the Rise of Escherichia coli, and the Need for Novel Prevention Strategies [published correction appears in JAMA Pediatr. 2021 Feb 1;175(2):212]. JAMA Pediatr. 2020;174(7):e200593. doi:10.1001/jamapediatrics.2020.0593</w:t>
      </w:r>
    </w:p>
    <w:p w14:paraId="44ABE0CA" w14:textId="22FDDC9F" w:rsidR="007D0C58" w:rsidRPr="005E2111" w:rsidRDefault="00DC21B1" w:rsidP="00773D66">
      <w:pPr>
        <w:pStyle w:val="ListParagraph"/>
        <w:numPr>
          <w:ilvl w:val="0"/>
          <w:numId w:val="11"/>
        </w:numPr>
        <w:ind w:right="720"/>
        <w:rPr>
          <w:color w:val="000000"/>
        </w:rPr>
      </w:pPr>
      <w:r w:rsidRPr="00DC21B1">
        <w:rPr>
          <w:color w:val="000000"/>
        </w:rPr>
        <w:t xml:space="preserve">Pantell RH, Roberts KB, Adams WG, Dreyer BP, Kuppermann N, O'Leary ST, Okechukwu K, Woods CR Jr; SUBCOMMITTEE ON FEBRILE INFANTS. Evaluation and Management of Well-Appearing Febrile Infants 8 to 60 Days Old. Pediatrics. 2021 Aug;148(2):e2021052228. doi: 10.1542/peds.2021-052228. Epub 2021 Jul 19. Erratum in: Pediatrics. 2021 Nov;148(5):e2021054063. doi: 10.1542/peds.2021-054063. </w:t>
      </w:r>
    </w:p>
    <w:p w14:paraId="42E9AAF6" w14:textId="77777777" w:rsidR="008118F3" w:rsidRPr="004D00D1" w:rsidRDefault="008118F3" w:rsidP="00723C0A">
      <w:pPr>
        <w:pStyle w:val="ListParagraph"/>
        <w:ind w:left="360"/>
        <w:rPr>
          <w:i/>
          <w:iCs/>
        </w:rPr>
      </w:pPr>
    </w:p>
    <w:p w14:paraId="036D9798" w14:textId="77777777" w:rsidR="00233805" w:rsidRPr="00146C6E" w:rsidRDefault="00233805" w:rsidP="00233805">
      <w:pPr>
        <w:rPr>
          <w:rFonts w:eastAsiaTheme="minorHAnsi"/>
          <w:b/>
          <w:u w:val="single"/>
        </w:rPr>
      </w:pPr>
      <w:bookmarkStart w:id="5" w:name="Important_Reminder"/>
      <w:r w:rsidRPr="00146C6E">
        <w:rPr>
          <w:rFonts w:eastAsiaTheme="minorHAnsi"/>
          <w:b/>
          <w:bCs/>
          <w:u w:val="single"/>
        </w:rPr>
        <w:t>Important Reminder</w:t>
      </w:r>
    </w:p>
    <w:bookmarkEnd w:id="5"/>
    <w:p w14:paraId="1E5D53C0" w14:textId="77777777" w:rsidR="00233805" w:rsidRPr="00146C6E" w:rsidRDefault="00233805" w:rsidP="00233805">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7D62A2B2" w14:textId="77777777" w:rsidR="00233805" w:rsidRPr="00146C6E" w:rsidRDefault="00233805" w:rsidP="00233805">
      <w:pPr>
        <w:rPr>
          <w:rFonts w:eastAsiaTheme="minorHAnsi"/>
        </w:rPr>
      </w:pPr>
    </w:p>
    <w:p w14:paraId="4C087E79" w14:textId="77777777" w:rsidR="00233805" w:rsidRPr="00146C6E" w:rsidRDefault="00233805" w:rsidP="00233805">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w:t>
      </w:r>
      <w:r w:rsidRPr="00146C6E">
        <w:rPr>
          <w:rFonts w:eastAsiaTheme="minorHAnsi"/>
        </w:rPr>
        <w:lastRenderedPageBreak/>
        <w:t xml:space="preserve">limitations of the coverage documents (e.g., evidence of coverage, certificate of coverage, policy, contract of insurance, etc.), as well as to state and federal requirements and applicable Health Plan-level administrative policies and procedures.   </w:t>
      </w:r>
    </w:p>
    <w:p w14:paraId="7CE8D2E0" w14:textId="77777777" w:rsidR="00233805" w:rsidRPr="00146C6E" w:rsidRDefault="00233805" w:rsidP="00233805">
      <w:pPr>
        <w:rPr>
          <w:rFonts w:eastAsiaTheme="minorHAnsi"/>
        </w:rPr>
      </w:pPr>
    </w:p>
    <w:p w14:paraId="0AEEE34C" w14:textId="77777777" w:rsidR="00233805" w:rsidRPr="00146C6E" w:rsidRDefault="00233805" w:rsidP="00233805">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0992A145" w14:textId="77777777" w:rsidR="00233805" w:rsidRPr="00146C6E" w:rsidRDefault="00233805" w:rsidP="00233805">
      <w:pPr>
        <w:rPr>
          <w:rFonts w:eastAsiaTheme="minorHAnsi"/>
        </w:rPr>
      </w:pPr>
    </w:p>
    <w:p w14:paraId="5941928E" w14:textId="363F32BC" w:rsidR="00233805" w:rsidRPr="00146C6E" w:rsidRDefault="00233805" w:rsidP="00233805">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care, and are solely responsible for the medical advice and treatment of </w:t>
      </w:r>
      <w:r w:rsidR="00CE3400">
        <w:rPr>
          <w:rFonts w:eastAsiaTheme="minorHAnsi"/>
        </w:rPr>
        <w:t>members/enrollees</w:t>
      </w:r>
      <w:r w:rsidRPr="00146C6E">
        <w:rPr>
          <w:rFonts w:eastAsiaTheme="minorHAnsi"/>
        </w:rPr>
        <w:t xml:space="preserve">. This clinical policy is not intended to recommend treatment for </w:t>
      </w:r>
      <w:r w:rsidR="00CE3400">
        <w:rPr>
          <w:rFonts w:eastAsiaTheme="minorHAnsi"/>
        </w:rPr>
        <w:t>members/enrollees</w:t>
      </w:r>
      <w:r w:rsidRPr="00146C6E">
        <w:rPr>
          <w:rFonts w:eastAsiaTheme="minorHAnsi"/>
        </w:rPr>
        <w:t xml:space="preserve">. </w:t>
      </w:r>
      <w:r w:rsidR="00CE3400">
        <w:rPr>
          <w:rFonts w:eastAsiaTheme="minorHAnsi"/>
        </w:rPr>
        <w:t>Members/enrollees</w:t>
      </w:r>
      <w:r w:rsidRPr="00146C6E">
        <w:rPr>
          <w:rFonts w:eastAsiaTheme="minorHAnsi"/>
        </w:rPr>
        <w:t xml:space="preserve"> should consult with their treating physician in connection with diagnosis and treatment decisions. </w:t>
      </w:r>
    </w:p>
    <w:p w14:paraId="43A03E28" w14:textId="77777777" w:rsidR="00233805" w:rsidRPr="00146C6E" w:rsidRDefault="00233805" w:rsidP="00233805">
      <w:pPr>
        <w:rPr>
          <w:rFonts w:eastAsiaTheme="minorHAnsi"/>
        </w:rPr>
      </w:pPr>
    </w:p>
    <w:p w14:paraId="757D65EF" w14:textId="318A2D11" w:rsidR="00233805" w:rsidRPr="00146C6E" w:rsidRDefault="00233805" w:rsidP="00233805">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66BC871F" w14:textId="77777777" w:rsidR="00233805" w:rsidRPr="00146C6E" w:rsidRDefault="00233805" w:rsidP="00233805">
      <w:pPr>
        <w:rPr>
          <w:rFonts w:eastAsiaTheme="minorHAnsi"/>
        </w:rPr>
      </w:pPr>
    </w:p>
    <w:p w14:paraId="69988F7E" w14:textId="1CEFA5B1" w:rsidR="00233805" w:rsidRPr="00146C6E" w:rsidRDefault="00233805" w:rsidP="00233805">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CE3400">
        <w:rPr>
          <w:rFonts w:eastAsiaTheme="minorHAnsi"/>
        </w:rPr>
        <w:t>members/enrollees</w:t>
      </w:r>
      <w:r w:rsidRPr="00146C6E">
        <w:rPr>
          <w:rFonts w:eastAsiaTheme="minorHAnsi"/>
        </w:rPr>
        <w:t xml:space="preserve"> and their representatives are bound to the terms and conditions expressed herein through the terms of their contracts. Where no such contract exists, providers, </w:t>
      </w:r>
      <w:r w:rsidR="00CE3400">
        <w:rPr>
          <w:rFonts w:eastAsiaTheme="minorHAnsi"/>
        </w:rPr>
        <w:t>members/enrollees</w:t>
      </w:r>
      <w:r w:rsidRPr="00146C6E">
        <w:rPr>
          <w:rFonts w:eastAsiaTheme="minorHAnsi"/>
        </w:rPr>
        <w:t xml:space="preserve"> and their representatives agree to be bound by such terms and conditions by providing services to </w:t>
      </w:r>
      <w:r w:rsidR="00CE3400">
        <w:rPr>
          <w:rFonts w:eastAsiaTheme="minorHAnsi"/>
        </w:rPr>
        <w:t>members/enrollees</w:t>
      </w:r>
      <w:r w:rsidRPr="00146C6E">
        <w:rPr>
          <w:rFonts w:eastAsiaTheme="minorHAnsi"/>
        </w:rPr>
        <w:t xml:space="preserve"> and/or submitting claims for payment for such services.  </w:t>
      </w:r>
    </w:p>
    <w:p w14:paraId="1CC5CFCF" w14:textId="77777777" w:rsidR="00233805" w:rsidRPr="00146C6E" w:rsidRDefault="00233805" w:rsidP="00233805">
      <w:pPr>
        <w:autoSpaceDE w:val="0"/>
        <w:autoSpaceDN w:val="0"/>
        <w:adjustRightInd w:val="0"/>
        <w:rPr>
          <w:rFonts w:eastAsiaTheme="minorHAnsi"/>
          <w:color w:val="000000"/>
        </w:rPr>
      </w:pPr>
    </w:p>
    <w:p w14:paraId="6BC1F56A" w14:textId="77777777" w:rsidR="00233805" w:rsidRPr="00146C6E" w:rsidRDefault="00233805" w:rsidP="00233805">
      <w:pPr>
        <w:autoSpaceDE w:val="0"/>
        <w:autoSpaceDN w:val="0"/>
        <w:adjustRightInd w:val="0"/>
        <w:rPr>
          <w:rFonts w:eastAsiaTheme="minorHAnsi"/>
          <w:color w:val="000000"/>
        </w:rPr>
      </w:pPr>
      <w:r w:rsidRPr="00146C6E">
        <w:rPr>
          <w:rFonts w:eastAsiaTheme="minorHAnsi"/>
          <w:b/>
          <w:color w:val="000000"/>
        </w:rPr>
        <w:t xml:space="preserve">Note: For Medicaid </w:t>
      </w:r>
      <w:r w:rsidR="00CE3400">
        <w:rPr>
          <w:rFonts w:eastAsiaTheme="minorHAnsi"/>
          <w:b/>
          <w:color w:val="000000"/>
        </w:rPr>
        <w:t>members/enrollees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0AF0CCB6" w14:textId="77777777" w:rsidR="00233805" w:rsidRPr="00146C6E" w:rsidRDefault="00233805" w:rsidP="00233805">
      <w:pPr>
        <w:rPr>
          <w:rFonts w:eastAsiaTheme="minorHAnsi"/>
        </w:rPr>
      </w:pPr>
    </w:p>
    <w:p w14:paraId="52EA167E" w14:textId="77777777" w:rsidR="00233805" w:rsidRPr="00146C6E" w:rsidRDefault="00233805" w:rsidP="00233805">
      <w:pPr>
        <w:autoSpaceDE w:val="0"/>
        <w:autoSpaceDN w:val="0"/>
        <w:adjustRightInd w:val="0"/>
        <w:rPr>
          <w:color w:val="000000"/>
        </w:rPr>
      </w:pPr>
      <w:r w:rsidRPr="00146C6E">
        <w:rPr>
          <w:rFonts w:eastAsiaTheme="minorHAnsi"/>
          <w:b/>
          <w:bCs/>
          <w:color w:val="000000"/>
        </w:rPr>
        <w:t xml:space="preserve">Note: For Medicare </w:t>
      </w:r>
      <w:r w:rsidR="00CE3400">
        <w:rPr>
          <w:rFonts w:eastAsiaTheme="minorHAnsi"/>
          <w:b/>
          <w:bCs/>
          <w:color w:val="000000"/>
        </w:rPr>
        <w:t>members/enrollees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sidR="00E74398">
        <w:rPr>
          <w:rFonts w:eastAsiaTheme="minorHAnsi"/>
          <w:color w:val="000000"/>
        </w:rPr>
        <w:t>,</w:t>
      </w:r>
      <w:r w:rsidRPr="00146C6E">
        <w:rPr>
          <w:rFonts w:eastAsiaTheme="minorHAnsi"/>
          <w:color w:val="000000"/>
        </w:rPr>
        <w:t xml:space="preserve"> LCDs</w:t>
      </w:r>
      <w:r w:rsidR="00E74398">
        <w:rPr>
          <w:rFonts w:eastAsiaTheme="minorHAnsi"/>
          <w:color w:val="000000"/>
        </w:rPr>
        <w:t>, and Medicare Coverage Articles</w:t>
      </w:r>
      <w:r w:rsidRPr="00146C6E">
        <w:rPr>
          <w:rFonts w:eastAsiaTheme="minorHAnsi"/>
          <w:color w:val="000000"/>
        </w:rPr>
        <w:t xml:space="preserve"> 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24"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796DB856" w14:textId="77777777" w:rsidR="00233805" w:rsidRPr="00146C6E" w:rsidRDefault="00233805" w:rsidP="00233805">
      <w:pPr>
        <w:rPr>
          <w:iCs/>
        </w:rPr>
      </w:pPr>
    </w:p>
    <w:p w14:paraId="0145AFE9" w14:textId="1A07A04F" w:rsidR="00C75BD4" w:rsidRPr="00875924" w:rsidRDefault="00233805" w:rsidP="00233805">
      <w:pPr>
        <w:jc w:val="both"/>
        <w:rPr>
          <w:iCs/>
          <w:sz w:val="22"/>
        </w:rPr>
      </w:pPr>
      <w:r w:rsidRPr="00146C6E">
        <w:rPr>
          <w:iCs/>
        </w:rPr>
        <w:t>©201</w:t>
      </w:r>
      <w:r w:rsidR="00A02AD9">
        <w:rPr>
          <w:iCs/>
        </w:rPr>
        <w:t>8</w:t>
      </w:r>
      <w:r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w:t>
      </w:r>
      <w:r w:rsidRPr="00146C6E">
        <w:rPr>
          <w:iCs/>
        </w:rPr>
        <w:lastRenderedPageBreak/>
        <w:t>or other notice contained herein. Centene</w:t>
      </w:r>
      <w:r w:rsidRPr="00146C6E">
        <w:rPr>
          <w:iCs/>
          <w:vertAlign w:val="superscript"/>
        </w:rPr>
        <w:t>®</w:t>
      </w:r>
      <w:r w:rsidRPr="00146C6E">
        <w:rPr>
          <w:iCs/>
        </w:rPr>
        <w:t xml:space="preserve"> and Centene Corporation</w:t>
      </w:r>
      <w:r w:rsidRPr="00146C6E">
        <w:rPr>
          <w:iCs/>
          <w:vertAlign w:val="superscript"/>
        </w:rPr>
        <w:t>®</w:t>
      </w:r>
      <w:r w:rsidRPr="00146C6E">
        <w:rPr>
          <w:iCs/>
        </w:rPr>
        <w:t xml:space="preserve"> are registered trademarks exclusively owned by Centene Corporation.</w:t>
      </w:r>
    </w:p>
    <w:p w14:paraId="697A2A13" w14:textId="77777777" w:rsidR="00C75BD4" w:rsidRDefault="00C75BD4" w:rsidP="00AF5490"/>
    <w:sectPr w:rsidR="00C75BD4"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C4F0" w14:textId="77777777" w:rsidR="002670D6" w:rsidRDefault="002670D6">
      <w:r>
        <w:separator/>
      </w:r>
    </w:p>
  </w:endnote>
  <w:endnote w:type="continuationSeparator" w:id="0">
    <w:p w14:paraId="55E8E426" w14:textId="77777777" w:rsidR="002670D6" w:rsidRDefault="0026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3214" w14:textId="77777777" w:rsidR="008E7F76" w:rsidRDefault="008E7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4B26" w14:textId="44E1822A" w:rsidR="00B45F04" w:rsidRPr="00D574CA" w:rsidRDefault="00B45F04" w:rsidP="00D574CA">
    <w:pPr>
      <w:pStyle w:val="Footer"/>
      <w:jc w:val="center"/>
    </w:pPr>
    <w:r>
      <w:t xml:space="preserve">Page </w:t>
    </w:r>
    <w:r>
      <w:rPr>
        <w:b/>
        <w:bCs/>
      </w:rPr>
      <w:fldChar w:fldCharType="begin"/>
    </w:r>
    <w:r>
      <w:rPr>
        <w:b/>
        <w:bCs/>
      </w:rPr>
      <w:instrText xml:space="preserve"> PAGE </w:instrText>
    </w:r>
    <w:r>
      <w:rPr>
        <w:b/>
        <w:bCs/>
      </w:rPr>
      <w:fldChar w:fldCharType="separate"/>
    </w:r>
    <w:r w:rsidR="008E7F76">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8E7F76">
      <w:rPr>
        <w:b/>
        <w:bCs/>
        <w:noProof/>
      </w:rPr>
      <w:t>7</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6B84" w14:textId="7134380C" w:rsidR="00B45F04" w:rsidRDefault="00B45F04" w:rsidP="002C6AAB">
    <w:pPr>
      <w:pStyle w:val="Footer"/>
      <w:jc w:val="center"/>
    </w:pPr>
    <w:r>
      <w:t xml:space="preserve">Page </w:t>
    </w:r>
    <w:r>
      <w:fldChar w:fldCharType="begin"/>
    </w:r>
    <w:r>
      <w:instrText xml:space="preserve"> PAGE   \* MERGEFORMAT </w:instrText>
    </w:r>
    <w:r>
      <w:fldChar w:fldCharType="separate"/>
    </w:r>
    <w:r w:rsidR="008E7F76">
      <w:rPr>
        <w:noProof/>
      </w:rPr>
      <w:t>1</w:t>
    </w:r>
    <w:r>
      <w:fldChar w:fldCharType="end"/>
    </w:r>
    <w:r>
      <w:t xml:space="preserve"> of </w:t>
    </w:r>
    <w:r w:rsidR="00B50529">
      <w:rPr>
        <w:noProof/>
      </w:rPr>
      <w:fldChar w:fldCharType="begin"/>
    </w:r>
    <w:r w:rsidR="00B50529">
      <w:rPr>
        <w:noProof/>
      </w:rPr>
      <w:instrText xml:space="preserve"> NUMPAGES   \* MERGEFORMAT </w:instrText>
    </w:r>
    <w:r w:rsidR="00B50529">
      <w:rPr>
        <w:noProof/>
      </w:rPr>
      <w:fldChar w:fldCharType="separate"/>
    </w:r>
    <w:r w:rsidR="008E7F76">
      <w:rPr>
        <w:noProof/>
      </w:rPr>
      <w:t>7</w:t>
    </w:r>
    <w:r w:rsidR="00B5052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DA51" w14:textId="77777777" w:rsidR="002670D6" w:rsidRDefault="002670D6">
      <w:r>
        <w:separator/>
      </w:r>
    </w:p>
  </w:footnote>
  <w:footnote w:type="continuationSeparator" w:id="0">
    <w:p w14:paraId="415CFA5D" w14:textId="77777777" w:rsidR="002670D6" w:rsidRDefault="0026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40D1" w14:textId="080703A5" w:rsidR="008E7F76" w:rsidRDefault="008E7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4F00" w14:textId="1023797B" w:rsidR="00B45F04" w:rsidRPr="00B777AF" w:rsidRDefault="00B45F04"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3F732D9B" wp14:editId="40A96355">
          <wp:extent cx="914400" cy="238125"/>
          <wp:effectExtent l="0" t="0" r="0" b="9525"/>
          <wp:docPr id="5" name="Picture 5"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0800A532" w14:textId="77777777" w:rsidR="00B45F04" w:rsidRPr="00B777AF" w:rsidRDefault="00B45F04" w:rsidP="00B777AF">
    <w:pPr>
      <w:rPr>
        <w:color w:val="00548C"/>
      </w:rPr>
    </w:pPr>
    <w:r>
      <w:rPr>
        <w:rFonts w:ascii="Times New Roman Bold" w:hAnsi="Times New Roman Bold"/>
        <w:b/>
        <w:bCs/>
        <w:color w:val="00548C"/>
      </w:rPr>
      <w:t>Neonatal Sepsis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3625" w14:textId="609D27A6" w:rsidR="00B45F04" w:rsidRDefault="00B45F04" w:rsidP="00B777AF">
    <w:pPr>
      <w:pStyle w:val="Header"/>
      <w:jc w:val="right"/>
    </w:pPr>
    <w:r>
      <w:rPr>
        <w:noProof/>
      </w:rPr>
      <w:drawing>
        <wp:inline distT="0" distB="0" distL="0" distR="0" wp14:anchorId="3D548D6B" wp14:editId="6FC21E08">
          <wp:extent cx="1371600" cy="352425"/>
          <wp:effectExtent l="0" t="0" r="0" b="9525"/>
          <wp:docPr id="6" name="Picture 6"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DB7"/>
    <w:multiLevelType w:val="multilevel"/>
    <w:tmpl w:val="89F62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54526"/>
    <w:multiLevelType w:val="hybridMultilevel"/>
    <w:tmpl w:val="ADD2F434"/>
    <w:lvl w:ilvl="0" w:tplc="2646AB1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DB4351"/>
    <w:multiLevelType w:val="hybridMultilevel"/>
    <w:tmpl w:val="C4DA740E"/>
    <w:lvl w:ilvl="0" w:tplc="7E1EC400">
      <w:start w:val="1"/>
      <w:numFmt w:val="upperRoman"/>
      <w:lvlText w:val="%1."/>
      <w:lvlJc w:val="left"/>
      <w:pPr>
        <w:ind w:left="540" w:hanging="360"/>
      </w:pPr>
      <w:rPr>
        <w:rFonts w:hint="default"/>
        <w:b/>
        <w:u w:val="none"/>
        <w:vertAlign w:val="baseline"/>
      </w:rPr>
    </w:lvl>
    <w:lvl w:ilvl="1" w:tplc="6A7CA498">
      <w:start w:val="1"/>
      <w:numFmt w:val="upperLetter"/>
      <w:lvlText w:val="%2."/>
      <w:lvlJc w:val="left"/>
      <w:pPr>
        <w:ind w:left="450" w:hanging="360"/>
      </w:pPr>
      <w:rPr>
        <w:b w:val="0"/>
      </w:rPr>
    </w:lvl>
    <w:lvl w:ilvl="2" w:tplc="B3CAD3FA">
      <w:start w:val="1"/>
      <w:numFmt w:val="decimal"/>
      <w:lvlText w:val="%3."/>
      <w:lvlJc w:val="lef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E41A9"/>
    <w:multiLevelType w:val="hybridMultilevel"/>
    <w:tmpl w:val="789EC7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B23B0"/>
    <w:multiLevelType w:val="hybridMultilevel"/>
    <w:tmpl w:val="6CF4423A"/>
    <w:lvl w:ilvl="0" w:tplc="FFFFFFFF">
      <w:start w:val="1"/>
      <w:numFmt w:val="upperRoman"/>
      <w:lvlText w:val="%1."/>
      <w:lvlJc w:val="left"/>
      <w:pPr>
        <w:ind w:left="360" w:hanging="360"/>
      </w:pPr>
      <w:rPr>
        <w:rFonts w:hint="default"/>
        <w:b/>
        <w:i w:val="0"/>
      </w:rPr>
    </w:lvl>
    <w:lvl w:ilvl="1" w:tplc="FFFFFFFF">
      <w:start w:val="1"/>
      <w:numFmt w:val="upperLetter"/>
      <w:lvlText w:val="%2."/>
      <w:lvlJc w:val="left"/>
      <w:pPr>
        <w:ind w:left="1080" w:hanging="360"/>
      </w:pPr>
    </w:lvl>
    <w:lvl w:ilvl="2" w:tplc="FFFFFFFF">
      <w:start w:val="1"/>
      <w:numFmt w:val="decimal"/>
      <w:lvlText w:val="%3."/>
      <w:lvlJc w:val="left"/>
      <w:pPr>
        <w:ind w:left="1800" w:hanging="180"/>
      </w:pPr>
    </w:lvl>
    <w:lvl w:ilvl="3" w:tplc="FFFFFFFF">
      <w:start w:val="1"/>
      <w:numFmt w:val="lowerLetter"/>
      <w:lvlText w:val="%4."/>
      <w:lvlJc w:val="left"/>
      <w:pPr>
        <w:ind w:left="2520" w:hanging="360"/>
      </w:pPr>
    </w:lvl>
    <w:lvl w:ilvl="4" w:tplc="FFFFFFFF">
      <w:start w:val="1"/>
      <w:numFmt w:val="lowerRoman"/>
      <w:lvlText w:val="%5."/>
      <w:lvlJc w:val="left"/>
      <w:pPr>
        <w:ind w:left="3240" w:hanging="360"/>
      </w:pPr>
      <w:rPr>
        <w:rFonts w:hint="default"/>
        <w:sz w:val="20"/>
      </w:rPr>
    </w:lvl>
    <w:lvl w:ilvl="5" w:tplc="FFFFFFFF">
      <w:start w:val="1"/>
      <w:numFmt w:val="lowerLetter"/>
      <w:lvlText w:val="%6)"/>
      <w:lvlJc w:val="lef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D06F99"/>
    <w:multiLevelType w:val="hybridMultilevel"/>
    <w:tmpl w:val="07A8FE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A2369A"/>
    <w:multiLevelType w:val="hybridMultilevel"/>
    <w:tmpl w:val="053AC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B7D6A"/>
    <w:multiLevelType w:val="hybridMultilevel"/>
    <w:tmpl w:val="06A400B6"/>
    <w:lvl w:ilvl="0" w:tplc="C2ACCEFC">
      <w:start w:val="1"/>
      <w:numFmt w:val="upperRoman"/>
      <w:lvlText w:val="%1."/>
      <w:lvlJc w:val="left"/>
      <w:pPr>
        <w:ind w:left="540" w:hanging="360"/>
      </w:pPr>
      <w:rPr>
        <w:rFonts w:hint="default"/>
        <w:b w:val="0"/>
        <w:u w:val="none"/>
        <w:vertAlign w:val="baseline"/>
      </w:rPr>
    </w:lvl>
    <w:lvl w:ilvl="1" w:tplc="04090015">
      <w:start w:val="1"/>
      <w:numFmt w:val="upperLetter"/>
      <w:lvlText w:val="%2."/>
      <w:lvlJc w:val="left"/>
      <w:pPr>
        <w:ind w:left="1440" w:hanging="360"/>
      </w:pPr>
      <w:rPr>
        <w:rFonts w:hint="default"/>
        <w:b w:val="0"/>
        <w:u w:val="none"/>
      </w:rPr>
    </w:lvl>
    <w:lvl w:ilvl="2" w:tplc="E64440F6">
      <w:start w:val="1"/>
      <w:numFmt w:val="decimal"/>
      <w:lvlText w:val="%3."/>
      <w:lvlJc w:val="left"/>
      <w:pPr>
        <w:ind w:left="2160" w:hanging="180"/>
      </w:pPr>
      <w:rPr>
        <w:rFonts w:cs="Times New Roman" w:hint="default"/>
        <w:u w:val="none"/>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E3D0A"/>
    <w:multiLevelType w:val="hybridMultilevel"/>
    <w:tmpl w:val="6CF4423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544486843">
    <w:abstractNumId w:val="16"/>
  </w:num>
  <w:num w:numId="2" w16cid:durableId="921834843">
    <w:abstractNumId w:val="1"/>
  </w:num>
  <w:num w:numId="3" w16cid:durableId="564951687">
    <w:abstractNumId w:val="6"/>
  </w:num>
  <w:num w:numId="4" w16cid:durableId="708191499">
    <w:abstractNumId w:val="8"/>
  </w:num>
  <w:num w:numId="5" w16cid:durableId="845562465">
    <w:abstractNumId w:val="9"/>
  </w:num>
  <w:num w:numId="6" w16cid:durableId="1014645674">
    <w:abstractNumId w:val="13"/>
  </w:num>
  <w:num w:numId="7" w16cid:durableId="1050419439">
    <w:abstractNumId w:val="14"/>
  </w:num>
  <w:num w:numId="8" w16cid:durableId="730274820">
    <w:abstractNumId w:val="2"/>
  </w:num>
  <w:num w:numId="9" w16cid:durableId="1365249717">
    <w:abstractNumId w:val="4"/>
  </w:num>
  <w:num w:numId="10" w16cid:durableId="411590261">
    <w:abstractNumId w:val="12"/>
  </w:num>
  <w:num w:numId="11" w16cid:durableId="1446728929">
    <w:abstractNumId w:val="3"/>
  </w:num>
  <w:num w:numId="12" w16cid:durableId="92821376">
    <w:abstractNumId w:val="0"/>
    <w:lvlOverride w:ilvl="0">
      <w:startOverride w:val="1"/>
    </w:lvlOverride>
  </w:num>
  <w:num w:numId="13" w16cid:durableId="1668168227">
    <w:abstractNumId w:val="15"/>
  </w:num>
  <w:num w:numId="14" w16cid:durableId="1879779741">
    <w:abstractNumId w:val="7"/>
  </w:num>
  <w:num w:numId="15" w16cid:durableId="1229539980">
    <w:abstractNumId w:val="11"/>
  </w:num>
  <w:num w:numId="16" w16cid:durableId="962030990">
    <w:abstractNumId w:val="5"/>
  </w:num>
  <w:num w:numId="17" w16cid:durableId="395979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0ADE"/>
    <w:rsid w:val="000041B7"/>
    <w:rsid w:val="00004990"/>
    <w:rsid w:val="00005FD6"/>
    <w:rsid w:val="00013017"/>
    <w:rsid w:val="000134B7"/>
    <w:rsid w:val="0002177C"/>
    <w:rsid w:val="00021AB4"/>
    <w:rsid w:val="00027061"/>
    <w:rsid w:val="00040588"/>
    <w:rsid w:val="000465DE"/>
    <w:rsid w:val="0004733E"/>
    <w:rsid w:val="00047E40"/>
    <w:rsid w:val="0005036E"/>
    <w:rsid w:val="00052D36"/>
    <w:rsid w:val="00055A2D"/>
    <w:rsid w:val="00060509"/>
    <w:rsid w:val="00062C38"/>
    <w:rsid w:val="00063145"/>
    <w:rsid w:val="00074239"/>
    <w:rsid w:val="00075A8C"/>
    <w:rsid w:val="00083740"/>
    <w:rsid w:val="000856F3"/>
    <w:rsid w:val="00094CCE"/>
    <w:rsid w:val="000964E1"/>
    <w:rsid w:val="000A1089"/>
    <w:rsid w:val="000A562E"/>
    <w:rsid w:val="000A6578"/>
    <w:rsid w:val="000B3554"/>
    <w:rsid w:val="000B6EDF"/>
    <w:rsid w:val="000C0537"/>
    <w:rsid w:val="000D38B3"/>
    <w:rsid w:val="000D7B5C"/>
    <w:rsid w:val="000F10C2"/>
    <w:rsid w:val="000F3F48"/>
    <w:rsid w:val="000F7294"/>
    <w:rsid w:val="0010405C"/>
    <w:rsid w:val="00113356"/>
    <w:rsid w:val="001216AD"/>
    <w:rsid w:val="0012367B"/>
    <w:rsid w:val="00124854"/>
    <w:rsid w:val="0012510E"/>
    <w:rsid w:val="00125D7C"/>
    <w:rsid w:val="00130122"/>
    <w:rsid w:val="0013646E"/>
    <w:rsid w:val="00136632"/>
    <w:rsid w:val="0014316D"/>
    <w:rsid w:val="001434EC"/>
    <w:rsid w:val="00170B14"/>
    <w:rsid w:val="001722E5"/>
    <w:rsid w:val="0017267D"/>
    <w:rsid w:val="001817BC"/>
    <w:rsid w:val="001818D7"/>
    <w:rsid w:val="00185104"/>
    <w:rsid w:val="001853A7"/>
    <w:rsid w:val="00187155"/>
    <w:rsid w:val="00187AEF"/>
    <w:rsid w:val="00192157"/>
    <w:rsid w:val="001925F3"/>
    <w:rsid w:val="00194F09"/>
    <w:rsid w:val="001962BE"/>
    <w:rsid w:val="00196689"/>
    <w:rsid w:val="00196935"/>
    <w:rsid w:val="0019746F"/>
    <w:rsid w:val="001A007A"/>
    <w:rsid w:val="001B3661"/>
    <w:rsid w:val="001B3D04"/>
    <w:rsid w:val="001B4EEF"/>
    <w:rsid w:val="001B5309"/>
    <w:rsid w:val="001C0964"/>
    <w:rsid w:val="001D0D34"/>
    <w:rsid w:val="001D1879"/>
    <w:rsid w:val="001D1A95"/>
    <w:rsid w:val="001D70D4"/>
    <w:rsid w:val="001E3B1C"/>
    <w:rsid w:val="001E5C65"/>
    <w:rsid w:val="001E7D12"/>
    <w:rsid w:val="001E7DA2"/>
    <w:rsid w:val="001F7EEF"/>
    <w:rsid w:val="00206394"/>
    <w:rsid w:val="0020675F"/>
    <w:rsid w:val="002105C1"/>
    <w:rsid w:val="00211881"/>
    <w:rsid w:val="00217D53"/>
    <w:rsid w:val="00220736"/>
    <w:rsid w:val="00221E41"/>
    <w:rsid w:val="002277C8"/>
    <w:rsid w:val="00230C35"/>
    <w:rsid w:val="00230FE4"/>
    <w:rsid w:val="00233651"/>
    <w:rsid w:val="00233805"/>
    <w:rsid w:val="002346D9"/>
    <w:rsid w:val="00237B8C"/>
    <w:rsid w:val="00241ABA"/>
    <w:rsid w:val="00252A55"/>
    <w:rsid w:val="00254020"/>
    <w:rsid w:val="0025452A"/>
    <w:rsid w:val="002571AF"/>
    <w:rsid w:val="002668A9"/>
    <w:rsid w:val="002670D6"/>
    <w:rsid w:val="00271ED2"/>
    <w:rsid w:val="00284CA2"/>
    <w:rsid w:val="00285997"/>
    <w:rsid w:val="0028741F"/>
    <w:rsid w:val="0028798C"/>
    <w:rsid w:val="002A25CF"/>
    <w:rsid w:val="002A35E9"/>
    <w:rsid w:val="002A39EE"/>
    <w:rsid w:val="002A7F81"/>
    <w:rsid w:val="002B0782"/>
    <w:rsid w:val="002B29BA"/>
    <w:rsid w:val="002B2A04"/>
    <w:rsid w:val="002B47A1"/>
    <w:rsid w:val="002B6D67"/>
    <w:rsid w:val="002B7AAB"/>
    <w:rsid w:val="002C309A"/>
    <w:rsid w:val="002C6A36"/>
    <w:rsid w:val="002C6AAB"/>
    <w:rsid w:val="002D019A"/>
    <w:rsid w:val="002D37BF"/>
    <w:rsid w:val="002D6EE8"/>
    <w:rsid w:val="002D7BA7"/>
    <w:rsid w:val="002D7E56"/>
    <w:rsid w:val="002E48E7"/>
    <w:rsid w:val="002F4F0A"/>
    <w:rsid w:val="002F53B2"/>
    <w:rsid w:val="002F6A40"/>
    <w:rsid w:val="00302398"/>
    <w:rsid w:val="0030550F"/>
    <w:rsid w:val="00306C7C"/>
    <w:rsid w:val="003071F4"/>
    <w:rsid w:val="00311E39"/>
    <w:rsid w:val="00313451"/>
    <w:rsid w:val="003140D6"/>
    <w:rsid w:val="00317662"/>
    <w:rsid w:val="00323011"/>
    <w:rsid w:val="00323FAE"/>
    <w:rsid w:val="00331413"/>
    <w:rsid w:val="003379F6"/>
    <w:rsid w:val="003400B0"/>
    <w:rsid w:val="00342574"/>
    <w:rsid w:val="00342CD2"/>
    <w:rsid w:val="0034432E"/>
    <w:rsid w:val="0034685C"/>
    <w:rsid w:val="00347E59"/>
    <w:rsid w:val="00347F9F"/>
    <w:rsid w:val="003501D2"/>
    <w:rsid w:val="00350F22"/>
    <w:rsid w:val="00353143"/>
    <w:rsid w:val="003610A8"/>
    <w:rsid w:val="00364293"/>
    <w:rsid w:val="00364EE3"/>
    <w:rsid w:val="0036696E"/>
    <w:rsid w:val="00370138"/>
    <w:rsid w:val="00370356"/>
    <w:rsid w:val="00373BBE"/>
    <w:rsid w:val="00374DA7"/>
    <w:rsid w:val="003840CC"/>
    <w:rsid w:val="00386AC7"/>
    <w:rsid w:val="00387980"/>
    <w:rsid w:val="00394811"/>
    <w:rsid w:val="003B2CF7"/>
    <w:rsid w:val="003B6663"/>
    <w:rsid w:val="003B6FDF"/>
    <w:rsid w:val="003B7C19"/>
    <w:rsid w:val="003C4740"/>
    <w:rsid w:val="003C73EF"/>
    <w:rsid w:val="003C7A65"/>
    <w:rsid w:val="003D7BE7"/>
    <w:rsid w:val="003E0957"/>
    <w:rsid w:val="003E3E25"/>
    <w:rsid w:val="003E6966"/>
    <w:rsid w:val="003F5C5D"/>
    <w:rsid w:val="003F74FD"/>
    <w:rsid w:val="00401BB7"/>
    <w:rsid w:val="00403FBF"/>
    <w:rsid w:val="00407A9C"/>
    <w:rsid w:val="00410C3F"/>
    <w:rsid w:val="00412409"/>
    <w:rsid w:val="00413DB8"/>
    <w:rsid w:val="00420364"/>
    <w:rsid w:val="00426E15"/>
    <w:rsid w:val="00435D14"/>
    <w:rsid w:val="00436FFB"/>
    <w:rsid w:val="00437F33"/>
    <w:rsid w:val="004435C2"/>
    <w:rsid w:val="00444F3B"/>
    <w:rsid w:val="00457AA5"/>
    <w:rsid w:val="00457C18"/>
    <w:rsid w:val="00460695"/>
    <w:rsid w:val="0046288C"/>
    <w:rsid w:val="00462C71"/>
    <w:rsid w:val="0046406F"/>
    <w:rsid w:val="004666A6"/>
    <w:rsid w:val="00472C6C"/>
    <w:rsid w:val="004806AF"/>
    <w:rsid w:val="00480C09"/>
    <w:rsid w:val="00482868"/>
    <w:rsid w:val="00482F12"/>
    <w:rsid w:val="00484F6B"/>
    <w:rsid w:val="00485541"/>
    <w:rsid w:val="00485767"/>
    <w:rsid w:val="00485F73"/>
    <w:rsid w:val="00490C89"/>
    <w:rsid w:val="0049105D"/>
    <w:rsid w:val="00493AF3"/>
    <w:rsid w:val="0049568D"/>
    <w:rsid w:val="0049674D"/>
    <w:rsid w:val="00496BCF"/>
    <w:rsid w:val="004973C0"/>
    <w:rsid w:val="00497AED"/>
    <w:rsid w:val="004A1D55"/>
    <w:rsid w:val="004A6072"/>
    <w:rsid w:val="004B0B23"/>
    <w:rsid w:val="004B148B"/>
    <w:rsid w:val="004B29EF"/>
    <w:rsid w:val="004B49C5"/>
    <w:rsid w:val="004B6C9F"/>
    <w:rsid w:val="004C3270"/>
    <w:rsid w:val="004C7563"/>
    <w:rsid w:val="004D00D1"/>
    <w:rsid w:val="004D2D3C"/>
    <w:rsid w:val="004D674C"/>
    <w:rsid w:val="004E0B99"/>
    <w:rsid w:val="004F1028"/>
    <w:rsid w:val="004F507A"/>
    <w:rsid w:val="004F59BF"/>
    <w:rsid w:val="004F6394"/>
    <w:rsid w:val="00505830"/>
    <w:rsid w:val="0050717C"/>
    <w:rsid w:val="005103B8"/>
    <w:rsid w:val="00510A7E"/>
    <w:rsid w:val="00511C37"/>
    <w:rsid w:val="00515A26"/>
    <w:rsid w:val="0052086E"/>
    <w:rsid w:val="00520AE1"/>
    <w:rsid w:val="00521E8E"/>
    <w:rsid w:val="00537E0A"/>
    <w:rsid w:val="005418A1"/>
    <w:rsid w:val="005423D4"/>
    <w:rsid w:val="00543454"/>
    <w:rsid w:val="0054350D"/>
    <w:rsid w:val="00543686"/>
    <w:rsid w:val="005537B0"/>
    <w:rsid w:val="005545DC"/>
    <w:rsid w:val="00555624"/>
    <w:rsid w:val="00561F21"/>
    <w:rsid w:val="00563CF6"/>
    <w:rsid w:val="005739E1"/>
    <w:rsid w:val="005740E2"/>
    <w:rsid w:val="00575027"/>
    <w:rsid w:val="00577200"/>
    <w:rsid w:val="00583376"/>
    <w:rsid w:val="00583C18"/>
    <w:rsid w:val="00591DC3"/>
    <w:rsid w:val="005933E8"/>
    <w:rsid w:val="005975BF"/>
    <w:rsid w:val="005A2A41"/>
    <w:rsid w:val="005A3107"/>
    <w:rsid w:val="005C17DF"/>
    <w:rsid w:val="005C3607"/>
    <w:rsid w:val="005C3FA4"/>
    <w:rsid w:val="005D009F"/>
    <w:rsid w:val="005D43F6"/>
    <w:rsid w:val="005D5146"/>
    <w:rsid w:val="005D5C2F"/>
    <w:rsid w:val="005D5D9C"/>
    <w:rsid w:val="005E0228"/>
    <w:rsid w:val="005E2111"/>
    <w:rsid w:val="005E411E"/>
    <w:rsid w:val="005E728D"/>
    <w:rsid w:val="005E75B0"/>
    <w:rsid w:val="005F0523"/>
    <w:rsid w:val="00600D53"/>
    <w:rsid w:val="00604EA7"/>
    <w:rsid w:val="006057EB"/>
    <w:rsid w:val="00612CE8"/>
    <w:rsid w:val="00613687"/>
    <w:rsid w:val="00614CBB"/>
    <w:rsid w:val="0062034F"/>
    <w:rsid w:val="006213A3"/>
    <w:rsid w:val="0062193B"/>
    <w:rsid w:val="00624A50"/>
    <w:rsid w:val="006257ED"/>
    <w:rsid w:val="00626188"/>
    <w:rsid w:val="0062751D"/>
    <w:rsid w:val="00630DC8"/>
    <w:rsid w:val="0063130D"/>
    <w:rsid w:val="00635023"/>
    <w:rsid w:val="00640858"/>
    <w:rsid w:val="00643BAC"/>
    <w:rsid w:val="00645C23"/>
    <w:rsid w:val="006474BB"/>
    <w:rsid w:val="006529AE"/>
    <w:rsid w:val="006554E2"/>
    <w:rsid w:val="0065558D"/>
    <w:rsid w:val="00655F6D"/>
    <w:rsid w:val="006664E9"/>
    <w:rsid w:val="006728B4"/>
    <w:rsid w:val="00673047"/>
    <w:rsid w:val="006752DF"/>
    <w:rsid w:val="006764DD"/>
    <w:rsid w:val="006770D5"/>
    <w:rsid w:val="0068097D"/>
    <w:rsid w:val="00681723"/>
    <w:rsid w:val="00681A20"/>
    <w:rsid w:val="006823E2"/>
    <w:rsid w:val="006A00CF"/>
    <w:rsid w:val="006A1603"/>
    <w:rsid w:val="006A1DDA"/>
    <w:rsid w:val="006A3018"/>
    <w:rsid w:val="006A4633"/>
    <w:rsid w:val="006B6146"/>
    <w:rsid w:val="006C134B"/>
    <w:rsid w:val="006C1B85"/>
    <w:rsid w:val="006C3630"/>
    <w:rsid w:val="006C485A"/>
    <w:rsid w:val="006C7EAC"/>
    <w:rsid w:val="006E1B4A"/>
    <w:rsid w:val="006E6431"/>
    <w:rsid w:val="006F3EA6"/>
    <w:rsid w:val="006F4D70"/>
    <w:rsid w:val="006F75C1"/>
    <w:rsid w:val="00705EBF"/>
    <w:rsid w:val="00705F2D"/>
    <w:rsid w:val="00711BE2"/>
    <w:rsid w:val="0071503A"/>
    <w:rsid w:val="00717AC1"/>
    <w:rsid w:val="00721AFB"/>
    <w:rsid w:val="00723C0A"/>
    <w:rsid w:val="007303FD"/>
    <w:rsid w:val="00730E88"/>
    <w:rsid w:val="00735950"/>
    <w:rsid w:val="007373A6"/>
    <w:rsid w:val="00740EC2"/>
    <w:rsid w:val="00742952"/>
    <w:rsid w:val="00743967"/>
    <w:rsid w:val="00744250"/>
    <w:rsid w:val="0074484D"/>
    <w:rsid w:val="00745125"/>
    <w:rsid w:val="00747D05"/>
    <w:rsid w:val="00752F8C"/>
    <w:rsid w:val="007557A9"/>
    <w:rsid w:val="0076065E"/>
    <w:rsid w:val="00760AEA"/>
    <w:rsid w:val="007613C4"/>
    <w:rsid w:val="0076174F"/>
    <w:rsid w:val="00764140"/>
    <w:rsid w:val="00765778"/>
    <w:rsid w:val="00773D66"/>
    <w:rsid w:val="007764CE"/>
    <w:rsid w:val="0077669A"/>
    <w:rsid w:val="00780ECA"/>
    <w:rsid w:val="00781ED8"/>
    <w:rsid w:val="007824A6"/>
    <w:rsid w:val="007855F7"/>
    <w:rsid w:val="0078699A"/>
    <w:rsid w:val="007908FA"/>
    <w:rsid w:val="00791652"/>
    <w:rsid w:val="00797E31"/>
    <w:rsid w:val="007A0BCC"/>
    <w:rsid w:val="007A344F"/>
    <w:rsid w:val="007A4CD7"/>
    <w:rsid w:val="007A5BC0"/>
    <w:rsid w:val="007A6FDB"/>
    <w:rsid w:val="007B07AE"/>
    <w:rsid w:val="007B1828"/>
    <w:rsid w:val="007B2730"/>
    <w:rsid w:val="007B333A"/>
    <w:rsid w:val="007B50D0"/>
    <w:rsid w:val="007B6286"/>
    <w:rsid w:val="007B67C2"/>
    <w:rsid w:val="007C0C71"/>
    <w:rsid w:val="007C5463"/>
    <w:rsid w:val="007D0201"/>
    <w:rsid w:val="007D09FB"/>
    <w:rsid w:val="007D0C58"/>
    <w:rsid w:val="007D3A65"/>
    <w:rsid w:val="007D4801"/>
    <w:rsid w:val="007D6499"/>
    <w:rsid w:val="007E3B78"/>
    <w:rsid w:val="007F1F19"/>
    <w:rsid w:val="007F455E"/>
    <w:rsid w:val="0080273C"/>
    <w:rsid w:val="00805F8B"/>
    <w:rsid w:val="00806613"/>
    <w:rsid w:val="00810BFC"/>
    <w:rsid w:val="00810F7B"/>
    <w:rsid w:val="008118F3"/>
    <w:rsid w:val="008132E8"/>
    <w:rsid w:val="00836300"/>
    <w:rsid w:val="00836D14"/>
    <w:rsid w:val="00840DA1"/>
    <w:rsid w:val="008422AA"/>
    <w:rsid w:val="00845A94"/>
    <w:rsid w:val="00850A55"/>
    <w:rsid w:val="00857C10"/>
    <w:rsid w:val="008661DA"/>
    <w:rsid w:val="00875924"/>
    <w:rsid w:val="00875F1E"/>
    <w:rsid w:val="008769AB"/>
    <w:rsid w:val="00877762"/>
    <w:rsid w:val="00877EC7"/>
    <w:rsid w:val="00882BFA"/>
    <w:rsid w:val="00896E94"/>
    <w:rsid w:val="008A2988"/>
    <w:rsid w:val="008A4DE3"/>
    <w:rsid w:val="008A5961"/>
    <w:rsid w:val="008B0705"/>
    <w:rsid w:val="008B3A22"/>
    <w:rsid w:val="008B507B"/>
    <w:rsid w:val="008B7BB1"/>
    <w:rsid w:val="008B7E6B"/>
    <w:rsid w:val="008C00FE"/>
    <w:rsid w:val="008C059A"/>
    <w:rsid w:val="008C3B26"/>
    <w:rsid w:val="008C6AC2"/>
    <w:rsid w:val="008C6B3A"/>
    <w:rsid w:val="008D370E"/>
    <w:rsid w:val="008D54C0"/>
    <w:rsid w:val="008E04A9"/>
    <w:rsid w:val="008E5BA7"/>
    <w:rsid w:val="008E6F5B"/>
    <w:rsid w:val="008E7F76"/>
    <w:rsid w:val="008F09AB"/>
    <w:rsid w:val="008F2F85"/>
    <w:rsid w:val="008F45F3"/>
    <w:rsid w:val="008F72A4"/>
    <w:rsid w:val="008F7A1E"/>
    <w:rsid w:val="00902C9B"/>
    <w:rsid w:val="00903AC7"/>
    <w:rsid w:val="00903C6B"/>
    <w:rsid w:val="00907013"/>
    <w:rsid w:val="009135E0"/>
    <w:rsid w:val="009136BE"/>
    <w:rsid w:val="00913A05"/>
    <w:rsid w:val="00915CA4"/>
    <w:rsid w:val="0092091A"/>
    <w:rsid w:val="00920C23"/>
    <w:rsid w:val="0092261C"/>
    <w:rsid w:val="00930272"/>
    <w:rsid w:val="00934B21"/>
    <w:rsid w:val="009367E4"/>
    <w:rsid w:val="00940C3F"/>
    <w:rsid w:val="00940E62"/>
    <w:rsid w:val="00943A7C"/>
    <w:rsid w:val="009465DE"/>
    <w:rsid w:val="0094746F"/>
    <w:rsid w:val="00956E6D"/>
    <w:rsid w:val="009574CA"/>
    <w:rsid w:val="00961071"/>
    <w:rsid w:val="00961F8A"/>
    <w:rsid w:val="00963062"/>
    <w:rsid w:val="0096339A"/>
    <w:rsid w:val="00964477"/>
    <w:rsid w:val="009645EC"/>
    <w:rsid w:val="0097264F"/>
    <w:rsid w:val="009735FA"/>
    <w:rsid w:val="009758FD"/>
    <w:rsid w:val="00977ECA"/>
    <w:rsid w:val="00980A30"/>
    <w:rsid w:val="00982180"/>
    <w:rsid w:val="00986CC0"/>
    <w:rsid w:val="009879C6"/>
    <w:rsid w:val="00987DDE"/>
    <w:rsid w:val="00990DD9"/>
    <w:rsid w:val="009911F2"/>
    <w:rsid w:val="009928B2"/>
    <w:rsid w:val="009A6FD6"/>
    <w:rsid w:val="009A7B05"/>
    <w:rsid w:val="009B0462"/>
    <w:rsid w:val="009B3728"/>
    <w:rsid w:val="009B5DD8"/>
    <w:rsid w:val="009C0394"/>
    <w:rsid w:val="009C1533"/>
    <w:rsid w:val="009C61B2"/>
    <w:rsid w:val="009D126E"/>
    <w:rsid w:val="009E0BC1"/>
    <w:rsid w:val="009E1999"/>
    <w:rsid w:val="009E6F29"/>
    <w:rsid w:val="009F19EF"/>
    <w:rsid w:val="009F2034"/>
    <w:rsid w:val="00A00941"/>
    <w:rsid w:val="00A02AD9"/>
    <w:rsid w:val="00A03496"/>
    <w:rsid w:val="00A12924"/>
    <w:rsid w:val="00A15C89"/>
    <w:rsid w:val="00A36615"/>
    <w:rsid w:val="00A41969"/>
    <w:rsid w:val="00A4467E"/>
    <w:rsid w:val="00A52F06"/>
    <w:rsid w:val="00A60413"/>
    <w:rsid w:val="00A64163"/>
    <w:rsid w:val="00A71C30"/>
    <w:rsid w:val="00A74DF8"/>
    <w:rsid w:val="00A76B5E"/>
    <w:rsid w:val="00A83658"/>
    <w:rsid w:val="00A85489"/>
    <w:rsid w:val="00A85860"/>
    <w:rsid w:val="00A86CEC"/>
    <w:rsid w:val="00A87B1F"/>
    <w:rsid w:val="00A92727"/>
    <w:rsid w:val="00A954B0"/>
    <w:rsid w:val="00AA2790"/>
    <w:rsid w:val="00AA336E"/>
    <w:rsid w:val="00AA428E"/>
    <w:rsid w:val="00AB10AC"/>
    <w:rsid w:val="00AB36DA"/>
    <w:rsid w:val="00AC5728"/>
    <w:rsid w:val="00AC5857"/>
    <w:rsid w:val="00AD1AA6"/>
    <w:rsid w:val="00AD2B04"/>
    <w:rsid w:val="00AD429C"/>
    <w:rsid w:val="00AD4FC6"/>
    <w:rsid w:val="00AE3202"/>
    <w:rsid w:val="00AE3E47"/>
    <w:rsid w:val="00AE497B"/>
    <w:rsid w:val="00AE64FE"/>
    <w:rsid w:val="00AF0839"/>
    <w:rsid w:val="00AF1F2A"/>
    <w:rsid w:val="00AF277A"/>
    <w:rsid w:val="00AF30EF"/>
    <w:rsid w:val="00AF5490"/>
    <w:rsid w:val="00AF5D39"/>
    <w:rsid w:val="00AF6193"/>
    <w:rsid w:val="00AF6585"/>
    <w:rsid w:val="00B04009"/>
    <w:rsid w:val="00B11F93"/>
    <w:rsid w:val="00B1387B"/>
    <w:rsid w:val="00B22210"/>
    <w:rsid w:val="00B22A8C"/>
    <w:rsid w:val="00B41B49"/>
    <w:rsid w:val="00B42523"/>
    <w:rsid w:val="00B43507"/>
    <w:rsid w:val="00B45F04"/>
    <w:rsid w:val="00B4633B"/>
    <w:rsid w:val="00B50529"/>
    <w:rsid w:val="00B606F4"/>
    <w:rsid w:val="00B65BEA"/>
    <w:rsid w:val="00B679A4"/>
    <w:rsid w:val="00B777AF"/>
    <w:rsid w:val="00B77BBA"/>
    <w:rsid w:val="00B81789"/>
    <w:rsid w:val="00B92DF1"/>
    <w:rsid w:val="00B95B28"/>
    <w:rsid w:val="00BB0A87"/>
    <w:rsid w:val="00BC1E60"/>
    <w:rsid w:val="00BC41D0"/>
    <w:rsid w:val="00BD7063"/>
    <w:rsid w:val="00BE084C"/>
    <w:rsid w:val="00BE18D8"/>
    <w:rsid w:val="00BF2685"/>
    <w:rsid w:val="00BF4150"/>
    <w:rsid w:val="00BF451A"/>
    <w:rsid w:val="00C06954"/>
    <w:rsid w:val="00C079B0"/>
    <w:rsid w:val="00C1173D"/>
    <w:rsid w:val="00C11AC6"/>
    <w:rsid w:val="00C14250"/>
    <w:rsid w:val="00C2151C"/>
    <w:rsid w:val="00C2297C"/>
    <w:rsid w:val="00C315CB"/>
    <w:rsid w:val="00C355F0"/>
    <w:rsid w:val="00C36EB0"/>
    <w:rsid w:val="00C5211E"/>
    <w:rsid w:val="00C54151"/>
    <w:rsid w:val="00C56DCC"/>
    <w:rsid w:val="00C63242"/>
    <w:rsid w:val="00C64BB4"/>
    <w:rsid w:val="00C71D6E"/>
    <w:rsid w:val="00C73CF5"/>
    <w:rsid w:val="00C757D1"/>
    <w:rsid w:val="00C75A35"/>
    <w:rsid w:val="00C75BD4"/>
    <w:rsid w:val="00C76FF4"/>
    <w:rsid w:val="00C87255"/>
    <w:rsid w:val="00CA03FA"/>
    <w:rsid w:val="00CA3BE0"/>
    <w:rsid w:val="00CA53B9"/>
    <w:rsid w:val="00CA5C08"/>
    <w:rsid w:val="00CB00DD"/>
    <w:rsid w:val="00CB0739"/>
    <w:rsid w:val="00CB4D75"/>
    <w:rsid w:val="00CE3400"/>
    <w:rsid w:val="00CE5C30"/>
    <w:rsid w:val="00CE79C1"/>
    <w:rsid w:val="00CF0AB6"/>
    <w:rsid w:val="00CF2624"/>
    <w:rsid w:val="00CF4C8A"/>
    <w:rsid w:val="00CF663C"/>
    <w:rsid w:val="00D00482"/>
    <w:rsid w:val="00D03218"/>
    <w:rsid w:val="00D03998"/>
    <w:rsid w:val="00D06858"/>
    <w:rsid w:val="00D1317A"/>
    <w:rsid w:val="00D13555"/>
    <w:rsid w:val="00D33D34"/>
    <w:rsid w:val="00D34457"/>
    <w:rsid w:val="00D362DF"/>
    <w:rsid w:val="00D36448"/>
    <w:rsid w:val="00D404AB"/>
    <w:rsid w:val="00D46DAF"/>
    <w:rsid w:val="00D471DD"/>
    <w:rsid w:val="00D52767"/>
    <w:rsid w:val="00D52D6F"/>
    <w:rsid w:val="00D540FC"/>
    <w:rsid w:val="00D554CD"/>
    <w:rsid w:val="00D57046"/>
    <w:rsid w:val="00D574CA"/>
    <w:rsid w:val="00D71BC4"/>
    <w:rsid w:val="00D72A0F"/>
    <w:rsid w:val="00D80677"/>
    <w:rsid w:val="00D807D4"/>
    <w:rsid w:val="00D84977"/>
    <w:rsid w:val="00D91890"/>
    <w:rsid w:val="00D94922"/>
    <w:rsid w:val="00DA251A"/>
    <w:rsid w:val="00DB0AEA"/>
    <w:rsid w:val="00DB1DE9"/>
    <w:rsid w:val="00DB52E8"/>
    <w:rsid w:val="00DB6276"/>
    <w:rsid w:val="00DB779E"/>
    <w:rsid w:val="00DC1F34"/>
    <w:rsid w:val="00DC21B1"/>
    <w:rsid w:val="00DD025A"/>
    <w:rsid w:val="00DD2352"/>
    <w:rsid w:val="00DD2B9E"/>
    <w:rsid w:val="00DD7D7A"/>
    <w:rsid w:val="00DE18E2"/>
    <w:rsid w:val="00DE2FB2"/>
    <w:rsid w:val="00DF0733"/>
    <w:rsid w:val="00E079EB"/>
    <w:rsid w:val="00E10718"/>
    <w:rsid w:val="00E13044"/>
    <w:rsid w:val="00E14145"/>
    <w:rsid w:val="00E3050F"/>
    <w:rsid w:val="00E30A98"/>
    <w:rsid w:val="00E31810"/>
    <w:rsid w:val="00E32917"/>
    <w:rsid w:val="00E3747E"/>
    <w:rsid w:val="00E40D8D"/>
    <w:rsid w:val="00E43792"/>
    <w:rsid w:val="00E4779C"/>
    <w:rsid w:val="00E52EA7"/>
    <w:rsid w:val="00E54676"/>
    <w:rsid w:val="00E5552B"/>
    <w:rsid w:val="00E5721B"/>
    <w:rsid w:val="00E60F5C"/>
    <w:rsid w:val="00E639D2"/>
    <w:rsid w:val="00E63AE7"/>
    <w:rsid w:val="00E65AF5"/>
    <w:rsid w:val="00E732EC"/>
    <w:rsid w:val="00E74398"/>
    <w:rsid w:val="00E807CE"/>
    <w:rsid w:val="00E87F70"/>
    <w:rsid w:val="00E925BD"/>
    <w:rsid w:val="00E9527F"/>
    <w:rsid w:val="00E9729D"/>
    <w:rsid w:val="00E97C17"/>
    <w:rsid w:val="00EA35D6"/>
    <w:rsid w:val="00EA3809"/>
    <w:rsid w:val="00EA40B9"/>
    <w:rsid w:val="00EA58E4"/>
    <w:rsid w:val="00EA7AD4"/>
    <w:rsid w:val="00EB7CC9"/>
    <w:rsid w:val="00EC3DBE"/>
    <w:rsid w:val="00EC6455"/>
    <w:rsid w:val="00EC66F5"/>
    <w:rsid w:val="00EC7F11"/>
    <w:rsid w:val="00ED0A0D"/>
    <w:rsid w:val="00ED2F67"/>
    <w:rsid w:val="00ED3821"/>
    <w:rsid w:val="00ED72E0"/>
    <w:rsid w:val="00EE5821"/>
    <w:rsid w:val="00EE7CE6"/>
    <w:rsid w:val="00EF563B"/>
    <w:rsid w:val="00F029F1"/>
    <w:rsid w:val="00F03296"/>
    <w:rsid w:val="00F03DC0"/>
    <w:rsid w:val="00F13AD0"/>
    <w:rsid w:val="00F165EC"/>
    <w:rsid w:val="00F17C36"/>
    <w:rsid w:val="00F209B7"/>
    <w:rsid w:val="00F23181"/>
    <w:rsid w:val="00F23E3D"/>
    <w:rsid w:val="00F25FD1"/>
    <w:rsid w:val="00F2705D"/>
    <w:rsid w:val="00F31466"/>
    <w:rsid w:val="00F33153"/>
    <w:rsid w:val="00F349AE"/>
    <w:rsid w:val="00F37B25"/>
    <w:rsid w:val="00F40A6A"/>
    <w:rsid w:val="00F422E1"/>
    <w:rsid w:val="00F5117E"/>
    <w:rsid w:val="00F6404A"/>
    <w:rsid w:val="00F71F8E"/>
    <w:rsid w:val="00F720A3"/>
    <w:rsid w:val="00F74762"/>
    <w:rsid w:val="00F74EA5"/>
    <w:rsid w:val="00F877FD"/>
    <w:rsid w:val="00F930CD"/>
    <w:rsid w:val="00F9395A"/>
    <w:rsid w:val="00F95133"/>
    <w:rsid w:val="00FA3B2F"/>
    <w:rsid w:val="00FA48AC"/>
    <w:rsid w:val="00FB0592"/>
    <w:rsid w:val="00FB0B2B"/>
    <w:rsid w:val="00FB11EB"/>
    <w:rsid w:val="00FB139B"/>
    <w:rsid w:val="00FB6E3A"/>
    <w:rsid w:val="00FB7ABB"/>
    <w:rsid w:val="00FC1467"/>
    <w:rsid w:val="00FC1604"/>
    <w:rsid w:val="00FD14DB"/>
    <w:rsid w:val="00FD4FD0"/>
    <w:rsid w:val="00FD6881"/>
    <w:rsid w:val="00FE0621"/>
    <w:rsid w:val="00FE0D67"/>
    <w:rsid w:val="00FE290A"/>
    <w:rsid w:val="00FE5921"/>
    <w:rsid w:val="00FF0633"/>
    <w:rsid w:val="00FF3528"/>
    <w:rsid w:val="00FF3C29"/>
    <w:rsid w:val="00FF4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1449B"/>
  <w15:docId w15:val="{5D43E763-0E0C-41FD-9248-F3A09BCE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4685C"/>
    <w:pPr>
      <w:ind w:left="720"/>
    </w:pPr>
  </w:style>
  <w:style w:type="character" w:customStyle="1" w:styleId="superscript">
    <w:name w:val="superscript"/>
    <w:rsid w:val="0034685C"/>
    <w:rPr>
      <w:sz w:val="20"/>
    </w:rPr>
  </w:style>
  <w:style w:type="character" w:styleId="HTMLCite">
    <w:name w:val="HTML Cite"/>
    <w:basedOn w:val="DefaultParagraphFont"/>
    <w:unhideWhenUsed/>
    <w:rsid w:val="0034685C"/>
    <w:rPr>
      <w:i/>
    </w:rPr>
  </w:style>
  <w:style w:type="character" w:customStyle="1" w:styleId="cit-auth2">
    <w:name w:val="cit-auth2"/>
    <w:rsid w:val="0034685C"/>
  </w:style>
  <w:style w:type="character" w:customStyle="1" w:styleId="cit-article-title">
    <w:name w:val="cit-article-title"/>
    <w:rsid w:val="0034685C"/>
  </w:style>
  <w:style w:type="character" w:customStyle="1" w:styleId="cit-pub-date2">
    <w:name w:val="cit-pub-date2"/>
    <w:rsid w:val="0034685C"/>
  </w:style>
  <w:style w:type="character" w:customStyle="1" w:styleId="cit-vol5">
    <w:name w:val="cit-vol5"/>
    <w:rsid w:val="0034685C"/>
  </w:style>
  <w:style w:type="character" w:customStyle="1" w:styleId="cit-supplement">
    <w:name w:val="cit-supplement"/>
    <w:rsid w:val="0034685C"/>
  </w:style>
  <w:style w:type="character" w:customStyle="1" w:styleId="cit-fpage">
    <w:name w:val="cit-fpage"/>
    <w:rsid w:val="0034685C"/>
  </w:style>
  <w:style w:type="character" w:customStyle="1" w:styleId="cit-lpage">
    <w:name w:val="cit-lpage"/>
    <w:rsid w:val="0034685C"/>
  </w:style>
  <w:style w:type="character" w:styleId="Emphasis">
    <w:name w:val="Emphasis"/>
    <w:basedOn w:val="DefaultParagraphFont"/>
    <w:qFormat/>
    <w:rsid w:val="0034685C"/>
    <w:rPr>
      <w:i/>
    </w:rPr>
  </w:style>
  <w:style w:type="character" w:customStyle="1" w:styleId="cit-pub-id">
    <w:name w:val="cit-pub-id"/>
    <w:rsid w:val="0034685C"/>
  </w:style>
  <w:style w:type="character" w:customStyle="1" w:styleId="cit-name-surname">
    <w:name w:val="cit-name-surname"/>
    <w:rsid w:val="0034685C"/>
  </w:style>
  <w:style w:type="character" w:customStyle="1" w:styleId="cit-name-given-names">
    <w:name w:val="cit-name-given-names"/>
    <w:rsid w:val="0034685C"/>
  </w:style>
  <w:style w:type="character" w:customStyle="1" w:styleId="cit-issue2">
    <w:name w:val="cit-issue2"/>
    <w:rsid w:val="0034685C"/>
  </w:style>
  <w:style w:type="character" w:customStyle="1" w:styleId="cit-pub-id-scheme-pmid">
    <w:name w:val="cit-pub-id-scheme-pmid"/>
    <w:rsid w:val="0034685C"/>
  </w:style>
  <w:style w:type="character" w:customStyle="1" w:styleId="cit-etal">
    <w:name w:val="cit-etal"/>
    <w:rsid w:val="0034685C"/>
  </w:style>
  <w:style w:type="character" w:styleId="CommentReference">
    <w:name w:val="annotation reference"/>
    <w:basedOn w:val="DefaultParagraphFont"/>
    <w:rsid w:val="00583C18"/>
    <w:rPr>
      <w:sz w:val="16"/>
      <w:szCs w:val="16"/>
    </w:rPr>
  </w:style>
  <w:style w:type="paragraph" w:styleId="CommentText">
    <w:name w:val="annotation text"/>
    <w:basedOn w:val="Normal"/>
    <w:link w:val="CommentTextChar"/>
    <w:rsid w:val="00583C18"/>
    <w:rPr>
      <w:sz w:val="20"/>
      <w:szCs w:val="20"/>
    </w:rPr>
  </w:style>
  <w:style w:type="character" w:customStyle="1" w:styleId="CommentTextChar">
    <w:name w:val="Comment Text Char"/>
    <w:basedOn w:val="DefaultParagraphFont"/>
    <w:link w:val="CommentText"/>
    <w:rsid w:val="00583C18"/>
  </w:style>
  <w:style w:type="paragraph" w:styleId="CommentSubject">
    <w:name w:val="annotation subject"/>
    <w:basedOn w:val="CommentText"/>
    <w:next w:val="CommentText"/>
    <w:link w:val="CommentSubjectChar"/>
    <w:rsid w:val="00583C18"/>
    <w:rPr>
      <w:b/>
      <w:bCs/>
    </w:rPr>
  </w:style>
  <w:style w:type="character" w:customStyle="1" w:styleId="CommentSubjectChar">
    <w:name w:val="Comment Subject Char"/>
    <w:basedOn w:val="CommentTextChar"/>
    <w:link w:val="CommentSubject"/>
    <w:rsid w:val="00583C18"/>
    <w:rPr>
      <w:b/>
      <w:bCs/>
    </w:rPr>
  </w:style>
  <w:style w:type="paragraph" w:styleId="Revision">
    <w:name w:val="Revision"/>
    <w:hidden/>
    <w:uiPriority w:val="99"/>
    <w:semiHidden/>
    <w:rsid w:val="00740EC2"/>
    <w:rPr>
      <w:sz w:val="24"/>
      <w:szCs w:val="24"/>
    </w:rPr>
  </w:style>
  <w:style w:type="character" w:customStyle="1" w:styleId="UnresolvedMention1">
    <w:name w:val="Unresolved Mention1"/>
    <w:basedOn w:val="DefaultParagraphFont"/>
    <w:uiPriority w:val="99"/>
    <w:semiHidden/>
    <w:unhideWhenUsed/>
    <w:rsid w:val="003C73EF"/>
    <w:rPr>
      <w:color w:val="605E5C"/>
      <w:shd w:val="clear" w:color="auto" w:fill="E1DFDD"/>
    </w:rPr>
  </w:style>
  <w:style w:type="character" w:styleId="UnresolvedMention">
    <w:name w:val="Unresolved Mention"/>
    <w:basedOn w:val="DefaultParagraphFont"/>
    <w:uiPriority w:val="99"/>
    <w:semiHidden/>
    <w:unhideWhenUsed/>
    <w:rsid w:val="004C3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81985">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632294942">
      <w:bodyDiv w:val="1"/>
      <w:marLeft w:val="0"/>
      <w:marRight w:val="0"/>
      <w:marTop w:val="0"/>
      <w:marBottom w:val="0"/>
      <w:divBdr>
        <w:top w:val="none" w:sz="0" w:space="0" w:color="auto"/>
        <w:left w:val="none" w:sz="0" w:space="0" w:color="auto"/>
        <w:bottom w:val="none" w:sz="0" w:space="0" w:color="auto"/>
        <w:right w:val="none" w:sz="0" w:space="0" w:color="auto"/>
      </w:divBdr>
      <w:divsChild>
        <w:div w:id="564725735">
          <w:marLeft w:val="0"/>
          <w:marRight w:val="720"/>
          <w:marTop w:val="0"/>
          <w:marBottom w:val="0"/>
          <w:divBdr>
            <w:top w:val="none" w:sz="0" w:space="0" w:color="auto"/>
            <w:left w:val="none" w:sz="0" w:space="0" w:color="auto"/>
            <w:bottom w:val="none" w:sz="0" w:space="0" w:color="auto"/>
            <w:right w:val="none" w:sz="0" w:space="0" w:color="auto"/>
          </w:divBdr>
        </w:div>
        <w:div w:id="973950248">
          <w:marLeft w:val="0"/>
          <w:marRight w:val="0"/>
          <w:marTop w:val="0"/>
          <w:marBottom w:val="0"/>
          <w:divBdr>
            <w:top w:val="none" w:sz="0" w:space="0" w:color="auto"/>
            <w:left w:val="none" w:sz="0" w:space="0" w:color="auto"/>
            <w:bottom w:val="none" w:sz="0" w:space="0" w:color="auto"/>
            <w:right w:val="none" w:sz="0" w:space="0" w:color="auto"/>
          </w:divBdr>
        </w:div>
      </w:divsChild>
    </w:div>
    <w:div w:id="1114598211">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155730596">
      <w:bodyDiv w:val="1"/>
      <w:marLeft w:val="0"/>
      <w:marRight w:val="0"/>
      <w:marTop w:val="0"/>
      <w:marBottom w:val="0"/>
      <w:divBdr>
        <w:top w:val="none" w:sz="0" w:space="0" w:color="auto"/>
        <w:left w:val="none" w:sz="0" w:space="0" w:color="auto"/>
        <w:bottom w:val="none" w:sz="0" w:space="0" w:color="auto"/>
        <w:right w:val="none" w:sz="0" w:space="0" w:color="auto"/>
      </w:divBdr>
    </w:div>
    <w:div w:id="1278364804">
      <w:bodyDiv w:val="1"/>
      <w:marLeft w:val="0"/>
      <w:marRight w:val="0"/>
      <w:marTop w:val="0"/>
      <w:marBottom w:val="0"/>
      <w:divBdr>
        <w:top w:val="none" w:sz="0" w:space="0" w:color="auto"/>
        <w:left w:val="none" w:sz="0" w:space="0" w:color="auto"/>
        <w:bottom w:val="none" w:sz="0" w:space="0" w:color="auto"/>
        <w:right w:val="none" w:sz="0" w:space="0" w:color="auto"/>
      </w:divBdr>
    </w:div>
    <w:div w:id="1383364616">
      <w:bodyDiv w:val="1"/>
      <w:marLeft w:val="0"/>
      <w:marRight w:val="0"/>
      <w:marTop w:val="0"/>
      <w:marBottom w:val="0"/>
      <w:divBdr>
        <w:top w:val="none" w:sz="0" w:space="0" w:color="auto"/>
        <w:left w:val="none" w:sz="0" w:space="0" w:color="auto"/>
        <w:bottom w:val="none" w:sz="0" w:space="0" w:color="auto"/>
        <w:right w:val="none" w:sz="0" w:space="0" w:color="auto"/>
      </w:divBdr>
      <w:divsChild>
        <w:div w:id="369844133">
          <w:marLeft w:val="0"/>
          <w:marRight w:val="720"/>
          <w:marTop w:val="0"/>
          <w:marBottom w:val="0"/>
          <w:divBdr>
            <w:top w:val="none" w:sz="0" w:space="0" w:color="auto"/>
            <w:left w:val="none" w:sz="0" w:space="0" w:color="auto"/>
            <w:bottom w:val="none" w:sz="0" w:space="0" w:color="auto"/>
            <w:right w:val="none" w:sz="0" w:space="0" w:color="auto"/>
          </w:divBdr>
        </w:div>
        <w:div w:id="1741050487">
          <w:marLeft w:val="0"/>
          <w:marRight w:val="0"/>
          <w:marTop w:val="0"/>
          <w:marBottom w:val="0"/>
          <w:divBdr>
            <w:top w:val="none" w:sz="0" w:space="0" w:color="auto"/>
            <w:left w:val="none" w:sz="0" w:space="0" w:color="auto"/>
            <w:bottom w:val="none" w:sz="0" w:space="0" w:color="auto"/>
            <w:right w:val="none" w:sz="0" w:space="0" w:color="auto"/>
          </w:divBdr>
        </w:div>
      </w:divsChild>
    </w:div>
    <w:div w:id="1702707526">
      <w:bodyDiv w:val="1"/>
      <w:marLeft w:val="0"/>
      <w:marRight w:val="0"/>
      <w:marTop w:val="0"/>
      <w:marBottom w:val="0"/>
      <w:divBdr>
        <w:top w:val="none" w:sz="0" w:space="0" w:color="auto"/>
        <w:left w:val="none" w:sz="0" w:space="0" w:color="auto"/>
        <w:bottom w:val="none" w:sz="0" w:space="0" w:color="auto"/>
        <w:right w:val="none" w:sz="0" w:space="0" w:color="auto"/>
      </w:divBdr>
    </w:div>
    <w:div w:id="1767723038">
      <w:bodyDiv w:val="1"/>
      <w:marLeft w:val="0"/>
      <w:marRight w:val="0"/>
      <w:marTop w:val="0"/>
      <w:marBottom w:val="0"/>
      <w:divBdr>
        <w:top w:val="none" w:sz="0" w:space="0" w:color="auto"/>
        <w:left w:val="none" w:sz="0" w:space="0" w:color="auto"/>
        <w:bottom w:val="none" w:sz="0" w:space="0" w:color="auto"/>
        <w:right w:val="none" w:sz="0" w:space="0" w:color="auto"/>
      </w:divBdr>
    </w:div>
    <w:div w:id="1879853950">
      <w:bodyDiv w:val="1"/>
      <w:marLeft w:val="0"/>
      <w:marRight w:val="0"/>
      <w:marTop w:val="0"/>
      <w:marBottom w:val="0"/>
      <w:divBdr>
        <w:top w:val="none" w:sz="0" w:space="0" w:color="auto"/>
        <w:left w:val="none" w:sz="0" w:space="0" w:color="auto"/>
        <w:bottom w:val="none" w:sz="0" w:space="0" w:color="auto"/>
        <w:right w:val="none" w:sz="0" w:space="0" w:color="auto"/>
      </w:divBdr>
    </w:div>
    <w:div w:id="2104304352">
      <w:bodyDiv w:val="1"/>
      <w:marLeft w:val="0"/>
      <w:marRight w:val="0"/>
      <w:marTop w:val="0"/>
      <w:marBottom w:val="0"/>
      <w:divBdr>
        <w:top w:val="none" w:sz="0" w:space="0" w:color="auto"/>
        <w:left w:val="none" w:sz="0" w:space="0" w:color="auto"/>
        <w:bottom w:val="none" w:sz="0" w:space="0" w:color="auto"/>
        <w:right w:val="none" w:sz="0" w:space="0" w:color="auto"/>
      </w:divBdr>
      <w:divsChild>
        <w:div w:id="987787470">
          <w:marLeft w:val="0"/>
          <w:marRight w:val="720"/>
          <w:marTop w:val="0"/>
          <w:marBottom w:val="0"/>
          <w:divBdr>
            <w:top w:val="none" w:sz="0" w:space="0" w:color="auto"/>
            <w:left w:val="none" w:sz="0" w:space="0" w:color="auto"/>
            <w:bottom w:val="none" w:sz="0" w:space="0" w:color="auto"/>
            <w:right w:val="none" w:sz="0" w:space="0" w:color="auto"/>
          </w:divBdr>
        </w:div>
        <w:div w:id="1050808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ptodate.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ptodate.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neonatalsepsiscalculator.kaiserpermanente.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uptodat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ncbi.nlm.nih.gov/books/NBK531478/" TargetMode="External"/><Relationship Id="rId10" Type="http://schemas.openxmlformats.org/officeDocument/2006/relationships/endnotes" Target="endnotes.xml"/><Relationship Id="rId19" Type="http://schemas.openxmlformats.org/officeDocument/2006/relationships/hyperlink" Target="http://www.uptoda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ptodat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D98CAE6-F13B-4EE7-8952-EA951CD8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0B3D57-41ED-40D3-B371-3DB3C51DCA95}">
  <ds:schemaRefs>
    <ds:schemaRef ds:uri="http://schemas.microsoft.com/sharepoint/v3/contenttype/forms"/>
  </ds:schemaRefs>
</ds:datastoreItem>
</file>

<file path=customXml/itemProps3.xml><?xml version="1.0" encoding="utf-8"?>
<ds:datastoreItem xmlns:ds="http://schemas.openxmlformats.org/officeDocument/2006/customXml" ds:itemID="{C8D28A1C-CEA7-4758-8C66-BED7278B63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26C4F9-9793-43D3-AB23-EC69C882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3180</Words>
  <Characters>19228</Characters>
  <Application>Microsoft Office Word</Application>
  <DocSecurity>2</DocSecurity>
  <Lines>160</Lines>
  <Paragraphs>44</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Victoria T. Kostecki</cp:lastModifiedBy>
  <cp:revision>2</cp:revision>
  <cp:lastPrinted>2015-06-25T20:16:00Z</cp:lastPrinted>
  <dcterms:created xsi:type="dcterms:W3CDTF">2025-07-09T15:03:00Z</dcterms:created>
  <dcterms:modified xsi:type="dcterms:W3CDTF">2025-07-09T15:03:00Z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2022-05-26T21:19:33Z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d8cf17f1-d9b3-48b9-8646-1619e3f33bb5</vt:lpwstr>
  </property>
  <property fmtid="{D5CDD505-2E9C-101B-9397-08002B2CF9AE}" pid="8" name="MSIP_Label_5a776955-85f6-4fec-9553-96dd3e0373c4_ContentBits">
    <vt:lpwstr>0</vt:lpwstr>
  </property>
</Properties>
</file>