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3E43" w14:textId="5F4D5A17" w:rsidR="000A65DC" w:rsidRPr="00EF20E2" w:rsidRDefault="000A65DC" w:rsidP="000A65DC">
      <w:pPr>
        <w:pStyle w:val="PolicyMainHead"/>
        <w:tabs>
          <w:tab w:val="left" w:pos="360"/>
        </w:tabs>
        <w:spacing w:after="0" w:line="240" w:lineRule="auto"/>
        <w:rPr>
          <w:rFonts w:ascii="Times New Roman" w:hAnsi="Times New Roman"/>
          <w:color w:val="00548C"/>
          <w:sz w:val="32"/>
        </w:rPr>
      </w:pPr>
      <w:r w:rsidRPr="00EF20E2">
        <w:rPr>
          <w:rFonts w:ascii="Times New Roman" w:hAnsi="Times New Roman"/>
          <w:color w:val="00548C"/>
          <w:sz w:val="32"/>
        </w:rPr>
        <w:t>Clinical Policy: NICU Discharge Guidelines</w:t>
      </w:r>
    </w:p>
    <w:p w14:paraId="3D9683BB" w14:textId="77777777" w:rsidR="000A65DC" w:rsidRPr="00B65C69" w:rsidRDefault="000A65DC" w:rsidP="000A65DC">
      <w:pPr>
        <w:pStyle w:val="PolicyMainHead"/>
        <w:tabs>
          <w:tab w:val="left" w:pos="360"/>
        </w:tabs>
        <w:spacing w:after="0" w:line="240" w:lineRule="auto"/>
        <w:rPr>
          <w:color w:val="00548C"/>
          <w:sz w:val="22"/>
        </w:rPr>
        <w:sectPr w:rsidR="000A65DC" w:rsidRPr="00B65C69" w:rsidSect="005923A9">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52486C48" w14:textId="77777777" w:rsidR="000A65DC" w:rsidRPr="003D7BE7" w:rsidRDefault="000A65DC" w:rsidP="000A65DC">
      <w:pPr>
        <w:pStyle w:val="PolicyMainHead"/>
        <w:spacing w:after="0" w:line="240" w:lineRule="auto"/>
        <w:ind w:left="360"/>
        <w:rPr>
          <w:rFonts w:ascii="Times New Roman" w:hAnsi="Times New Roman"/>
          <w:color w:val="00548C"/>
          <w:sz w:val="24"/>
          <w:szCs w:val="24"/>
        </w:rPr>
        <w:sectPr w:rsidR="000A65DC" w:rsidRPr="003D7BE7" w:rsidSect="005923A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MP.81</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p>
    <w:p w14:paraId="3F6EEDB5" w14:textId="0AF2D562" w:rsidR="000A65DC" w:rsidRDefault="00363A2C" w:rsidP="000A65DC">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0A65DC" w:rsidRPr="003D7BE7">
        <w:rPr>
          <w:rFonts w:ascii="Times New Roman" w:hAnsi="Times New Roman"/>
          <w:color w:val="00548C"/>
          <w:sz w:val="24"/>
          <w:szCs w:val="24"/>
        </w:rPr>
        <w:t xml:space="preserve">: </w:t>
      </w:r>
      <w:r w:rsidR="000A65DC">
        <w:rPr>
          <w:rFonts w:ascii="Times New Roman" w:hAnsi="Times New Roman"/>
          <w:color w:val="00548C"/>
          <w:sz w:val="24"/>
          <w:szCs w:val="24"/>
        </w:rPr>
        <w:t>0</w:t>
      </w:r>
      <w:r w:rsidR="00F55AE5">
        <w:rPr>
          <w:rFonts w:ascii="Times New Roman" w:hAnsi="Times New Roman"/>
          <w:color w:val="00548C"/>
          <w:sz w:val="24"/>
          <w:szCs w:val="24"/>
        </w:rPr>
        <w:t>6</w:t>
      </w:r>
      <w:r w:rsidR="000A65DC">
        <w:rPr>
          <w:rFonts w:ascii="Times New Roman" w:hAnsi="Times New Roman"/>
          <w:color w:val="00548C"/>
          <w:sz w:val="24"/>
          <w:szCs w:val="24"/>
        </w:rPr>
        <w:t>/</w:t>
      </w:r>
      <w:r w:rsidR="00ED400F">
        <w:rPr>
          <w:rFonts w:ascii="Times New Roman" w:hAnsi="Times New Roman"/>
          <w:color w:val="00548C"/>
          <w:sz w:val="24"/>
          <w:szCs w:val="24"/>
        </w:rPr>
        <w:t>2</w:t>
      </w:r>
      <w:r w:rsidR="0013750A">
        <w:rPr>
          <w:rFonts w:ascii="Times New Roman" w:hAnsi="Times New Roman"/>
          <w:color w:val="00548C"/>
          <w:sz w:val="24"/>
          <w:szCs w:val="24"/>
        </w:rPr>
        <w:t>5</w:t>
      </w:r>
    </w:p>
    <w:p w14:paraId="1DA213A5" w14:textId="77777777" w:rsidR="000A65DC" w:rsidRDefault="000A65DC" w:rsidP="000A65DC">
      <w:pPr>
        <w:pStyle w:val="PolicyMainHead"/>
        <w:tabs>
          <w:tab w:val="left" w:pos="360"/>
        </w:tabs>
        <w:spacing w:after="0" w:line="240" w:lineRule="auto"/>
        <w:jc w:val="right"/>
        <w:rPr>
          <w:rStyle w:val="Strong"/>
          <w:b w:val="0"/>
          <w:bCs w:val="0"/>
          <w:u w:val="single"/>
        </w:rPr>
        <w:sectPr w:rsidR="000A65DC" w:rsidSect="005923A9">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6DD86114" w14:textId="77777777" w:rsidR="000A65DC" w:rsidRPr="003D7BE7" w:rsidRDefault="000A65DC" w:rsidP="000A65DC">
      <w:pPr>
        <w:pStyle w:val="PolicyMainHead"/>
        <w:tabs>
          <w:tab w:val="left" w:pos="360"/>
        </w:tabs>
        <w:spacing w:after="0" w:line="240" w:lineRule="auto"/>
        <w:rPr>
          <w:rFonts w:ascii="Times New Roman" w:hAnsi="Times New Roman"/>
          <w:color w:val="00548C"/>
          <w:sz w:val="24"/>
          <w:szCs w:val="24"/>
        </w:rPr>
      </w:pPr>
    </w:p>
    <w:p w14:paraId="211128B0" w14:textId="33B327AD" w:rsidR="000A65DC" w:rsidRPr="003D7BE7" w:rsidRDefault="000A65DC" w:rsidP="000A65DC">
      <w:pPr>
        <w:pStyle w:val="PolicyMainHead"/>
        <w:tabs>
          <w:tab w:val="left" w:pos="360"/>
        </w:tabs>
        <w:spacing w:after="0" w:line="240" w:lineRule="auto"/>
        <w:jc w:val="right"/>
        <w:rPr>
          <w:rFonts w:ascii="Times New Roman" w:hAnsi="Times New Roman"/>
          <w:color w:val="00548C"/>
          <w:sz w:val="24"/>
          <w:szCs w:val="24"/>
        </w:rPr>
        <w:sectPr w:rsidR="000A65DC" w:rsidRPr="003D7BE7" w:rsidSect="005923A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ab/>
      </w:r>
    </w:p>
    <w:p w14:paraId="2A52BB7C" w14:textId="77777777" w:rsidR="000A65DC" w:rsidRPr="005D7B81" w:rsidRDefault="000A65DC" w:rsidP="000A65DC">
      <w:pPr>
        <w:pStyle w:val="NormalWeb"/>
        <w:spacing w:before="0" w:beforeAutospacing="0" w:after="0" w:afterAutospacing="0"/>
        <w:rPr>
          <w:rStyle w:val="Strong"/>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42EF4BD4" w14:textId="0FCB912C" w:rsidR="000A65DC" w:rsidRPr="002C20FD" w:rsidRDefault="000A65DC" w:rsidP="000A65DC">
      <w:pPr>
        <w:pStyle w:val="NormalWeb"/>
        <w:spacing w:before="0" w:beforeAutospacing="0" w:after="0" w:afterAutospacing="0"/>
        <w:rPr>
          <w:rStyle w:val="Strong"/>
          <w:rFonts w:ascii="Times New Roman" w:hAnsi="Times New Roman" w:cs="Times New Roman"/>
          <w:b w:val="0"/>
          <w:bCs w:val="0"/>
          <w:u w:val="single"/>
        </w:rPr>
      </w:pPr>
    </w:p>
    <w:p w14:paraId="713CDE4D" w14:textId="77777777" w:rsidR="000A65DC" w:rsidRPr="00B777AF" w:rsidRDefault="000A65DC" w:rsidP="000A65DC">
      <w:pPr>
        <w:pStyle w:val="Heading1"/>
      </w:pPr>
      <w:r w:rsidRPr="00CA1A78">
        <w:rPr>
          <w:sz w:val="24"/>
        </w:rPr>
        <w:t>Description</w:t>
      </w:r>
      <w:r w:rsidRPr="00B777AF">
        <w:t xml:space="preserve"> </w:t>
      </w:r>
    </w:p>
    <w:p w14:paraId="47292B74" w14:textId="046B1860" w:rsidR="000A65DC" w:rsidRPr="00B777AF" w:rsidRDefault="000A65DC" w:rsidP="000A65DC">
      <w:r w:rsidRPr="005C12B1">
        <w:t xml:space="preserve">Infants who require neonatal </w:t>
      </w:r>
      <w:r>
        <w:t>admission</w:t>
      </w:r>
      <w:r w:rsidRPr="005C12B1">
        <w:t xml:space="preserve"> remain at increased</w:t>
      </w:r>
      <w:r>
        <w:t xml:space="preserve"> </w:t>
      </w:r>
      <w:r w:rsidRPr="005C12B1">
        <w:t>risk for morbidity and mor</w:t>
      </w:r>
      <w:r>
        <w:t xml:space="preserve">tality </w:t>
      </w:r>
      <w:r w:rsidRPr="008A4E3A">
        <w:t>following discharge</w:t>
      </w:r>
      <w:r w:rsidRPr="005C12B1">
        <w:t xml:space="preserve">. </w:t>
      </w:r>
      <w:r w:rsidR="006965D3">
        <w:t xml:space="preserve">A comprehensive discharge plan for these infants helps prevent prolonged hospital stays, ensures a smooth </w:t>
      </w:r>
      <w:r w:rsidR="006965D3" w:rsidRPr="008A4E3A">
        <w:t>transition home from the neonatal intensive care unit (NICU),</w:t>
      </w:r>
      <w:r w:rsidR="006965D3">
        <w:t xml:space="preserve"> and reduces morbidity and mortality after discharge.</w:t>
      </w:r>
      <w:r w:rsidR="001278AE">
        <w:rPr>
          <w:vertAlign w:val="superscript"/>
        </w:rPr>
        <w:t>5</w:t>
      </w:r>
      <w:r w:rsidR="006965D3">
        <w:t xml:space="preserve"> </w:t>
      </w:r>
    </w:p>
    <w:p w14:paraId="1174E82C" w14:textId="4D8CC1C1" w:rsidR="000A65DC" w:rsidRPr="00B777AF" w:rsidRDefault="000A65DC" w:rsidP="000A65DC"/>
    <w:p w14:paraId="4CFB8A18" w14:textId="77777777" w:rsidR="000A65DC" w:rsidRPr="00B777AF" w:rsidRDefault="000A65DC" w:rsidP="000A65DC">
      <w:pPr>
        <w:pStyle w:val="Heading2"/>
        <w:rPr>
          <w:u w:val="none"/>
        </w:rPr>
      </w:pPr>
      <w:r w:rsidRPr="00B777AF">
        <w:rPr>
          <w:u w:val="none"/>
        </w:rPr>
        <w:t>Policy/Criteria</w:t>
      </w:r>
    </w:p>
    <w:p w14:paraId="68ED97B4" w14:textId="487A4DF6" w:rsidR="000A65DC" w:rsidRDefault="000A65DC" w:rsidP="000A65DC">
      <w:pPr>
        <w:pStyle w:val="Heading2"/>
        <w:rPr>
          <w:b w:val="0"/>
          <w:bCs w:val="0"/>
          <w:u w:val="none"/>
        </w:rPr>
      </w:pPr>
      <w:r w:rsidRPr="00903E5F">
        <w:rPr>
          <w:b w:val="0"/>
          <w:color w:val="000000"/>
          <w:u w:val="none"/>
        </w:rPr>
        <w:t>It is the policy of health plans affiliated with Centene Corporation</w:t>
      </w:r>
      <w:r w:rsidRPr="00903E5F">
        <w:rPr>
          <w:b w:val="0"/>
          <w:color w:val="000000"/>
          <w:u w:val="none"/>
          <w:vertAlign w:val="superscript"/>
        </w:rPr>
        <w:t>®</w:t>
      </w:r>
      <w:r w:rsidRPr="00903E5F">
        <w:rPr>
          <w:b w:val="0"/>
          <w:color w:val="000000"/>
          <w:u w:val="none"/>
        </w:rPr>
        <w:t xml:space="preserve"> that </w:t>
      </w:r>
      <w:r>
        <w:rPr>
          <w:b w:val="0"/>
          <w:bCs w:val="0"/>
          <w:u w:val="none"/>
        </w:rPr>
        <w:t xml:space="preserve">infants are considered </w:t>
      </w:r>
      <w:r w:rsidRPr="00125DC2">
        <w:rPr>
          <w:b w:val="0"/>
          <w:bCs w:val="0"/>
          <w:u w:val="none"/>
        </w:rPr>
        <w:t>medically ready for discharge if the following physiologic competencies</w:t>
      </w:r>
      <w:r w:rsidR="00BE0B33" w:rsidRPr="00125DC2">
        <w:rPr>
          <w:b w:val="0"/>
          <w:bCs w:val="0"/>
          <w:u w:val="none"/>
        </w:rPr>
        <w:t xml:space="preserve"> in </w:t>
      </w:r>
      <w:r w:rsidR="00BE0B33" w:rsidRPr="00125DC2">
        <w:rPr>
          <w:b w:val="0"/>
          <w:u w:val="none"/>
        </w:rPr>
        <w:t>I</w:t>
      </w:r>
      <w:r w:rsidR="008735B9" w:rsidRPr="00125DC2">
        <w:rPr>
          <w:b w:val="0"/>
          <w:u w:val="none"/>
        </w:rPr>
        <w:t xml:space="preserve"> through </w:t>
      </w:r>
      <w:r w:rsidR="00BE0B33" w:rsidRPr="00125DC2">
        <w:rPr>
          <w:b w:val="0"/>
          <w:u w:val="none"/>
        </w:rPr>
        <w:t>V</w:t>
      </w:r>
      <w:r w:rsidR="0052435B" w:rsidRPr="00125DC2">
        <w:rPr>
          <w:bCs w:val="0"/>
          <w:u w:val="none"/>
        </w:rPr>
        <w:t xml:space="preserve"> </w:t>
      </w:r>
      <w:r w:rsidR="0052435B" w:rsidRPr="00125DC2">
        <w:rPr>
          <w:b w:val="0"/>
          <w:u w:val="none"/>
        </w:rPr>
        <w:t>and care competencies in</w:t>
      </w:r>
      <w:r w:rsidR="0052435B" w:rsidRPr="00125DC2">
        <w:rPr>
          <w:bCs w:val="0"/>
          <w:u w:val="none"/>
        </w:rPr>
        <w:t xml:space="preserve"> </w:t>
      </w:r>
      <w:r w:rsidR="0052435B" w:rsidRPr="00125DC2">
        <w:rPr>
          <w:b w:val="0"/>
          <w:u w:val="none"/>
        </w:rPr>
        <w:t>VI</w:t>
      </w:r>
      <w:r w:rsidR="003830DA" w:rsidRPr="00125DC2">
        <w:rPr>
          <w:bCs w:val="0"/>
          <w:u w:val="none"/>
        </w:rPr>
        <w:t xml:space="preserve"> </w:t>
      </w:r>
      <w:r w:rsidR="003830DA" w:rsidRPr="00125DC2">
        <w:rPr>
          <w:b w:val="0"/>
          <w:bCs w:val="0"/>
          <w:u w:val="none"/>
        </w:rPr>
        <w:t>are met</w:t>
      </w:r>
      <w:r w:rsidR="003830DA" w:rsidRPr="00125DC2">
        <w:rPr>
          <w:bCs w:val="0"/>
          <w:u w:val="none"/>
        </w:rPr>
        <w:t>,</w:t>
      </w:r>
      <w:r w:rsidR="00BE0B33" w:rsidRPr="00125DC2">
        <w:rPr>
          <w:b w:val="0"/>
          <w:bCs w:val="0"/>
          <w:u w:val="none"/>
        </w:rPr>
        <w:t xml:space="preserve"> or </w:t>
      </w:r>
      <w:r w:rsidR="00600632" w:rsidRPr="00125DC2">
        <w:rPr>
          <w:b w:val="0"/>
          <w:bCs w:val="0"/>
          <w:u w:val="none"/>
        </w:rPr>
        <w:t>for a lower level of care</w:t>
      </w:r>
      <w:r w:rsidR="0052435B" w:rsidRPr="00125DC2">
        <w:rPr>
          <w:b w:val="0"/>
          <w:bCs w:val="0"/>
          <w:u w:val="none"/>
        </w:rPr>
        <w:t>,</w:t>
      </w:r>
      <w:r w:rsidR="00600632" w:rsidRPr="00125DC2">
        <w:rPr>
          <w:b w:val="0"/>
          <w:bCs w:val="0"/>
          <w:u w:val="none"/>
        </w:rPr>
        <w:t xml:space="preserve"> if the </w:t>
      </w:r>
      <w:r w:rsidR="00BE0B33" w:rsidRPr="00125DC2">
        <w:rPr>
          <w:b w:val="0"/>
          <w:bCs w:val="0"/>
          <w:u w:val="none"/>
        </w:rPr>
        <w:t>authorization protocol</w:t>
      </w:r>
      <w:r w:rsidR="00BE0B33">
        <w:rPr>
          <w:b w:val="0"/>
          <w:bCs w:val="0"/>
          <w:u w:val="none"/>
        </w:rPr>
        <w:t xml:space="preserve"> </w:t>
      </w:r>
      <w:r w:rsidR="0052435B">
        <w:rPr>
          <w:b w:val="0"/>
          <w:bCs w:val="0"/>
          <w:u w:val="none"/>
        </w:rPr>
        <w:t>is</w:t>
      </w:r>
      <w:r>
        <w:rPr>
          <w:b w:val="0"/>
          <w:bCs w:val="0"/>
          <w:u w:val="none"/>
        </w:rPr>
        <w:t xml:space="preserve"> met:</w:t>
      </w:r>
    </w:p>
    <w:p w14:paraId="536286CE" w14:textId="77777777" w:rsidR="00BE0B33" w:rsidRPr="00BE0B33" w:rsidRDefault="00BE0B33" w:rsidP="00BE0B33"/>
    <w:p w14:paraId="117D3DAC" w14:textId="249AD396" w:rsidR="000A65DC" w:rsidRPr="00922FFC" w:rsidRDefault="000A65DC" w:rsidP="000A65DC">
      <w:pPr>
        <w:pStyle w:val="ListParagraph"/>
        <w:numPr>
          <w:ilvl w:val="0"/>
          <w:numId w:val="3"/>
        </w:numPr>
        <w:ind w:left="360" w:hanging="360"/>
        <w:rPr>
          <w:b/>
        </w:rPr>
      </w:pPr>
      <w:r w:rsidRPr="00922FFC">
        <w:rPr>
          <w:b/>
        </w:rPr>
        <w:t xml:space="preserve">Sufficient </w:t>
      </w:r>
      <w:r w:rsidRPr="007023F8">
        <w:rPr>
          <w:b/>
        </w:rPr>
        <w:t>nutrition to support appropriate growth</w:t>
      </w:r>
      <w:r>
        <w:rPr>
          <w:b/>
        </w:rPr>
        <w:t xml:space="preserve">, </w:t>
      </w:r>
      <w:r w:rsidR="00EE22D2" w:rsidRPr="000A546F">
        <w:t xml:space="preserve">both </w:t>
      </w:r>
      <w:r w:rsidRPr="000A546F">
        <w:t>of the following:</w:t>
      </w:r>
    </w:p>
    <w:p w14:paraId="4D17813D" w14:textId="4B375F08" w:rsidR="00EE22D2" w:rsidRDefault="00EE22D2" w:rsidP="000A65DC">
      <w:pPr>
        <w:pStyle w:val="ListParagraph"/>
        <w:numPr>
          <w:ilvl w:val="0"/>
          <w:numId w:val="13"/>
        </w:numPr>
      </w:pPr>
      <w:r>
        <w:t>Adequate pattern of weight gain, one of the following:</w:t>
      </w:r>
    </w:p>
    <w:p w14:paraId="0CB3B625" w14:textId="133CBAD5" w:rsidR="000A65DC" w:rsidRPr="00BD703A" w:rsidRDefault="000A65DC" w:rsidP="00EE22D2">
      <w:pPr>
        <w:pStyle w:val="ListParagraph"/>
        <w:numPr>
          <w:ilvl w:val="1"/>
          <w:numId w:val="29"/>
        </w:numPr>
        <w:ind w:left="1080"/>
      </w:pPr>
      <w:r>
        <w:t xml:space="preserve">Preterm infants or term infants &gt; </w:t>
      </w:r>
      <w:r w:rsidR="006779AB">
        <w:t>one</w:t>
      </w:r>
      <w:r>
        <w:t xml:space="preserve"> week of age demonstrate a consistent pattern of </w:t>
      </w:r>
      <w:r w:rsidRPr="00BD703A">
        <w:t xml:space="preserve">weight gain </w:t>
      </w:r>
      <w:r w:rsidR="00470982" w:rsidRPr="00BD703A">
        <w:t xml:space="preserve">(typically about </w:t>
      </w:r>
      <w:r w:rsidR="00BD703A">
        <w:t>three</w:t>
      </w:r>
      <w:r w:rsidR="00470982" w:rsidRPr="00BD703A">
        <w:t xml:space="preserve"> days) </w:t>
      </w:r>
      <w:r w:rsidRPr="00BD703A">
        <w:t>vi</w:t>
      </w:r>
      <w:r w:rsidR="00EE22D2" w:rsidRPr="00BD703A">
        <w:t>a the current nutritional route;</w:t>
      </w:r>
      <w:r w:rsidRPr="00BD703A">
        <w:t xml:space="preserve"> </w:t>
      </w:r>
    </w:p>
    <w:p w14:paraId="655F67EE" w14:textId="29864B2C" w:rsidR="000A65DC" w:rsidRPr="00BD703A" w:rsidRDefault="00470982" w:rsidP="00EE22D2">
      <w:pPr>
        <w:pStyle w:val="ListParagraph"/>
        <w:numPr>
          <w:ilvl w:val="1"/>
          <w:numId w:val="29"/>
        </w:numPr>
        <w:ind w:left="1080"/>
      </w:pPr>
      <w:r w:rsidRPr="00BD703A">
        <w:t xml:space="preserve">≤ </w:t>
      </w:r>
      <w:r w:rsidR="00BD703A">
        <w:t xml:space="preserve">7 </w:t>
      </w:r>
      <w:r w:rsidR="00BD703A" w:rsidRPr="00BD703A">
        <w:t>%</w:t>
      </w:r>
      <w:r w:rsidR="000A65DC" w:rsidRPr="00BD703A">
        <w:t xml:space="preserve"> of birth weight lost in term infants &lt; </w:t>
      </w:r>
      <w:r w:rsidR="006779AB" w:rsidRPr="00BD703A">
        <w:t>one</w:t>
      </w:r>
      <w:r w:rsidR="000A65DC" w:rsidRPr="00BD703A">
        <w:t xml:space="preserve"> week of age</w:t>
      </w:r>
      <w:r w:rsidR="001F5F4A" w:rsidRPr="00BD703A">
        <w:t>;</w:t>
      </w:r>
    </w:p>
    <w:p w14:paraId="234428B5" w14:textId="1457BA06" w:rsidR="00ED71D6" w:rsidRDefault="00ED71D6" w:rsidP="006E28BB">
      <w:pPr>
        <w:pStyle w:val="ListParagraph"/>
        <w:numPr>
          <w:ilvl w:val="1"/>
          <w:numId w:val="29"/>
        </w:numPr>
        <w:ind w:left="1080"/>
      </w:pPr>
      <w:r w:rsidRPr="00BD703A">
        <w:t xml:space="preserve">≤ </w:t>
      </w:r>
      <w:r w:rsidR="00BD703A" w:rsidRPr="00BD703A">
        <w:t>9</w:t>
      </w:r>
      <w:r w:rsidR="00BD703A">
        <w:t xml:space="preserve"> </w:t>
      </w:r>
      <w:r w:rsidRPr="00BD703A">
        <w:t>% of</w:t>
      </w:r>
      <w:r w:rsidRPr="00ED71D6">
        <w:t xml:space="preserve"> birth weight lost in late preterm</w:t>
      </w:r>
      <w:r>
        <w:t xml:space="preserve"> (34 0/7</w:t>
      </w:r>
      <w:r w:rsidR="00DE2177">
        <w:t xml:space="preserve"> </w:t>
      </w:r>
      <w:r w:rsidR="00987B01">
        <w:t>to</w:t>
      </w:r>
      <w:r w:rsidR="00DE2177">
        <w:t xml:space="preserve"> </w:t>
      </w:r>
      <w:r>
        <w:t>36 6/7 weeks of age)</w:t>
      </w:r>
      <w:r w:rsidRPr="00ED71D6">
        <w:t xml:space="preserve"> infants &lt; </w:t>
      </w:r>
      <w:r w:rsidR="006779AB">
        <w:t>one</w:t>
      </w:r>
      <w:r w:rsidRPr="00ED71D6">
        <w:t xml:space="preserve"> week of age.</w:t>
      </w:r>
    </w:p>
    <w:p w14:paraId="18230209" w14:textId="3A4CF34A" w:rsidR="000A65DC" w:rsidRPr="009F4D98" w:rsidRDefault="000A65DC" w:rsidP="000A65DC">
      <w:pPr>
        <w:numPr>
          <w:ilvl w:val="0"/>
          <w:numId w:val="13"/>
        </w:numPr>
      </w:pPr>
      <w:r w:rsidRPr="009F4D98">
        <w:t xml:space="preserve">The nutritional product, enteric or intravenous, is appropriate for the </w:t>
      </w:r>
      <w:r w:rsidR="00470982" w:rsidRPr="009F4D98">
        <w:t>nutritional needs of the infant and</w:t>
      </w:r>
      <w:r w:rsidRPr="009F4D98">
        <w:t xml:space="preserve"> one of the following</w:t>
      </w:r>
      <w:r w:rsidR="006F1B71" w:rsidRPr="009F4D98">
        <w:rPr>
          <w:vertAlign w:val="superscript"/>
        </w:rPr>
        <w:t>1</w:t>
      </w:r>
      <w:r w:rsidR="00146F6A" w:rsidRPr="009F4D98">
        <w:t>:</w:t>
      </w:r>
    </w:p>
    <w:p w14:paraId="1211CE51" w14:textId="3F259710" w:rsidR="000A65DC" w:rsidRPr="00111412" w:rsidRDefault="006E28BB" w:rsidP="00B16C87">
      <w:pPr>
        <w:ind w:left="1080" w:hanging="360"/>
      </w:pPr>
      <w:r w:rsidRPr="009F4D98">
        <w:t xml:space="preserve">1.  </w:t>
      </w:r>
      <w:r w:rsidR="000A65DC" w:rsidRPr="009F4D98">
        <w:t>The infant is on full oral nutrition</w:t>
      </w:r>
      <w:r w:rsidR="00470982" w:rsidRPr="009F4D98">
        <w:t>;</w:t>
      </w:r>
      <w:r>
        <w:t xml:space="preserve">  </w:t>
      </w:r>
    </w:p>
    <w:p w14:paraId="743D21AB" w14:textId="7EC64C48" w:rsidR="00A272AE" w:rsidRDefault="009667F2" w:rsidP="00987B01">
      <w:pPr>
        <w:pStyle w:val="ListParagraph"/>
        <w:numPr>
          <w:ilvl w:val="0"/>
          <w:numId w:val="39"/>
        </w:numPr>
        <w:ind w:left="1080"/>
      </w:pPr>
      <w:r w:rsidRPr="00867C32">
        <w:t>H</w:t>
      </w:r>
      <w:r w:rsidR="00A272AE" w:rsidRPr="00867C32">
        <w:t>ome management</w:t>
      </w:r>
      <w:r w:rsidRPr="00867C32">
        <w:t xml:space="preserve"> of specialized nutrition needs, </w:t>
      </w:r>
      <w:proofErr w:type="gramStart"/>
      <w:r w:rsidRPr="00867C32">
        <w:t>all</w:t>
      </w:r>
      <w:r>
        <w:t xml:space="preserve"> of</w:t>
      </w:r>
      <w:proofErr w:type="gramEnd"/>
      <w:r>
        <w:t xml:space="preserve"> the following:</w:t>
      </w:r>
    </w:p>
    <w:p w14:paraId="5E663AA4" w14:textId="74E5DF38" w:rsidR="009667F2" w:rsidRDefault="009667F2" w:rsidP="00BE0B33">
      <w:pPr>
        <w:pStyle w:val="ListParagraph"/>
        <w:numPr>
          <w:ilvl w:val="1"/>
          <w:numId w:val="19"/>
        </w:numPr>
        <w:ind w:left="1440"/>
      </w:pPr>
      <w:r>
        <w:t>Caregiver and provider agree to home management;</w:t>
      </w:r>
    </w:p>
    <w:p w14:paraId="29C7AF07" w14:textId="6DBDC27A" w:rsidR="009667F2" w:rsidRPr="009667F2" w:rsidRDefault="009667F2" w:rsidP="00BE0B33">
      <w:pPr>
        <w:pStyle w:val="ListParagraph"/>
        <w:numPr>
          <w:ilvl w:val="1"/>
          <w:numId w:val="19"/>
        </w:numPr>
        <w:ind w:left="1440"/>
      </w:pPr>
      <w:r w:rsidRPr="009667F2">
        <w:t xml:space="preserve">Consultations (e.g. gastroenterology and nutrition) </w:t>
      </w:r>
      <w:r>
        <w:t>completed;</w:t>
      </w:r>
    </w:p>
    <w:p w14:paraId="4F159B1C" w14:textId="4A766F2A" w:rsidR="009667F2" w:rsidRDefault="009667F2" w:rsidP="00BE0B33">
      <w:pPr>
        <w:pStyle w:val="ListParagraph"/>
        <w:numPr>
          <w:ilvl w:val="1"/>
          <w:numId w:val="19"/>
        </w:numPr>
        <w:ind w:left="1440"/>
      </w:pPr>
      <w:r w:rsidRPr="009667F2">
        <w:t>Appropriate feeding evaluation, family assessment and therapeutic interventions completed;</w:t>
      </w:r>
      <w:r w:rsidR="00ED71D6">
        <w:t xml:space="preserve"> </w:t>
      </w:r>
    </w:p>
    <w:p w14:paraId="31B15424" w14:textId="78C595ED" w:rsidR="009667F2" w:rsidRDefault="009667F2" w:rsidP="00BE0B33">
      <w:pPr>
        <w:pStyle w:val="ListParagraph"/>
        <w:numPr>
          <w:ilvl w:val="1"/>
          <w:numId w:val="19"/>
        </w:numPr>
        <w:ind w:left="1440"/>
      </w:pPr>
      <w:r>
        <w:t>One of the following:</w:t>
      </w:r>
    </w:p>
    <w:p w14:paraId="2ACD62CC" w14:textId="7ADE9BAB" w:rsidR="000A65DC" w:rsidRPr="009F4D98" w:rsidRDefault="000A65DC" w:rsidP="00BE0B33">
      <w:pPr>
        <w:pStyle w:val="ListParagraph"/>
        <w:numPr>
          <w:ilvl w:val="4"/>
          <w:numId w:val="2"/>
        </w:numPr>
        <w:ind w:left="1800"/>
      </w:pPr>
      <w:r w:rsidRPr="009F4D98">
        <w:t>Gavage feeding</w:t>
      </w:r>
      <w:r w:rsidR="009667F2" w:rsidRPr="009F4D98">
        <w:t xml:space="preserve"> for an i</w:t>
      </w:r>
      <w:r w:rsidRPr="009F4D98">
        <w:t xml:space="preserve">nfant </w:t>
      </w:r>
      <w:r w:rsidR="009667F2" w:rsidRPr="009F4D98">
        <w:t xml:space="preserve">who </w:t>
      </w:r>
      <w:r w:rsidRPr="009F4D98">
        <w:t xml:space="preserve">cannot feed well enough orally and </w:t>
      </w:r>
      <w:r w:rsidR="009667F2" w:rsidRPr="009F4D98">
        <w:t xml:space="preserve">for whom feeding </w:t>
      </w:r>
      <w:r w:rsidRPr="009F4D98">
        <w:t>is the last issue requir</w:t>
      </w:r>
      <w:r w:rsidR="00470982" w:rsidRPr="009F4D98">
        <w:t>ing continued hospitalization;</w:t>
      </w:r>
    </w:p>
    <w:p w14:paraId="44A361E6" w14:textId="31DA20E6" w:rsidR="000A65DC" w:rsidRPr="009F4D98" w:rsidRDefault="000A65DC" w:rsidP="00BE0B33">
      <w:pPr>
        <w:pStyle w:val="ListParagraph"/>
        <w:numPr>
          <w:ilvl w:val="4"/>
          <w:numId w:val="2"/>
        </w:numPr>
        <w:tabs>
          <w:tab w:val="clear" w:pos="3600"/>
          <w:tab w:val="num" w:pos="3240"/>
        </w:tabs>
        <w:ind w:left="1800"/>
      </w:pPr>
      <w:r w:rsidRPr="009F4D98">
        <w:t xml:space="preserve">Long-term gastrostomy tube feedings </w:t>
      </w:r>
      <w:r w:rsidR="007B2402" w:rsidRPr="009F4D98">
        <w:t>for</w:t>
      </w:r>
      <w:r w:rsidRPr="009F4D98">
        <w:t xml:space="preserve"> infants with minimal or no ability to feed orally, or the expectation of such. </w:t>
      </w:r>
      <w:r w:rsidRPr="009F4D98">
        <w:rPr>
          <w:i/>
        </w:rPr>
        <w:t>Note:</w:t>
      </w:r>
      <w:r w:rsidRPr="009F4D98">
        <w:t xml:space="preserve"> Gastrostomy tube placement may be prior to NICU discharge or after a short-term trial of naso</w:t>
      </w:r>
      <w:r w:rsidR="00470982" w:rsidRPr="009F4D98">
        <w:t>gastric (NG)/oral feeds at home;</w:t>
      </w:r>
      <w:r w:rsidR="00A353B7" w:rsidRPr="009F4D98">
        <w:t xml:space="preserve"> </w:t>
      </w:r>
      <w:r w:rsidR="00F9265F" w:rsidRPr="009F4D98">
        <w:t>g</w:t>
      </w:r>
      <w:r w:rsidR="00A353B7" w:rsidRPr="009F4D98">
        <w:t>astrostomy tub</w:t>
      </w:r>
      <w:r w:rsidR="00B37EE8" w:rsidRPr="009F4D98">
        <w:t>e placement generally requires</w:t>
      </w:r>
      <w:r w:rsidR="00F9265F" w:rsidRPr="009F4D98">
        <w:t xml:space="preserve"> a </w:t>
      </w:r>
      <w:r w:rsidR="00B37EE8" w:rsidRPr="009F4D98">
        <w:t xml:space="preserve">  seven </w:t>
      </w:r>
      <w:proofErr w:type="gramStart"/>
      <w:r w:rsidR="00A353B7" w:rsidRPr="009F4D98">
        <w:t>days</w:t>
      </w:r>
      <w:proofErr w:type="gramEnd"/>
      <w:r w:rsidR="00A353B7" w:rsidRPr="009F4D98">
        <w:t xml:space="preserve"> </w:t>
      </w:r>
      <w:r w:rsidR="00933EF5" w:rsidRPr="009F4D98">
        <w:t>post-operative</w:t>
      </w:r>
      <w:r w:rsidR="00F9265F" w:rsidRPr="009F4D98">
        <w:t xml:space="preserve"> stay</w:t>
      </w:r>
      <w:r w:rsidR="00A353B7" w:rsidRPr="009F4D98">
        <w:t xml:space="preserve"> for recovery and parent/caregiver education.</w:t>
      </w:r>
      <w:r w:rsidRPr="009F4D98">
        <w:t xml:space="preserve">    </w:t>
      </w:r>
    </w:p>
    <w:p w14:paraId="4AEF9D61" w14:textId="5A10BBBD" w:rsidR="000A65DC" w:rsidRPr="009F4D98" w:rsidRDefault="000A65DC" w:rsidP="00BE0B33">
      <w:pPr>
        <w:pStyle w:val="ListParagraph"/>
        <w:numPr>
          <w:ilvl w:val="4"/>
          <w:numId w:val="2"/>
        </w:numPr>
        <w:tabs>
          <w:tab w:val="clear" w:pos="3600"/>
          <w:tab w:val="num" w:pos="3240"/>
        </w:tabs>
        <w:ind w:left="1800"/>
      </w:pPr>
      <w:r w:rsidRPr="009F4D98">
        <w:t>Intravenous (IV) total parenteral nutrition (TPN) as a nutritional source:</w:t>
      </w:r>
    </w:p>
    <w:p w14:paraId="6575707F" w14:textId="2EC4AE7E" w:rsidR="000A65DC" w:rsidRPr="009F4D98" w:rsidRDefault="000A65DC" w:rsidP="00BE0B33">
      <w:pPr>
        <w:pStyle w:val="ListParagraph"/>
        <w:numPr>
          <w:ilvl w:val="1"/>
          <w:numId w:val="16"/>
        </w:numPr>
        <w:tabs>
          <w:tab w:val="clear" w:pos="2160"/>
          <w:tab w:val="num" w:pos="2880"/>
        </w:tabs>
      </w:pPr>
      <w:r w:rsidRPr="009F4D98">
        <w:t>Infant has an inadequate ability to absorb calories (sho</w:t>
      </w:r>
      <w:r w:rsidR="00470982" w:rsidRPr="009F4D98">
        <w:t>rt gut);</w:t>
      </w:r>
      <w:r w:rsidRPr="009F4D98">
        <w:t xml:space="preserve">  </w:t>
      </w:r>
    </w:p>
    <w:p w14:paraId="6569A54E" w14:textId="21231796" w:rsidR="000A65DC" w:rsidRPr="009F4D98" w:rsidRDefault="00EE22D2" w:rsidP="00BE0B33">
      <w:pPr>
        <w:numPr>
          <w:ilvl w:val="1"/>
          <w:numId w:val="16"/>
        </w:numPr>
        <w:tabs>
          <w:tab w:val="clear" w:pos="2160"/>
        </w:tabs>
      </w:pPr>
      <w:r w:rsidRPr="009F4D98">
        <w:t>Fluid</w:t>
      </w:r>
      <w:r w:rsidR="000A65DC" w:rsidRPr="009F4D98">
        <w:t xml:space="preserve"> and electrolyte requirements have stabilized, as documented by the physician</w:t>
      </w:r>
      <w:r w:rsidR="009667F2" w:rsidRPr="009F4D98">
        <w:t>.</w:t>
      </w:r>
      <w:r w:rsidR="00B6378D" w:rsidRPr="009F4D98">
        <w:rPr>
          <w:vertAlign w:val="superscript"/>
        </w:rPr>
        <w:t>1</w:t>
      </w:r>
      <w:r w:rsidR="00413B5A" w:rsidRPr="009F4D98">
        <w:rPr>
          <w:vertAlign w:val="superscript"/>
        </w:rPr>
        <w:t>2</w:t>
      </w:r>
    </w:p>
    <w:p w14:paraId="20F79421" w14:textId="77777777" w:rsidR="000A65DC" w:rsidRDefault="000A65DC" w:rsidP="000A65DC">
      <w:pPr>
        <w:ind w:left="1080"/>
        <w:rPr>
          <w:u w:val="single"/>
        </w:rPr>
      </w:pPr>
    </w:p>
    <w:p w14:paraId="54FA73F4" w14:textId="1B0975E6" w:rsidR="000A65DC" w:rsidRPr="00490BB5" w:rsidRDefault="007B2402" w:rsidP="000A65DC">
      <w:pPr>
        <w:numPr>
          <w:ilvl w:val="0"/>
          <w:numId w:val="3"/>
        </w:numPr>
        <w:ind w:left="360" w:hanging="360"/>
        <w:rPr>
          <w:b/>
        </w:rPr>
      </w:pPr>
      <w:r>
        <w:rPr>
          <w:b/>
        </w:rPr>
        <w:t xml:space="preserve"> A</w:t>
      </w:r>
      <w:r w:rsidR="000A65DC" w:rsidRPr="00490BB5">
        <w:rPr>
          <w:b/>
        </w:rPr>
        <w:t xml:space="preserve">bility to </w:t>
      </w:r>
      <w:r w:rsidR="000A65DC" w:rsidRPr="00867C32">
        <w:rPr>
          <w:b/>
        </w:rPr>
        <w:t xml:space="preserve">maintain </w:t>
      </w:r>
      <w:r w:rsidR="000A65DC" w:rsidRPr="007023F8">
        <w:rPr>
          <w:b/>
        </w:rPr>
        <w:t>normal body temperature in</w:t>
      </w:r>
      <w:r w:rsidR="000A65DC" w:rsidRPr="00490BB5">
        <w:rPr>
          <w:b/>
        </w:rPr>
        <w:t xml:space="preserve"> a home environment</w:t>
      </w:r>
    </w:p>
    <w:p w14:paraId="273F39CC" w14:textId="1FFAA5DA" w:rsidR="000A65DC" w:rsidRPr="005D0452" w:rsidRDefault="000A65DC" w:rsidP="0064169F">
      <w:pPr>
        <w:numPr>
          <w:ilvl w:val="0"/>
          <w:numId w:val="4"/>
        </w:numPr>
        <w:tabs>
          <w:tab w:val="clear" w:pos="1260"/>
          <w:tab w:val="num" w:pos="1080"/>
        </w:tabs>
        <w:ind w:left="720"/>
      </w:pPr>
      <w:r w:rsidRPr="00490BB5">
        <w:lastRenderedPageBreak/>
        <w:t>Infant demonstrate</w:t>
      </w:r>
      <w:r>
        <w:t>s</w:t>
      </w:r>
      <w:r w:rsidRPr="00490BB5">
        <w:t xml:space="preserve"> the ability to </w:t>
      </w:r>
      <w:r w:rsidRPr="007023F8">
        <w:t>maintain normal body temperature</w:t>
      </w:r>
      <w:r>
        <w:t xml:space="preserve"> (</w:t>
      </w:r>
      <w:r w:rsidR="00E41921">
        <w:t>36.5 to 37.5</w:t>
      </w:r>
      <w:r w:rsidR="00E41921" w:rsidRPr="00E41921">
        <w:t>º</w:t>
      </w:r>
      <w:r w:rsidR="00E41921">
        <w:t xml:space="preserve"> C </w:t>
      </w:r>
      <w:r>
        <w:t>axillary</w:t>
      </w:r>
      <w:r w:rsidR="00E41921">
        <w:t xml:space="preserve"> or 36.6 to 38.0</w:t>
      </w:r>
      <w:r w:rsidR="00E41921" w:rsidRPr="00E41921">
        <w:t>º</w:t>
      </w:r>
      <w:r w:rsidR="00E41921">
        <w:t xml:space="preserve"> C rectal</w:t>
      </w:r>
      <w:r>
        <w:t xml:space="preserve">) while </w:t>
      </w:r>
      <w:r w:rsidRPr="005D0452">
        <w:t>clothed in an open bed/crib with normal ambient temperature (2</w:t>
      </w:r>
      <w:r w:rsidR="00955680" w:rsidRPr="005D0452">
        <w:t>0</w:t>
      </w:r>
      <w:r w:rsidRPr="005D0452">
        <w:t xml:space="preserve"> to</w:t>
      </w:r>
      <w:r w:rsidRPr="002C20FD">
        <w:t xml:space="preserve"> </w:t>
      </w:r>
      <w:r w:rsidR="004F6F91" w:rsidRPr="002C20FD">
        <w:t>25</w:t>
      </w:r>
      <w:bookmarkStart w:id="0" w:name="_Hlk103924731"/>
      <w:r w:rsidRPr="002C20FD">
        <w:t>º</w:t>
      </w:r>
      <w:bookmarkEnd w:id="0"/>
      <w:r w:rsidRPr="002C20FD">
        <w:t xml:space="preserve"> </w:t>
      </w:r>
      <w:r w:rsidRPr="005D0452">
        <w:t>C)</w:t>
      </w:r>
      <w:r w:rsidR="00A353B7" w:rsidRPr="005D0452">
        <w:t xml:space="preserve"> for 24 to 48 hours after removing thermal support (</w:t>
      </w:r>
      <w:r w:rsidR="00B37EE8" w:rsidRPr="005D0452">
        <w:t>e</w:t>
      </w:r>
      <w:r w:rsidR="00F9265F" w:rsidRPr="005D0452">
        <w:t>.</w:t>
      </w:r>
      <w:r w:rsidR="00B37EE8" w:rsidRPr="005D0452">
        <w:t>g</w:t>
      </w:r>
      <w:r w:rsidR="00F9265F" w:rsidRPr="005D0452">
        <w:t>.</w:t>
      </w:r>
      <w:r w:rsidR="00B37EE8" w:rsidRPr="005D0452">
        <w:t xml:space="preserve"> </w:t>
      </w:r>
      <w:r w:rsidR="00A353B7" w:rsidRPr="005D0452">
        <w:t xml:space="preserve">radiant warmer, </w:t>
      </w:r>
      <w:proofErr w:type="spellStart"/>
      <w:r w:rsidR="00A353B7" w:rsidRPr="005D0452">
        <w:t>isolette</w:t>
      </w:r>
      <w:proofErr w:type="spellEnd"/>
      <w:r w:rsidR="00A353B7" w:rsidRPr="005D0452">
        <w:t>)</w:t>
      </w:r>
      <w:r w:rsidRPr="005D0452">
        <w:t>.</w:t>
      </w:r>
      <w:r w:rsidR="00A66940" w:rsidRPr="005D0452">
        <w:rPr>
          <w:vertAlign w:val="superscript"/>
        </w:rPr>
        <w:t>5</w:t>
      </w:r>
      <w:r w:rsidR="0084756A">
        <w:t xml:space="preserve"> </w:t>
      </w:r>
    </w:p>
    <w:p w14:paraId="3F991F00" w14:textId="77777777" w:rsidR="000A65DC" w:rsidRPr="005D0452" w:rsidRDefault="000A65DC" w:rsidP="000A65DC">
      <w:pPr>
        <w:ind w:left="360"/>
      </w:pPr>
    </w:p>
    <w:p w14:paraId="70471F4F" w14:textId="28C21C1F" w:rsidR="000A65DC" w:rsidRDefault="000A65DC" w:rsidP="000A65DC">
      <w:pPr>
        <w:ind w:left="360"/>
      </w:pPr>
      <w:r w:rsidRPr="005D0452">
        <w:rPr>
          <w:i/>
        </w:rPr>
        <w:t>Note:</w:t>
      </w:r>
      <w:r w:rsidRPr="005D0452">
        <w:t xml:space="preserve"> Weaning from an </w:t>
      </w:r>
      <w:proofErr w:type="spellStart"/>
      <w:r w:rsidRPr="005D0452">
        <w:t>isolette</w:t>
      </w:r>
      <w:proofErr w:type="spellEnd"/>
      <w:r w:rsidRPr="005D0452">
        <w:t xml:space="preserve"> should be considered when an infant in a stable</w:t>
      </w:r>
      <w:r w:rsidR="00741DFB" w:rsidRPr="005D0452">
        <w:t xml:space="preserve"> </w:t>
      </w:r>
      <w:r w:rsidRPr="005D0452">
        <w:t>cardiopulmonary state reaches &gt;</w:t>
      </w:r>
      <w:r w:rsidR="006957B7" w:rsidRPr="005D0452">
        <w:t xml:space="preserve"> </w:t>
      </w:r>
      <w:r w:rsidRPr="005D0452">
        <w:t>1</w:t>
      </w:r>
      <w:r w:rsidR="00772738" w:rsidRPr="005D0452">
        <w:t>6</w:t>
      </w:r>
      <w:r w:rsidRPr="005D0452">
        <w:t>00</w:t>
      </w:r>
      <w:r w:rsidR="00772738" w:rsidRPr="005D0452">
        <w:t xml:space="preserve"> to 1800</w:t>
      </w:r>
      <w:r w:rsidRPr="005D0452">
        <w:t xml:space="preserve"> grams and is able to be swaddled.</w:t>
      </w:r>
      <w:r w:rsidR="00135BE4" w:rsidRPr="005D0452">
        <w:rPr>
          <w:vertAlign w:val="superscript"/>
        </w:rPr>
        <w:t>1</w:t>
      </w:r>
      <w:r w:rsidR="00F147D1" w:rsidRPr="005D0452">
        <w:rPr>
          <w:vertAlign w:val="superscript"/>
        </w:rPr>
        <w:t>1</w:t>
      </w:r>
    </w:p>
    <w:p w14:paraId="73891182" w14:textId="77777777" w:rsidR="000A65DC" w:rsidRDefault="000A65DC" w:rsidP="000A65DC">
      <w:pPr>
        <w:rPr>
          <w:u w:val="single"/>
        </w:rPr>
      </w:pPr>
    </w:p>
    <w:p w14:paraId="6C719326" w14:textId="1C87AAB7" w:rsidR="000A65DC" w:rsidRPr="004801F7" w:rsidRDefault="000A65DC" w:rsidP="000A65DC">
      <w:pPr>
        <w:numPr>
          <w:ilvl w:val="0"/>
          <w:numId w:val="3"/>
        </w:numPr>
        <w:ind w:left="360" w:hanging="360"/>
        <w:rPr>
          <w:b/>
        </w:rPr>
      </w:pPr>
      <w:r w:rsidRPr="004801F7">
        <w:rPr>
          <w:b/>
        </w:rPr>
        <w:t>Mature respiratory control</w:t>
      </w:r>
      <w:r w:rsidR="00A73CE6" w:rsidRPr="004801F7">
        <w:rPr>
          <w:b/>
        </w:rPr>
        <w:t xml:space="preserve">, </w:t>
      </w:r>
      <w:r w:rsidR="00A73CE6" w:rsidRPr="004801F7">
        <w:t>one of the following:</w:t>
      </w:r>
    </w:p>
    <w:p w14:paraId="5E62683D" w14:textId="74122D70" w:rsidR="000A65DC" w:rsidRPr="004801F7" w:rsidRDefault="00A73CE6" w:rsidP="0064169F">
      <w:pPr>
        <w:numPr>
          <w:ilvl w:val="0"/>
          <w:numId w:val="5"/>
        </w:numPr>
        <w:tabs>
          <w:tab w:val="num" w:pos="1080"/>
        </w:tabs>
        <w:ind w:left="720"/>
      </w:pPr>
      <w:r w:rsidRPr="004801F7">
        <w:t>Infant</w:t>
      </w:r>
      <w:r w:rsidR="000A65DC" w:rsidRPr="004801F7">
        <w:t xml:space="preserve"> </w:t>
      </w:r>
      <w:r w:rsidR="0027494D" w:rsidRPr="004801F7">
        <w:t>is</w:t>
      </w:r>
      <w:r w:rsidR="000A65DC" w:rsidRPr="004801F7">
        <w:t xml:space="preserve"> stable on room air</w:t>
      </w:r>
      <w:r w:rsidR="00146F6A" w:rsidRPr="004801F7">
        <w:t>;</w:t>
      </w:r>
      <w:r w:rsidR="00BD703A" w:rsidRPr="004801F7">
        <w:rPr>
          <w:vertAlign w:val="superscript"/>
        </w:rPr>
        <w:t xml:space="preserve"> </w:t>
      </w:r>
    </w:p>
    <w:p w14:paraId="6828D9AB" w14:textId="54FCC069" w:rsidR="0064169F" w:rsidRPr="004801F7" w:rsidRDefault="00D610BF" w:rsidP="0064169F">
      <w:pPr>
        <w:numPr>
          <w:ilvl w:val="0"/>
          <w:numId w:val="5"/>
        </w:numPr>
        <w:tabs>
          <w:tab w:val="num" w:pos="1080"/>
        </w:tabs>
        <w:ind w:left="720"/>
      </w:pPr>
      <w:proofErr w:type="gramStart"/>
      <w:r w:rsidRPr="004801F7">
        <w:t>Infant is</w:t>
      </w:r>
      <w:proofErr w:type="gramEnd"/>
      <w:r w:rsidRPr="004801F7">
        <w:t xml:space="preserve"> stable but </w:t>
      </w:r>
      <w:proofErr w:type="gramStart"/>
      <w:r w:rsidRPr="004801F7">
        <w:t>has</w:t>
      </w:r>
      <w:proofErr w:type="gramEnd"/>
      <w:r w:rsidRPr="004801F7">
        <w:t xml:space="preserve"> ongoing respiratory needs requiring additional support, </w:t>
      </w:r>
      <w:proofErr w:type="gramStart"/>
      <w:r w:rsidR="00DC1EA0" w:rsidRPr="004801F7">
        <w:t xml:space="preserve">all </w:t>
      </w:r>
      <w:r w:rsidRPr="004801F7">
        <w:t>of</w:t>
      </w:r>
      <w:proofErr w:type="gramEnd"/>
      <w:r w:rsidRPr="004801F7">
        <w:t xml:space="preserve"> the following:</w:t>
      </w:r>
    </w:p>
    <w:p w14:paraId="16C8EF78" w14:textId="7F6E5D66" w:rsidR="0064169F" w:rsidRPr="004801F7" w:rsidRDefault="0064169F" w:rsidP="0064169F">
      <w:pPr>
        <w:pStyle w:val="ListParagraph"/>
        <w:numPr>
          <w:ilvl w:val="1"/>
          <w:numId w:val="5"/>
        </w:numPr>
        <w:ind w:left="1080"/>
      </w:pPr>
      <w:r w:rsidRPr="004801F7">
        <w:t>Caregiver</w:t>
      </w:r>
      <w:r w:rsidR="007B2402" w:rsidRPr="004801F7">
        <w:t xml:space="preserve"> </w:t>
      </w:r>
      <w:r w:rsidRPr="004801F7">
        <w:t>and p</w:t>
      </w:r>
      <w:r w:rsidR="00033C0E" w:rsidRPr="004801F7">
        <w:t xml:space="preserve">hysician </w:t>
      </w:r>
      <w:r w:rsidRPr="004801F7">
        <w:t>agree to home management;</w:t>
      </w:r>
    </w:p>
    <w:p w14:paraId="7F5F135F" w14:textId="77F1335A" w:rsidR="00DC1EA0" w:rsidRPr="004801F7" w:rsidRDefault="00DC1EA0" w:rsidP="0064169F">
      <w:pPr>
        <w:pStyle w:val="ListParagraph"/>
        <w:numPr>
          <w:ilvl w:val="1"/>
          <w:numId w:val="5"/>
        </w:numPr>
        <w:ind w:left="1080"/>
      </w:pPr>
      <w:r w:rsidRPr="004801F7">
        <w:t>Appropriate consultations and home equipment arrangements made;</w:t>
      </w:r>
    </w:p>
    <w:p w14:paraId="1C1CC904" w14:textId="4EE8C300" w:rsidR="0064169F" w:rsidRPr="004801F7" w:rsidRDefault="0064169F" w:rsidP="0064169F">
      <w:pPr>
        <w:pStyle w:val="ListParagraph"/>
        <w:numPr>
          <w:ilvl w:val="1"/>
          <w:numId w:val="5"/>
        </w:numPr>
        <w:ind w:left="1080"/>
      </w:pPr>
      <w:r w:rsidRPr="004801F7">
        <w:t>Infant has one</w:t>
      </w:r>
      <w:r w:rsidR="00807ACD" w:rsidRPr="004801F7">
        <w:t xml:space="preserve"> or more</w:t>
      </w:r>
      <w:r w:rsidRPr="004801F7">
        <w:t xml:space="preserve"> of the following conditions:</w:t>
      </w:r>
    </w:p>
    <w:p w14:paraId="700BC494" w14:textId="5DF5F9BC" w:rsidR="006B3265" w:rsidRDefault="00A353B7" w:rsidP="006B3265">
      <w:pPr>
        <w:pStyle w:val="ListParagraph"/>
        <w:numPr>
          <w:ilvl w:val="0"/>
          <w:numId w:val="25"/>
        </w:numPr>
        <w:ind w:left="1440"/>
      </w:pPr>
      <w:r>
        <w:t>Chroni</w:t>
      </w:r>
      <w:r w:rsidR="006E28BB">
        <w:t>c</w:t>
      </w:r>
      <w:r>
        <w:t xml:space="preserve"> Lung </w:t>
      </w:r>
      <w:proofErr w:type="gramStart"/>
      <w:r>
        <w:t>Disease(</w:t>
      </w:r>
      <w:proofErr w:type="gramEnd"/>
      <w:r>
        <w:t>CLD)/</w:t>
      </w:r>
      <w:r w:rsidR="00D65C87">
        <w:t>B</w:t>
      </w:r>
      <w:r w:rsidR="000A65DC">
        <w:t>ronchopulmonary dysplasia (BPD)</w:t>
      </w:r>
      <w:r w:rsidR="006B3265">
        <w:t xml:space="preserve"> and </w:t>
      </w:r>
      <w:r w:rsidR="000A65DC" w:rsidRPr="008E67DB">
        <w:t xml:space="preserve">on low flow nasal cannula at any oxygen concentration </w:t>
      </w:r>
      <w:r w:rsidR="00033C0E">
        <w:t>with</w:t>
      </w:r>
      <w:r w:rsidR="006B3265">
        <w:t xml:space="preserve"> a flow rate of ≤</w:t>
      </w:r>
      <w:r w:rsidR="000A65DC" w:rsidRPr="008E67DB">
        <w:t xml:space="preserve"> </w:t>
      </w:r>
      <w:r>
        <w:t>0.5</w:t>
      </w:r>
      <w:r w:rsidR="000A65DC" w:rsidRPr="008E67DB">
        <w:t xml:space="preserve"> </w:t>
      </w:r>
      <w:r w:rsidR="006B3265">
        <w:t>LPM (liters per minute);</w:t>
      </w:r>
    </w:p>
    <w:p w14:paraId="2CCB64C9" w14:textId="74B8C223" w:rsidR="006B3265" w:rsidRPr="00D70522" w:rsidRDefault="006B3265" w:rsidP="006B3265">
      <w:pPr>
        <w:pStyle w:val="ListParagraph"/>
        <w:numPr>
          <w:ilvl w:val="0"/>
          <w:numId w:val="25"/>
        </w:numPr>
        <w:ind w:left="1440"/>
      </w:pPr>
      <w:r w:rsidRPr="00D70522">
        <w:t>Tracheostomy and requires positive pressure ventilation:</w:t>
      </w:r>
    </w:p>
    <w:p w14:paraId="5CD695C0" w14:textId="77777777" w:rsidR="00933EF5" w:rsidRDefault="000A65DC" w:rsidP="006B3265">
      <w:pPr>
        <w:pStyle w:val="ListParagraph"/>
        <w:numPr>
          <w:ilvl w:val="1"/>
          <w:numId w:val="27"/>
        </w:numPr>
        <w:ind w:left="1800"/>
      </w:pPr>
      <w:r w:rsidRPr="00D70522">
        <w:t xml:space="preserve">Ventilator settings are stable </w:t>
      </w:r>
      <w:r w:rsidR="00962CE4" w:rsidRPr="00D70522">
        <w:t xml:space="preserve">and </w:t>
      </w:r>
      <w:r w:rsidRPr="00D70522">
        <w:t>fraction of inspired O</w:t>
      </w:r>
      <w:r w:rsidRPr="00D70522">
        <w:rPr>
          <w:vertAlign w:val="subscript"/>
        </w:rPr>
        <w:t>2</w:t>
      </w:r>
      <w:r w:rsidRPr="00D70522">
        <w:t xml:space="preserve"> is ≤ 40% utilizing a home ventilator</w:t>
      </w:r>
      <w:r w:rsidR="00470982" w:rsidRPr="00D70522">
        <w:t>;</w:t>
      </w:r>
      <w:r w:rsidR="008F4BA3">
        <w:t xml:space="preserve"> </w:t>
      </w:r>
      <w:r w:rsidR="00A353B7">
        <w:t xml:space="preserve"> </w:t>
      </w:r>
    </w:p>
    <w:p w14:paraId="5B8498FC" w14:textId="05DA71FB" w:rsidR="000A65DC" w:rsidRPr="00D70522" w:rsidRDefault="00A353B7" w:rsidP="00B16C87">
      <w:pPr>
        <w:pStyle w:val="ListParagraph"/>
        <w:ind w:left="1440"/>
      </w:pPr>
      <w:r w:rsidRPr="00B16C87">
        <w:rPr>
          <w:i/>
        </w:rPr>
        <w:t>Note:</w:t>
      </w:r>
      <w:r>
        <w:t xml:space="preserve"> May need to demonstrate up to </w:t>
      </w:r>
      <w:r w:rsidR="006C7720">
        <w:t>seven</w:t>
      </w:r>
      <w:r>
        <w:t xml:space="preserve"> days of stability</w:t>
      </w:r>
      <w:r w:rsidR="008F4BA3">
        <w:t xml:space="preserve"> </w:t>
      </w:r>
      <w:r>
        <w:t>on their home ventilator in the hospital prior to discharge.</w:t>
      </w:r>
    </w:p>
    <w:p w14:paraId="08EDD7C5" w14:textId="548B9243" w:rsidR="000A65DC" w:rsidRPr="00D70522" w:rsidRDefault="000A65DC" w:rsidP="006B3265">
      <w:pPr>
        <w:pStyle w:val="ListParagraph"/>
        <w:numPr>
          <w:ilvl w:val="1"/>
          <w:numId w:val="27"/>
        </w:numPr>
        <w:ind w:left="1800"/>
      </w:pPr>
      <w:r w:rsidRPr="00D70522">
        <w:t>Home nursing support is arranged</w:t>
      </w:r>
      <w:r w:rsidR="00470982" w:rsidRPr="00D70522">
        <w:t>;</w:t>
      </w:r>
    </w:p>
    <w:p w14:paraId="277B4C8D" w14:textId="46C970EF" w:rsidR="000A65DC" w:rsidRDefault="00D65C87" w:rsidP="006B3265">
      <w:pPr>
        <w:pStyle w:val="ListParagraph"/>
        <w:numPr>
          <w:ilvl w:val="0"/>
          <w:numId w:val="25"/>
        </w:numPr>
        <w:ind w:left="1440"/>
      </w:pPr>
      <w:r>
        <w:t>O</w:t>
      </w:r>
      <w:r w:rsidR="000A65DC" w:rsidRPr="000C1A5E">
        <w:t xml:space="preserve">ngoing medical conditions </w:t>
      </w:r>
      <w:r>
        <w:t xml:space="preserve">that </w:t>
      </w:r>
      <w:r w:rsidRPr="00D70522">
        <w:t>increase</w:t>
      </w:r>
      <w:r w:rsidR="000A65DC" w:rsidRPr="00D70522">
        <w:t xml:space="preserve"> risk for apnea,</w:t>
      </w:r>
      <w:r w:rsidR="0027494D" w:rsidRPr="00D70522">
        <w:t xml:space="preserve"> airway obstruction, or hypoxia and both</w:t>
      </w:r>
      <w:r w:rsidR="0027494D">
        <w:t xml:space="preserve"> of the following:</w:t>
      </w:r>
      <w:r w:rsidR="000A65DC">
        <w:t xml:space="preserve"> </w:t>
      </w:r>
    </w:p>
    <w:p w14:paraId="4034889A" w14:textId="52F96856" w:rsidR="000A65DC" w:rsidRDefault="00D65C87" w:rsidP="006B3265">
      <w:pPr>
        <w:pStyle w:val="ListParagraph"/>
        <w:numPr>
          <w:ilvl w:val="1"/>
          <w:numId w:val="28"/>
        </w:numPr>
        <w:ind w:left="1800"/>
      </w:pPr>
      <w:r>
        <w:t>Assessment</w:t>
      </w:r>
      <w:r w:rsidR="000A65DC">
        <w:t xml:space="preserve"> completed to determine</w:t>
      </w:r>
      <w:r w:rsidR="000A65DC" w:rsidRPr="000C1A5E">
        <w:t xml:space="preserve"> which type of home monitoring system is appropriate (pulse oximetry moni</w:t>
      </w:r>
      <w:r w:rsidR="000A65DC">
        <w:t xml:space="preserve">tor, cardiorespiratory </w:t>
      </w:r>
      <w:r w:rsidR="00470982">
        <w:t>monitor);</w:t>
      </w:r>
    </w:p>
    <w:p w14:paraId="6AC2902A" w14:textId="0ECF6995" w:rsidR="00A73CE6" w:rsidRDefault="000A65DC" w:rsidP="006B3265">
      <w:pPr>
        <w:pStyle w:val="ListParagraph"/>
        <w:numPr>
          <w:ilvl w:val="1"/>
          <w:numId w:val="28"/>
        </w:numPr>
        <w:ind w:left="1800"/>
      </w:pPr>
      <w:r>
        <w:t>Caregiver training in</w:t>
      </w:r>
      <w:r w:rsidR="00D65C87">
        <w:t xml:space="preserve"> infant CPR.</w:t>
      </w:r>
      <w:r w:rsidR="00204BBD" w:rsidRPr="00204BBD">
        <w:t xml:space="preserve"> </w:t>
      </w:r>
    </w:p>
    <w:p w14:paraId="7F528113" w14:textId="77777777" w:rsidR="00D65C87" w:rsidRDefault="00D65C87" w:rsidP="00D65C87">
      <w:pPr>
        <w:pStyle w:val="ListParagraph"/>
        <w:ind w:left="1620"/>
      </w:pPr>
    </w:p>
    <w:p w14:paraId="414B8135" w14:textId="7B0DFD00" w:rsidR="00A73CE6" w:rsidRPr="002C20FD" w:rsidRDefault="00A73CE6" w:rsidP="00ED16C8">
      <w:pPr>
        <w:ind w:left="720"/>
      </w:pPr>
      <w:r w:rsidRPr="00A73CE6">
        <w:rPr>
          <w:i/>
        </w:rPr>
        <w:t>Note:</w:t>
      </w:r>
      <w:r>
        <w:t xml:space="preserve"> For guidelines for discharge of infants with apnea of prematurity, reference </w:t>
      </w:r>
      <w:r w:rsidRPr="00922FFC">
        <w:rPr>
          <w:i/>
        </w:rPr>
        <w:t>CP.MP.82 NICU Apnea Bradycardia</w:t>
      </w:r>
      <w:r w:rsidR="00A63C1C">
        <w:rPr>
          <w:i/>
        </w:rPr>
        <w:t xml:space="preserve"> </w:t>
      </w:r>
      <w:r w:rsidR="00A63C1C" w:rsidRPr="002C20FD">
        <w:rPr>
          <w:i/>
        </w:rPr>
        <w:t>Guidelines</w:t>
      </w:r>
      <w:r w:rsidRPr="002C20FD">
        <w:t>.</w:t>
      </w:r>
    </w:p>
    <w:p w14:paraId="74802389" w14:textId="53DA1779" w:rsidR="000A65DC" w:rsidRPr="002C20FD" w:rsidRDefault="000A65DC" w:rsidP="00A73CE6"/>
    <w:p w14:paraId="1EC8B49F" w14:textId="0F7263BA" w:rsidR="000A65DC" w:rsidRPr="002C20FD" w:rsidRDefault="000A65DC" w:rsidP="00D24B33">
      <w:pPr>
        <w:pStyle w:val="ListParagraph"/>
        <w:numPr>
          <w:ilvl w:val="0"/>
          <w:numId w:val="3"/>
        </w:numPr>
        <w:ind w:left="360" w:hanging="360"/>
        <w:rPr>
          <w:b/>
        </w:rPr>
      </w:pPr>
      <w:r w:rsidRPr="002C20FD">
        <w:rPr>
          <w:b/>
        </w:rPr>
        <w:t>Bilirubin levels</w:t>
      </w:r>
      <w:r w:rsidR="00D24B33" w:rsidRPr="002C20FD">
        <w:rPr>
          <w:b/>
        </w:rPr>
        <w:t xml:space="preserve"> </w:t>
      </w:r>
      <w:r w:rsidRPr="002C20FD">
        <w:t xml:space="preserve">are acceptable based on hours of life and risk factors (reference relevant nationally recognized clinical decision support criteria, and/or </w:t>
      </w:r>
      <w:r w:rsidRPr="002C20FD">
        <w:rPr>
          <w:i/>
        </w:rPr>
        <w:t>CP.MP.150 Home Phototherapy</w:t>
      </w:r>
      <w:r w:rsidR="005C00FB" w:rsidRPr="002C20FD">
        <w:rPr>
          <w:i/>
        </w:rPr>
        <w:t xml:space="preserve"> for Neonatal Hyperbilirubinemia</w:t>
      </w:r>
      <w:r w:rsidRPr="002C20FD">
        <w:rPr>
          <w:i/>
        </w:rPr>
        <w:t>)</w:t>
      </w:r>
      <w:r w:rsidRPr="002C20FD">
        <w:t>.</w:t>
      </w:r>
    </w:p>
    <w:p w14:paraId="14C5FDD3" w14:textId="77777777" w:rsidR="000A65DC" w:rsidRDefault="000A65DC" w:rsidP="000A65DC"/>
    <w:p w14:paraId="169F1EF4" w14:textId="100D17AB" w:rsidR="00284BDF" w:rsidRPr="00B16C87" w:rsidRDefault="000A65DC" w:rsidP="000A65DC">
      <w:pPr>
        <w:pStyle w:val="ListParagraph"/>
        <w:numPr>
          <w:ilvl w:val="0"/>
          <w:numId w:val="3"/>
        </w:numPr>
        <w:ind w:left="360" w:hanging="360"/>
        <w:rPr>
          <w:b/>
        </w:rPr>
      </w:pPr>
      <w:r w:rsidRPr="00D70522">
        <w:rPr>
          <w:b/>
        </w:rPr>
        <w:t>Free of infection</w:t>
      </w:r>
      <w:r>
        <w:rPr>
          <w:b/>
        </w:rPr>
        <w:t xml:space="preserve">, </w:t>
      </w:r>
      <w:r w:rsidR="00BF4E8B" w:rsidRPr="00B16C87">
        <w:t>or caregiver</w:t>
      </w:r>
      <w:r w:rsidR="002919AD">
        <w:t xml:space="preserve"> and physician</w:t>
      </w:r>
      <w:r w:rsidR="00BF4E8B" w:rsidRPr="00B16C87">
        <w:t xml:space="preserve"> agree to home </w:t>
      </w:r>
      <w:r w:rsidR="00933EF5" w:rsidRPr="00BF4E8B">
        <w:t>antibiotics</w:t>
      </w:r>
      <w:r w:rsidR="00BF4E8B">
        <w:t xml:space="preserve">, for example, prophylactic antibiotics for urinary reflux. </w:t>
      </w:r>
    </w:p>
    <w:p w14:paraId="6ABA8843" w14:textId="77777777" w:rsidR="00284BDF" w:rsidRDefault="00284BDF" w:rsidP="00B16C87">
      <w:pPr>
        <w:pStyle w:val="ListParagraph"/>
      </w:pPr>
    </w:p>
    <w:p w14:paraId="0AA734C3" w14:textId="58501FC8" w:rsidR="000A65DC" w:rsidRPr="00B94BE6" w:rsidRDefault="00284BDF" w:rsidP="00B16C87">
      <w:pPr>
        <w:pStyle w:val="ListParagraph"/>
        <w:ind w:left="360"/>
        <w:rPr>
          <w:b/>
        </w:rPr>
      </w:pPr>
      <w:r w:rsidRPr="00470982">
        <w:rPr>
          <w:i/>
        </w:rPr>
        <w:t>Note:</w:t>
      </w:r>
      <w:r>
        <w:t xml:space="preserve"> </w:t>
      </w:r>
      <w:r w:rsidRPr="00470982">
        <w:t>Reference</w:t>
      </w:r>
      <w:r w:rsidRPr="00922FFC">
        <w:rPr>
          <w:i/>
        </w:rPr>
        <w:t xml:space="preserve"> CP.MP.85 Neonatal Sepsis Management</w:t>
      </w:r>
      <w:r>
        <w:rPr>
          <w:i/>
        </w:rPr>
        <w:t xml:space="preserve"> Guidelines</w:t>
      </w:r>
      <w:r w:rsidRPr="00922FFC">
        <w:rPr>
          <w:i/>
        </w:rPr>
        <w:t>.</w:t>
      </w:r>
    </w:p>
    <w:p w14:paraId="79ACCC74" w14:textId="047ABB6C" w:rsidR="00284BDF" w:rsidRDefault="00284BDF" w:rsidP="00B16C87"/>
    <w:p w14:paraId="0803FAF4" w14:textId="0BC518B8" w:rsidR="00284BDF" w:rsidRDefault="00284BDF" w:rsidP="00B16C87">
      <w:pPr>
        <w:pStyle w:val="ListParagraph"/>
        <w:numPr>
          <w:ilvl w:val="0"/>
          <w:numId w:val="3"/>
        </w:numPr>
        <w:ind w:left="360" w:hanging="360"/>
      </w:pPr>
      <w:r w:rsidRPr="00B16C87">
        <w:rPr>
          <w:b/>
        </w:rPr>
        <w:t>Caregiver competency</w:t>
      </w:r>
      <w:r>
        <w:rPr>
          <w:b/>
        </w:rPr>
        <w:t xml:space="preserve">, </w:t>
      </w:r>
      <w:r w:rsidRPr="00B16C87">
        <w:t>evidenced by one of the following:</w:t>
      </w:r>
    </w:p>
    <w:p w14:paraId="1BBF1AB1" w14:textId="440660EC" w:rsidR="00284BDF" w:rsidRDefault="00284BDF" w:rsidP="00B16C87">
      <w:pPr>
        <w:pStyle w:val="ListParagraph"/>
        <w:numPr>
          <w:ilvl w:val="1"/>
          <w:numId w:val="37"/>
        </w:numPr>
        <w:ind w:left="720"/>
      </w:pPr>
      <w:r>
        <w:t xml:space="preserve">Physician/nurse attestation or documentation; </w:t>
      </w:r>
    </w:p>
    <w:p w14:paraId="3C73D16A" w14:textId="254DF310" w:rsidR="000A65DC" w:rsidRDefault="00284BDF" w:rsidP="00B16C87">
      <w:pPr>
        <w:pStyle w:val="ListParagraph"/>
        <w:numPr>
          <w:ilvl w:val="1"/>
          <w:numId w:val="37"/>
        </w:numPr>
        <w:ind w:left="720"/>
      </w:pPr>
      <w:r>
        <w:t>Successful room-in with parents/caregiver for one to two days.</w:t>
      </w:r>
    </w:p>
    <w:p w14:paraId="6B6C139B" w14:textId="77777777" w:rsidR="000A65DC" w:rsidRDefault="000A65DC" w:rsidP="000A65DC">
      <w:pPr>
        <w:rPr>
          <w:u w:val="single"/>
        </w:rPr>
      </w:pPr>
    </w:p>
    <w:p w14:paraId="2C3920C3" w14:textId="4E1AFC34" w:rsidR="000A65DC" w:rsidRPr="00A23B04" w:rsidRDefault="00D6002E" w:rsidP="00D6002E">
      <w:pPr>
        <w:pStyle w:val="Heading2"/>
        <w:ind w:left="360"/>
      </w:pPr>
      <w:r>
        <w:lastRenderedPageBreak/>
        <w:t xml:space="preserve"> </w:t>
      </w:r>
      <w:r w:rsidR="000A65DC" w:rsidRPr="00A23B04">
        <w:t>Authorization Protocol</w:t>
      </w:r>
    </w:p>
    <w:p w14:paraId="26AAB1A2" w14:textId="4571E214" w:rsidR="000A65DC" w:rsidRDefault="000A65DC" w:rsidP="000A65DC">
      <w:pPr>
        <w:pStyle w:val="ListParagraph"/>
        <w:numPr>
          <w:ilvl w:val="0"/>
          <w:numId w:val="8"/>
        </w:numPr>
        <w:tabs>
          <w:tab w:val="clear" w:pos="1260"/>
          <w:tab w:val="num" w:pos="1980"/>
        </w:tabs>
        <w:spacing w:after="180"/>
        <w:ind w:left="720"/>
      </w:pPr>
      <w:r w:rsidRPr="00922FFC">
        <w:t xml:space="preserve">As an infant stabilizes, </w:t>
      </w:r>
      <w:r w:rsidRPr="00D70522">
        <w:t xml:space="preserve">a </w:t>
      </w:r>
      <w:r w:rsidRPr="007023F8">
        <w:t xml:space="preserve">lower level of care </w:t>
      </w:r>
      <w:r w:rsidR="00092BFE" w:rsidRPr="007023F8">
        <w:t>is</w:t>
      </w:r>
      <w:r w:rsidRPr="007023F8">
        <w:t xml:space="preserve"> appropriate</w:t>
      </w:r>
      <w:r w:rsidR="00092BFE" w:rsidRPr="007023F8">
        <w:t xml:space="preserve"> for addressing</w:t>
      </w:r>
      <w:r w:rsidR="00092BFE">
        <w:t xml:space="preserve"> medical needs</w:t>
      </w:r>
      <w:r w:rsidRPr="00922FFC">
        <w:t>. If</w:t>
      </w:r>
      <w:r>
        <w:t xml:space="preserve"> there are </w:t>
      </w:r>
      <w:r w:rsidRPr="007023F8">
        <w:t xml:space="preserve">no significant medical issues necessitating continued stay in Level I, II, III or IV nursery, </w:t>
      </w:r>
      <w:r w:rsidRPr="007023F8">
        <w:rPr>
          <w:bCs/>
        </w:rPr>
        <w:t>the transitional care nursery level</w:t>
      </w:r>
      <w:r w:rsidRPr="00D70522">
        <w:t xml:space="preserve"> should be approved for </w:t>
      </w:r>
      <w:r w:rsidR="002D6F61" w:rsidRPr="00A0434C">
        <w:t xml:space="preserve">any of </w:t>
      </w:r>
      <w:r w:rsidRPr="00A0434C">
        <w:t>the following.</w:t>
      </w:r>
    </w:p>
    <w:p w14:paraId="7D6D50B1" w14:textId="570D62DA" w:rsidR="000A65DC" w:rsidRDefault="000A65DC" w:rsidP="000A65DC">
      <w:pPr>
        <w:pStyle w:val="ListParagraph"/>
        <w:numPr>
          <w:ilvl w:val="0"/>
          <w:numId w:val="9"/>
        </w:numPr>
        <w:ind w:left="1080"/>
      </w:pPr>
      <w:r>
        <w:t xml:space="preserve">Completion of an approved duration </w:t>
      </w:r>
      <w:r w:rsidRPr="00A0434C">
        <w:t>of antibiotic treatment</w:t>
      </w:r>
      <w:r w:rsidR="005923A9">
        <w:t>;</w:t>
      </w:r>
    </w:p>
    <w:p w14:paraId="65BD8305" w14:textId="22065CCB" w:rsidR="000A65DC" w:rsidRPr="00922FFC" w:rsidRDefault="000A65DC" w:rsidP="000A65DC">
      <w:pPr>
        <w:numPr>
          <w:ilvl w:val="0"/>
          <w:numId w:val="9"/>
        </w:numPr>
        <w:ind w:left="1080"/>
      </w:pPr>
      <w:r w:rsidRPr="00A0434C">
        <w:t>Weaning of O</w:t>
      </w:r>
      <w:r w:rsidRPr="00A0434C">
        <w:rPr>
          <w:vertAlign w:val="subscript"/>
        </w:rPr>
        <w:t>2</w:t>
      </w:r>
      <w:r w:rsidRPr="00A0434C">
        <w:t xml:space="preserve"> for a BPD patient or periodic O</w:t>
      </w:r>
      <w:r w:rsidRPr="00A0434C">
        <w:rPr>
          <w:vertAlign w:val="subscript"/>
        </w:rPr>
        <w:t>2</w:t>
      </w:r>
      <w:r w:rsidRPr="00A0434C">
        <w:t xml:space="preserve"> needed for a patient that is progressing toward discharge on room</w:t>
      </w:r>
      <w:r w:rsidRPr="00922FFC">
        <w:t xml:space="preserve"> air</w:t>
      </w:r>
      <w:r w:rsidR="00470982">
        <w:t>,</w:t>
      </w:r>
      <w:r w:rsidRPr="00922FFC">
        <w:t xml:space="preserve"> as supported by physician documentation</w:t>
      </w:r>
      <w:r w:rsidR="00470982">
        <w:t>;</w:t>
      </w:r>
    </w:p>
    <w:p w14:paraId="0BE8A10B" w14:textId="0CF0F0B8" w:rsidR="00470982" w:rsidRDefault="000A65DC" w:rsidP="000A65DC">
      <w:pPr>
        <w:numPr>
          <w:ilvl w:val="0"/>
          <w:numId w:val="9"/>
        </w:numPr>
        <w:ind w:left="1080"/>
      </w:pPr>
      <w:r w:rsidRPr="00A0434C">
        <w:t>Tube feeding &lt; 50% of daily caloric requirement and progressing toward discharge on all oral feedings</w:t>
      </w:r>
      <w:r>
        <w:t xml:space="preserve"> as supported by physician documentation</w:t>
      </w:r>
      <w:r w:rsidR="00033C0E">
        <w:t>;</w:t>
      </w:r>
      <w:r>
        <w:t xml:space="preserve">  </w:t>
      </w:r>
    </w:p>
    <w:p w14:paraId="3258463C" w14:textId="29495C62" w:rsidR="000A65DC" w:rsidRDefault="00470982" w:rsidP="00503A2E">
      <w:pPr>
        <w:ind w:left="1080"/>
      </w:pPr>
      <w:r w:rsidRPr="00470982">
        <w:rPr>
          <w:i/>
        </w:rPr>
        <w:t>Note:</w:t>
      </w:r>
      <w:r>
        <w:t xml:space="preserve"> </w:t>
      </w:r>
      <w:r w:rsidR="000A65DC">
        <w:t xml:space="preserve">Short term home NG feedings should be considered particularly when the infant </w:t>
      </w:r>
      <w:r w:rsidR="00033C0E">
        <w:t xml:space="preserve">is term or </w:t>
      </w:r>
      <w:proofErr w:type="gramStart"/>
      <w:r w:rsidR="00033C0E">
        <w:t>near term</w:t>
      </w:r>
      <w:proofErr w:type="gramEnd"/>
      <w:r w:rsidR="00033C0E">
        <w:t xml:space="preserve"> gestation.</w:t>
      </w:r>
    </w:p>
    <w:p w14:paraId="7F8B4974" w14:textId="12043202" w:rsidR="000A65DC" w:rsidRDefault="000A65DC" w:rsidP="000A65DC">
      <w:pPr>
        <w:numPr>
          <w:ilvl w:val="0"/>
          <w:numId w:val="9"/>
        </w:numPr>
        <w:ind w:left="1080"/>
      </w:pPr>
      <w:r w:rsidRPr="00A0434C">
        <w:t>Apnea or bradycardia monitoring</w:t>
      </w:r>
      <w:r>
        <w:t xml:space="preserve"> with a new significant episode in the last </w:t>
      </w:r>
      <w:r w:rsidR="00D91DE2">
        <w:t>five to seven</w:t>
      </w:r>
      <w:r>
        <w:t xml:space="preserve"> days and not planning to go home on a monitor </w:t>
      </w:r>
    </w:p>
    <w:p w14:paraId="7F6C1A2E" w14:textId="304A1683" w:rsidR="00B53762" w:rsidRPr="00827726" w:rsidRDefault="00D91DE2" w:rsidP="000A65DC">
      <w:pPr>
        <w:numPr>
          <w:ilvl w:val="0"/>
          <w:numId w:val="9"/>
        </w:numPr>
        <w:ind w:left="1080"/>
      </w:pPr>
      <w:r>
        <w:t>Apnea or bradycardia monitoring with last dose of caffeine</w:t>
      </w:r>
      <w:r w:rsidR="00B53762">
        <w:t xml:space="preserve"> </w:t>
      </w:r>
      <w:r w:rsidR="00D46EFA">
        <w:t xml:space="preserve">at least </w:t>
      </w:r>
      <w:r w:rsidR="00A0670F" w:rsidRPr="00E96FD5">
        <w:t>seven</w:t>
      </w:r>
      <w:r w:rsidR="00A0670F">
        <w:t xml:space="preserve"> days </w:t>
      </w:r>
      <w:r w:rsidR="00B53762">
        <w:t xml:space="preserve">prior to discharge. </w:t>
      </w:r>
    </w:p>
    <w:p w14:paraId="5C45EF74" w14:textId="77777777" w:rsidR="00092BFE" w:rsidRDefault="00092BFE" w:rsidP="000A546F">
      <w:pPr>
        <w:ind w:left="720"/>
      </w:pPr>
    </w:p>
    <w:p w14:paraId="49CA5B60" w14:textId="1F3F3E3B" w:rsidR="00064D5E" w:rsidRDefault="00092BFE" w:rsidP="000A546F">
      <w:pPr>
        <w:ind w:left="720"/>
      </w:pPr>
      <w:r w:rsidRPr="000A546F">
        <w:rPr>
          <w:i/>
        </w:rPr>
        <w:t>Note</w:t>
      </w:r>
      <w:r w:rsidR="00064D5E">
        <w:rPr>
          <w:i/>
        </w:rPr>
        <w:t>s</w:t>
      </w:r>
      <w:r w:rsidRPr="000A546F">
        <w:rPr>
          <w:i/>
        </w:rPr>
        <w:t>:</w:t>
      </w:r>
      <w:r w:rsidR="00D91DE2">
        <w:t xml:space="preserve"> </w:t>
      </w:r>
    </w:p>
    <w:p w14:paraId="11F51B70" w14:textId="69B0B671" w:rsidR="00064D5E" w:rsidRPr="005923A9" w:rsidRDefault="00D91DE2" w:rsidP="00064D5E">
      <w:pPr>
        <w:pStyle w:val="ListParagraph"/>
        <w:numPr>
          <w:ilvl w:val="0"/>
          <w:numId w:val="44"/>
        </w:numPr>
      </w:pPr>
      <w:r>
        <w:t>Reference</w:t>
      </w:r>
      <w:r w:rsidRPr="00064D5E">
        <w:rPr>
          <w:i/>
        </w:rPr>
        <w:t xml:space="preserve"> CP.MP.82 NICU Apnea Bradycardia </w:t>
      </w:r>
      <w:r w:rsidRPr="00B16C87">
        <w:t>Guidelines for treatment guidelines for infant apnea and bradycardia.</w:t>
      </w:r>
    </w:p>
    <w:p w14:paraId="5C55AB48" w14:textId="3B53F19B" w:rsidR="00064D5E" w:rsidRDefault="000A65DC" w:rsidP="00064D5E">
      <w:pPr>
        <w:pStyle w:val="ListParagraph"/>
        <w:numPr>
          <w:ilvl w:val="0"/>
          <w:numId w:val="44"/>
        </w:numPr>
      </w:pPr>
      <w:r>
        <w:t>R</w:t>
      </w:r>
      <w:r w:rsidRPr="00827726">
        <w:t>eference</w:t>
      </w:r>
      <w:r w:rsidRPr="004B5983">
        <w:rPr>
          <w:i/>
        </w:rPr>
        <w:t xml:space="preserve"> </w:t>
      </w:r>
      <w:r>
        <w:rPr>
          <w:i/>
        </w:rPr>
        <w:t>CP.MP.86 NAS Guidelines</w:t>
      </w:r>
      <w:r w:rsidRPr="004B5983">
        <w:rPr>
          <w:i/>
        </w:rPr>
        <w:t xml:space="preserve"> for drug withdrawal treatment</w:t>
      </w:r>
      <w:r>
        <w:t xml:space="preserve"> for concerns of drug withdrawal.</w:t>
      </w:r>
    </w:p>
    <w:p w14:paraId="66C1D24E" w14:textId="5395713A" w:rsidR="006E665D" w:rsidRPr="004B5983" w:rsidRDefault="005923A9" w:rsidP="00064D5E">
      <w:pPr>
        <w:pStyle w:val="ListParagraph"/>
        <w:numPr>
          <w:ilvl w:val="0"/>
          <w:numId w:val="44"/>
        </w:numPr>
      </w:pPr>
      <w:r>
        <w:t xml:space="preserve">Reference </w:t>
      </w:r>
      <w:r w:rsidRPr="00922FFC">
        <w:rPr>
          <w:i/>
        </w:rPr>
        <w:t>CP.MP.85 Neonata</w:t>
      </w:r>
      <w:r>
        <w:rPr>
          <w:i/>
        </w:rPr>
        <w:t xml:space="preserve">l Sepsis Management Guidelines </w:t>
      </w:r>
      <w:r w:rsidRPr="00B16C87">
        <w:t>for treatment of infection.</w:t>
      </w:r>
    </w:p>
    <w:p w14:paraId="683BA95A" w14:textId="77777777" w:rsidR="000A65DC" w:rsidRDefault="000A65DC" w:rsidP="000A65DC"/>
    <w:p w14:paraId="576C6AC0" w14:textId="01A685FB" w:rsidR="005923A9" w:rsidRPr="005923A9" w:rsidRDefault="000A65DC" w:rsidP="00B16C87">
      <w:pPr>
        <w:pStyle w:val="ListParagraph"/>
        <w:numPr>
          <w:ilvl w:val="0"/>
          <w:numId w:val="8"/>
        </w:numPr>
        <w:tabs>
          <w:tab w:val="clear" w:pos="1260"/>
        </w:tabs>
        <w:ind w:left="720"/>
      </w:pPr>
      <w:r>
        <w:t>Review for Level I or transitional care nursery days for social reasons such as</w:t>
      </w:r>
      <w:r w:rsidR="005923A9">
        <w:t xml:space="preserve"> the following. </w:t>
      </w:r>
      <w:r w:rsidR="005923A9" w:rsidRPr="005923A9">
        <w:t>These days may be denied as not medically necessary if Benefit Plan Contract does not include coverage for social days as medically necessary</w:t>
      </w:r>
      <w:r w:rsidR="005923A9">
        <w:t>:</w:t>
      </w:r>
    </w:p>
    <w:p w14:paraId="26297422" w14:textId="52FDA19B" w:rsidR="005923A9" w:rsidRPr="005923A9" w:rsidRDefault="005923A9" w:rsidP="00B16C87">
      <w:pPr>
        <w:pStyle w:val="ListParagraph"/>
        <w:numPr>
          <w:ilvl w:val="1"/>
          <w:numId w:val="8"/>
        </w:numPr>
        <w:tabs>
          <w:tab w:val="clear" w:pos="2160"/>
          <w:tab w:val="num" w:pos="1800"/>
        </w:tabs>
        <w:ind w:left="1080"/>
      </w:pPr>
      <w:r>
        <w:t>D</w:t>
      </w:r>
      <w:r w:rsidR="000A65DC">
        <w:t>ischarge teaching</w:t>
      </w:r>
    </w:p>
    <w:p w14:paraId="08AC02DB" w14:textId="5B8200D4" w:rsidR="005923A9" w:rsidRPr="005923A9" w:rsidRDefault="005923A9" w:rsidP="00B16C87">
      <w:pPr>
        <w:pStyle w:val="ListParagraph"/>
        <w:numPr>
          <w:ilvl w:val="1"/>
          <w:numId w:val="8"/>
        </w:numPr>
        <w:tabs>
          <w:tab w:val="clear" w:pos="2160"/>
          <w:tab w:val="num" w:pos="1800"/>
        </w:tabs>
        <w:ind w:left="1080"/>
      </w:pPr>
      <w:r>
        <w:t>A</w:t>
      </w:r>
      <w:r w:rsidR="000A65DC">
        <w:t>waiting foster placement</w:t>
      </w:r>
    </w:p>
    <w:p w14:paraId="44B0A711" w14:textId="6CDAA9E0" w:rsidR="005923A9" w:rsidRPr="005923A9" w:rsidRDefault="005923A9" w:rsidP="00B16C87">
      <w:pPr>
        <w:pStyle w:val="ListParagraph"/>
        <w:numPr>
          <w:ilvl w:val="1"/>
          <w:numId w:val="8"/>
        </w:numPr>
        <w:tabs>
          <w:tab w:val="clear" w:pos="2160"/>
          <w:tab w:val="num" w:pos="1800"/>
        </w:tabs>
        <w:ind w:left="1080"/>
      </w:pPr>
      <w:r>
        <w:t>I</w:t>
      </w:r>
      <w:r w:rsidR="000A65DC">
        <w:t>nappropriate maternal behavior/poor bonding</w:t>
      </w:r>
    </w:p>
    <w:p w14:paraId="573582AD" w14:textId="22C1E7A6" w:rsidR="005923A9" w:rsidRPr="005923A9" w:rsidRDefault="005923A9" w:rsidP="00B16C87">
      <w:pPr>
        <w:pStyle w:val="ListParagraph"/>
        <w:numPr>
          <w:ilvl w:val="1"/>
          <w:numId w:val="8"/>
        </w:numPr>
        <w:tabs>
          <w:tab w:val="clear" w:pos="2160"/>
          <w:tab w:val="num" w:pos="1800"/>
        </w:tabs>
        <w:ind w:left="1080"/>
      </w:pPr>
      <w:r>
        <w:t>P</w:t>
      </w:r>
      <w:r w:rsidR="00A0670F">
        <w:t>arent/caregiver refusal to sign for medically indicated surgical procedures such as a tracheostomy or gastric tube</w:t>
      </w:r>
    </w:p>
    <w:p w14:paraId="17D6D687" w14:textId="011E836C" w:rsidR="00A0670F" w:rsidRPr="00B16C87" w:rsidRDefault="005923A9" w:rsidP="00B16C87">
      <w:pPr>
        <w:pStyle w:val="ListParagraph"/>
        <w:numPr>
          <w:ilvl w:val="1"/>
          <w:numId w:val="8"/>
        </w:numPr>
        <w:tabs>
          <w:tab w:val="clear" w:pos="2160"/>
          <w:tab w:val="num" w:pos="1800"/>
        </w:tabs>
        <w:ind w:left="1080"/>
        <w:rPr>
          <w:b/>
          <w:i/>
        </w:rPr>
      </w:pPr>
      <w:r>
        <w:t>U</w:t>
      </w:r>
      <w:r w:rsidR="000A65DC">
        <w:t xml:space="preserve">nsafe home environment or maternal lengthened postpartum course, illness or disability must be sent to the medical director for review.  </w:t>
      </w:r>
    </w:p>
    <w:p w14:paraId="36912519" w14:textId="0AA46D0D" w:rsidR="00A0670F" w:rsidRPr="00B16C87" w:rsidRDefault="00A0670F" w:rsidP="00BE0B33">
      <w:pPr>
        <w:pStyle w:val="ListParagraph"/>
        <w:numPr>
          <w:ilvl w:val="0"/>
          <w:numId w:val="8"/>
        </w:numPr>
        <w:tabs>
          <w:tab w:val="clear" w:pos="1260"/>
          <w:tab w:val="num" w:pos="1980"/>
        </w:tabs>
        <w:ind w:left="720"/>
        <w:rPr>
          <w:b/>
          <w:i/>
        </w:rPr>
      </w:pPr>
      <w:r>
        <w:t xml:space="preserve">Care may not be denied for </w:t>
      </w:r>
      <w:r w:rsidR="002919AD">
        <w:t>any</w:t>
      </w:r>
      <w:r>
        <w:t xml:space="preserve"> of the following</w:t>
      </w:r>
      <w:r w:rsidRPr="00B16C87">
        <w:rPr>
          <w:bCs/>
          <w:color w:val="000000"/>
        </w:rPr>
        <w:t>:</w:t>
      </w:r>
    </w:p>
    <w:p w14:paraId="7B23B73C" w14:textId="2F219EC1" w:rsidR="00A0670F" w:rsidRPr="00B16C87" w:rsidRDefault="00133790" w:rsidP="00B16C87">
      <w:pPr>
        <w:numPr>
          <w:ilvl w:val="0"/>
          <w:numId w:val="34"/>
        </w:numPr>
        <w:ind w:left="1080"/>
      </w:pPr>
      <w:r>
        <w:t>N</w:t>
      </w:r>
      <w:r w:rsidR="00A0670F" w:rsidRPr="00B16C87">
        <w:t>o safe plan of care</w:t>
      </w:r>
      <w:r w:rsidR="00027A68" w:rsidRPr="00B16C87">
        <w:t xml:space="preserve"> at home</w:t>
      </w:r>
      <w:r w:rsidR="005923A9">
        <w:t>:</w:t>
      </w:r>
    </w:p>
    <w:p w14:paraId="017855B0" w14:textId="54A4DDC9" w:rsidR="00A0670F" w:rsidRPr="00B16C87" w:rsidRDefault="00A0670F" w:rsidP="00B16C87">
      <w:pPr>
        <w:pStyle w:val="ListParagraph"/>
        <w:numPr>
          <w:ilvl w:val="0"/>
          <w:numId w:val="35"/>
        </w:numPr>
        <w:ind w:left="1440"/>
      </w:pPr>
      <w:r w:rsidRPr="00B16C87">
        <w:t xml:space="preserve">No or inadequate </w:t>
      </w:r>
      <w:r w:rsidR="005923A9">
        <w:t xml:space="preserve">professional </w:t>
      </w:r>
      <w:r w:rsidRPr="00B16C87">
        <w:t xml:space="preserve">home </w:t>
      </w:r>
      <w:r w:rsidR="005923A9">
        <w:t>care, when necessary</w:t>
      </w:r>
    </w:p>
    <w:p w14:paraId="0669FA49" w14:textId="26B92F0F" w:rsidR="00A0670F" w:rsidRPr="00B16C87" w:rsidRDefault="00A0670F" w:rsidP="00B16C87">
      <w:pPr>
        <w:pStyle w:val="ListParagraph"/>
        <w:numPr>
          <w:ilvl w:val="0"/>
          <w:numId w:val="35"/>
        </w:numPr>
        <w:ind w:left="1440"/>
      </w:pPr>
      <w:r w:rsidRPr="00B16C87">
        <w:t>Lack of necessary equipment for use at home (</w:t>
      </w:r>
      <w:r w:rsidR="005923A9">
        <w:t xml:space="preserve">e.g. </w:t>
      </w:r>
      <w:r w:rsidRPr="00B16C87">
        <w:t>no home ventilator)</w:t>
      </w:r>
    </w:p>
    <w:p w14:paraId="42C107F3" w14:textId="4C508867" w:rsidR="00A0670F" w:rsidRPr="00B16C87" w:rsidRDefault="00A0670F" w:rsidP="00B16C87">
      <w:pPr>
        <w:numPr>
          <w:ilvl w:val="0"/>
          <w:numId w:val="34"/>
        </w:numPr>
        <w:ind w:left="1080"/>
      </w:pPr>
      <w:r w:rsidRPr="00B16C87">
        <w:t>Lack of a parent/caregiver identified</w:t>
      </w:r>
      <w:r w:rsidR="005923A9">
        <w:t>.</w:t>
      </w:r>
    </w:p>
    <w:p w14:paraId="583E0F7B" w14:textId="278B15AF" w:rsidR="000A65DC" w:rsidRDefault="000A65DC" w:rsidP="00B16C87">
      <w:pPr>
        <w:ind w:left="1080"/>
      </w:pPr>
    </w:p>
    <w:p w14:paraId="1DCBAE59" w14:textId="1A224695" w:rsidR="00DC1EA0" w:rsidRDefault="00DC1EA0" w:rsidP="000A546F">
      <w:pPr>
        <w:ind w:left="720"/>
      </w:pPr>
      <w:r w:rsidRPr="00B94BE6">
        <w:rPr>
          <w:i/>
        </w:rPr>
        <w:t>Note:</w:t>
      </w:r>
      <w:r>
        <w:t xml:space="preserve"> Parent discharge teaching should be completed coincidentally with the achievement of medical stability and not after achieving medical stability. </w:t>
      </w:r>
      <w:r w:rsidR="00027A68">
        <w:t>Rooming-</w:t>
      </w:r>
      <w:r w:rsidR="005923A9">
        <w:t>i</w:t>
      </w:r>
      <w:r w:rsidR="00027A68">
        <w:t xml:space="preserve">n for </w:t>
      </w:r>
      <w:r w:rsidR="005923A9">
        <w:t>one to two</w:t>
      </w:r>
      <w:r w:rsidR="00EA0679">
        <w:t xml:space="preserve"> days</w:t>
      </w:r>
      <w:r w:rsidR="005923A9">
        <w:t xml:space="preserve"> after medical stability</w:t>
      </w:r>
      <w:r w:rsidR="00EA0679">
        <w:t xml:space="preserve"> may be needed to ensure parental/caregiver competency</w:t>
      </w:r>
      <w:r w:rsidR="00397FB3">
        <w:t>,</w:t>
      </w:r>
      <w:r w:rsidR="00EA0679">
        <w:t xml:space="preserve"> depending on the complexity of the </w:t>
      </w:r>
      <w:r w:rsidR="005923A9">
        <w:t>infant’s condition.</w:t>
      </w:r>
      <w:r w:rsidR="00EA0679">
        <w:t xml:space="preserve"> For example, parents/caregivers of a baby needing home ventilation may need more than </w:t>
      </w:r>
      <w:r w:rsidR="005923A9">
        <w:t>one</w:t>
      </w:r>
      <w:r w:rsidR="00EA0679">
        <w:t xml:space="preserve"> night of </w:t>
      </w:r>
      <w:r w:rsidR="005923A9">
        <w:t>r</w:t>
      </w:r>
      <w:r w:rsidR="00EA0679">
        <w:t>ooming-</w:t>
      </w:r>
      <w:r w:rsidR="005923A9">
        <w:t>i</w:t>
      </w:r>
      <w:r w:rsidR="00EA0679">
        <w:t xml:space="preserve">n to ensure </w:t>
      </w:r>
      <w:r w:rsidR="00EA0679">
        <w:lastRenderedPageBreak/>
        <w:t>competency. A</w:t>
      </w:r>
      <w:r w:rsidR="00397FB3">
        <w:t>n infant</w:t>
      </w:r>
      <w:r w:rsidR="00EA0679">
        <w:t xml:space="preserve"> may not be able to </w:t>
      </w:r>
      <w:r w:rsidR="005923A9">
        <w:t>r</w:t>
      </w:r>
      <w:r w:rsidR="00EA0679">
        <w:t>oom-</w:t>
      </w:r>
      <w:r w:rsidR="005923A9">
        <w:t>i</w:t>
      </w:r>
      <w:r w:rsidR="00EA0679">
        <w:t>n until after being clinically well. For example, a</w:t>
      </w:r>
      <w:r w:rsidR="00397FB3">
        <w:t>n infant</w:t>
      </w:r>
      <w:r w:rsidR="00EA0679">
        <w:t xml:space="preserve"> must be monitored continuously for </w:t>
      </w:r>
      <w:r w:rsidR="00397FB3">
        <w:t>five to seven</w:t>
      </w:r>
      <w:r w:rsidR="00EA0679">
        <w:t xml:space="preserve"> days for apnea of prematurity</w:t>
      </w:r>
      <w:r w:rsidR="00027A68">
        <w:t xml:space="preserve"> or demonstrate stability on a home ventilator for </w:t>
      </w:r>
      <w:r w:rsidR="00397FB3">
        <w:t>five to seven</w:t>
      </w:r>
      <w:r w:rsidR="00027A68">
        <w:t xml:space="preserve"> days </w:t>
      </w:r>
      <w:r w:rsidR="00EA0679">
        <w:t xml:space="preserve">before being able to </w:t>
      </w:r>
      <w:r w:rsidR="005923A9">
        <w:t>room-in</w:t>
      </w:r>
      <w:r w:rsidR="00EA0679">
        <w:t xml:space="preserve">. </w:t>
      </w:r>
    </w:p>
    <w:p w14:paraId="0891A9EB" w14:textId="77777777" w:rsidR="00DC1EA0" w:rsidRDefault="00DC1EA0" w:rsidP="000A65DC"/>
    <w:p w14:paraId="39F2292F" w14:textId="11970682" w:rsidR="00BE0B33" w:rsidRPr="000A546F" w:rsidRDefault="000A546F" w:rsidP="000A546F">
      <w:pPr>
        <w:rPr>
          <w:b/>
        </w:rPr>
      </w:pPr>
      <w:r>
        <w:rPr>
          <w:b/>
        </w:rPr>
        <w:t xml:space="preserve">NICU Discharge </w:t>
      </w:r>
      <w:r w:rsidR="00BE0B33" w:rsidRPr="000A546F">
        <w:rPr>
          <w:b/>
        </w:rPr>
        <w:t>Recomm</w:t>
      </w:r>
      <w:r>
        <w:rPr>
          <w:b/>
        </w:rPr>
        <w:t>ended Practices</w:t>
      </w:r>
    </w:p>
    <w:p w14:paraId="1A22B828" w14:textId="2FFA8651" w:rsidR="00BE0B33" w:rsidRPr="00A124D8" w:rsidRDefault="00BE0B33" w:rsidP="00BE0B33">
      <w:pPr>
        <w:numPr>
          <w:ilvl w:val="0"/>
          <w:numId w:val="6"/>
        </w:numPr>
        <w:tabs>
          <w:tab w:val="clear" w:pos="1260"/>
          <w:tab w:val="num" w:pos="1530"/>
        </w:tabs>
        <w:ind w:left="720"/>
      </w:pPr>
      <w:r w:rsidRPr="009701DD">
        <w:t>Verif</w:t>
      </w:r>
      <w:r w:rsidR="000A546F" w:rsidRPr="009701DD">
        <w:t>y</w:t>
      </w:r>
      <w:r w:rsidRPr="009701DD">
        <w:t xml:space="preserve"> </w:t>
      </w:r>
      <w:proofErr w:type="gramStart"/>
      <w:r w:rsidRPr="009701DD">
        <w:t>all of</w:t>
      </w:r>
      <w:proofErr w:type="gramEnd"/>
      <w:r w:rsidRPr="009701DD">
        <w:t xml:space="preserve"> the following</w:t>
      </w:r>
      <w:r w:rsidR="00397FB3">
        <w:t xml:space="preserve"> before discharge</w:t>
      </w:r>
      <w:r w:rsidRPr="009701DD">
        <w:t>:</w:t>
      </w:r>
    </w:p>
    <w:p w14:paraId="40FFA655" w14:textId="5DF9FC01" w:rsidR="00BE0B33" w:rsidRPr="004801F7" w:rsidRDefault="00BE0B33" w:rsidP="00BE0B33">
      <w:pPr>
        <w:numPr>
          <w:ilvl w:val="0"/>
          <w:numId w:val="32"/>
        </w:numPr>
        <w:tabs>
          <w:tab w:val="clear" w:pos="1260"/>
          <w:tab w:val="num" w:pos="1620"/>
        </w:tabs>
        <w:ind w:left="1080"/>
      </w:pPr>
      <w:r w:rsidRPr="004801F7">
        <w:t>The home/foster care environment is deemed safe and accessible;</w:t>
      </w:r>
    </w:p>
    <w:p w14:paraId="2A9CCF84" w14:textId="4745694C" w:rsidR="00BE0B33" w:rsidRPr="004801F7" w:rsidRDefault="00BE0B33" w:rsidP="00BE0B33">
      <w:pPr>
        <w:numPr>
          <w:ilvl w:val="0"/>
          <w:numId w:val="32"/>
        </w:numPr>
        <w:tabs>
          <w:tab w:val="clear" w:pos="1260"/>
          <w:tab w:val="num" w:pos="1620"/>
        </w:tabs>
        <w:ind w:left="1080"/>
      </w:pPr>
      <w:r w:rsidRPr="004801F7">
        <w:t>The parent or caregiver demonstrates the ability to manage the care of the infant;</w:t>
      </w:r>
      <w:r w:rsidR="00566295" w:rsidRPr="004801F7">
        <w:t xml:space="preserve"> </w:t>
      </w:r>
    </w:p>
    <w:p w14:paraId="5CD1BD1D" w14:textId="77777777" w:rsidR="00BE0B33" w:rsidRPr="004801F7" w:rsidRDefault="00BE0B33" w:rsidP="00BE0B33">
      <w:pPr>
        <w:numPr>
          <w:ilvl w:val="0"/>
          <w:numId w:val="32"/>
        </w:numPr>
        <w:tabs>
          <w:tab w:val="clear" w:pos="1260"/>
          <w:tab w:val="num" w:pos="1620"/>
        </w:tabs>
        <w:ind w:left="1080"/>
      </w:pPr>
      <w:r w:rsidRPr="004801F7">
        <w:t>Follow-up care planned and communicated between caregivers and providers;</w:t>
      </w:r>
    </w:p>
    <w:p w14:paraId="7550EA48" w14:textId="77777777" w:rsidR="00BE0B33" w:rsidRPr="004801F7" w:rsidRDefault="00BE0B33" w:rsidP="00BE0B33">
      <w:pPr>
        <w:numPr>
          <w:ilvl w:val="0"/>
          <w:numId w:val="32"/>
        </w:numPr>
        <w:tabs>
          <w:tab w:val="clear" w:pos="1260"/>
          <w:tab w:val="num" w:pos="1620"/>
        </w:tabs>
        <w:ind w:left="1080"/>
      </w:pPr>
      <w:r w:rsidRPr="004801F7">
        <w:t>Medications reconciled;</w:t>
      </w:r>
    </w:p>
    <w:p w14:paraId="3C38C9D0" w14:textId="77777777" w:rsidR="00BE0B33" w:rsidRPr="004801F7" w:rsidRDefault="00BE0B33" w:rsidP="00BE0B33">
      <w:pPr>
        <w:numPr>
          <w:ilvl w:val="0"/>
          <w:numId w:val="32"/>
        </w:numPr>
        <w:tabs>
          <w:tab w:val="clear" w:pos="1260"/>
          <w:tab w:val="num" w:pos="1620"/>
        </w:tabs>
        <w:ind w:left="1080"/>
      </w:pPr>
      <w:r w:rsidRPr="004801F7">
        <w:t>Transportation needs identified and addressed;</w:t>
      </w:r>
    </w:p>
    <w:p w14:paraId="69A2FB90" w14:textId="38FF9024" w:rsidR="00BE0B33" w:rsidRPr="004801F7" w:rsidRDefault="00BE0B33" w:rsidP="00BE0B33">
      <w:pPr>
        <w:numPr>
          <w:ilvl w:val="0"/>
          <w:numId w:val="32"/>
        </w:numPr>
        <w:tabs>
          <w:tab w:val="clear" w:pos="1260"/>
          <w:tab w:val="num" w:pos="1620"/>
        </w:tabs>
        <w:ind w:left="1080"/>
      </w:pPr>
      <w:r w:rsidRPr="004801F7">
        <w:t>In cases of foster care placement, case worker contact information should be identified. The case worker should be involved and kept updated regarding discharge plans.</w:t>
      </w:r>
    </w:p>
    <w:p w14:paraId="2C99BCB3" w14:textId="77777777" w:rsidR="00BE0B33" w:rsidRPr="004801F7" w:rsidRDefault="00BE0B33" w:rsidP="00D1442E">
      <w:pPr>
        <w:numPr>
          <w:ilvl w:val="0"/>
          <w:numId w:val="6"/>
        </w:numPr>
        <w:tabs>
          <w:tab w:val="clear" w:pos="1260"/>
          <w:tab w:val="num" w:pos="720"/>
        </w:tabs>
        <w:ind w:left="720"/>
      </w:pPr>
      <w:r w:rsidRPr="004801F7">
        <w:t>Screening Tests</w:t>
      </w:r>
    </w:p>
    <w:p w14:paraId="20E8DC65" w14:textId="3AE1D676" w:rsidR="00BE0B33" w:rsidRPr="004801F7" w:rsidRDefault="00BE0B33" w:rsidP="00D1442E">
      <w:pPr>
        <w:numPr>
          <w:ilvl w:val="0"/>
          <w:numId w:val="15"/>
        </w:numPr>
        <w:ind w:left="1080"/>
      </w:pPr>
      <w:r w:rsidRPr="004801F7">
        <w:t>State-mandated metabolic screening testing should be completed;</w:t>
      </w:r>
      <w:r w:rsidR="00655026" w:rsidRPr="004801F7">
        <w:t xml:space="preserve"> </w:t>
      </w:r>
    </w:p>
    <w:p w14:paraId="205BDF77" w14:textId="77777777" w:rsidR="00BE0B33" w:rsidRPr="004801F7" w:rsidRDefault="00BE0B33" w:rsidP="00D1442E">
      <w:pPr>
        <w:numPr>
          <w:ilvl w:val="0"/>
          <w:numId w:val="15"/>
        </w:numPr>
        <w:ind w:left="1080"/>
      </w:pPr>
      <w:r w:rsidRPr="00341B84">
        <w:t xml:space="preserve">Screening for retinopathy of prematurity per AAP guidelines should be performed (or </w:t>
      </w:r>
      <w:r w:rsidRPr="004801F7">
        <w:t>arranged as outpatient) with an ophthalmologist skilled in the evaluation of the retina of the preterm infant, with adequate follow-up for patients with active disease;</w:t>
      </w:r>
    </w:p>
    <w:p w14:paraId="7F98AAB9" w14:textId="01187237" w:rsidR="00BE0B33" w:rsidRPr="004801F7" w:rsidRDefault="00BE0B33" w:rsidP="00D1442E">
      <w:pPr>
        <w:numPr>
          <w:ilvl w:val="0"/>
          <w:numId w:val="15"/>
        </w:numPr>
        <w:ind w:left="1080"/>
        <w:rPr>
          <w:u w:val="single"/>
        </w:rPr>
      </w:pPr>
      <w:r w:rsidRPr="004801F7">
        <w:t xml:space="preserve">Hearing screening should be completed prior to discharge with follow-up plans for infants requiring a full audiology assessment;  </w:t>
      </w:r>
    </w:p>
    <w:p w14:paraId="1EDA7AE3" w14:textId="6A4B2CF4" w:rsidR="00BE0B33" w:rsidRPr="004801F7" w:rsidRDefault="00BE0B33" w:rsidP="00D1442E">
      <w:pPr>
        <w:pStyle w:val="ListParagraph"/>
        <w:numPr>
          <w:ilvl w:val="0"/>
          <w:numId w:val="15"/>
        </w:numPr>
        <w:ind w:left="1080"/>
        <w:rPr>
          <w:u w:val="single"/>
        </w:rPr>
      </w:pPr>
      <w:r w:rsidRPr="004801F7">
        <w:t xml:space="preserve">An assessment of cardiorespiratory stability in a car seat </w:t>
      </w:r>
      <w:r w:rsidR="00401F57" w:rsidRPr="004801F7">
        <w:t xml:space="preserve">or car bed </w:t>
      </w:r>
      <w:r w:rsidRPr="004801F7">
        <w:t xml:space="preserve">is recommended prior to discharge for infants born at &lt; 37 weeks gestation or </w:t>
      </w:r>
      <w:r w:rsidR="001D5E70" w:rsidRPr="004801F7">
        <w:t xml:space="preserve">for infants </w:t>
      </w:r>
      <w:r w:rsidRPr="004801F7">
        <w:t xml:space="preserve">with other risk factors for </w:t>
      </w:r>
      <w:r w:rsidR="001D5E70" w:rsidRPr="004801F7">
        <w:t>cardio</w:t>
      </w:r>
      <w:r w:rsidRPr="004801F7">
        <w:t>respiratory compromise</w:t>
      </w:r>
      <w:r w:rsidR="004C6750" w:rsidRPr="004801F7">
        <w:t>.</w:t>
      </w:r>
    </w:p>
    <w:p w14:paraId="3EA91DB9" w14:textId="77777777" w:rsidR="00BE0B33" w:rsidRPr="004801F7" w:rsidRDefault="00BE0B33" w:rsidP="00D1442E">
      <w:pPr>
        <w:numPr>
          <w:ilvl w:val="0"/>
          <w:numId w:val="6"/>
        </w:numPr>
        <w:tabs>
          <w:tab w:val="clear" w:pos="1260"/>
          <w:tab w:val="num" w:pos="720"/>
        </w:tabs>
        <w:ind w:left="720"/>
      </w:pPr>
      <w:r w:rsidRPr="004801F7">
        <w:t>Immunizations</w:t>
      </w:r>
    </w:p>
    <w:p w14:paraId="78E61214" w14:textId="3F499031" w:rsidR="00BE0B33" w:rsidRPr="00490BB5" w:rsidRDefault="00BE0B33" w:rsidP="00D1442E">
      <w:pPr>
        <w:numPr>
          <w:ilvl w:val="0"/>
          <w:numId w:val="7"/>
        </w:numPr>
        <w:ind w:left="1080"/>
      </w:pPr>
      <w:r w:rsidRPr="00341B84">
        <w:t xml:space="preserve">Infants should receive appropriate immunizations per </w:t>
      </w:r>
      <w:r>
        <w:t>CDC</w:t>
      </w:r>
      <w:r w:rsidRPr="00341B84">
        <w:t xml:space="preserve"> guidelines before discharge (or arranged as an outpatient)</w:t>
      </w:r>
      <w:r>
        <w:t xml:space="preserve"> based on their postnatal age;</w:t>
      </w:r>
    </w:p>
    <w:p w14:paraId="2D507B3C" w14:textId="57CE6383" w:rsidR="00BE0B33" w:rsidRPr="00490BB5" w:rsidRDefault="00BE0B33" w:rsidP="00D1442E">
      <w:pPr>
        <w:numPr>
          <w:ilvl w:val="0"/>
          <w:numId w:val="7"/>
        </w:numPr>
        <w:ind w:left="1080"/>
      </w:pPr>
      <w:r w:rsidRPr="00341B84">
        <w:t xml:space="preserve">Specialized immunizations, when indicated (e.g. </w:t>
      </w:r>
      <w:r>
        <w:t>respiratory</w:t>
      </w:r>
      <w:r w:rsidRPr="00B01262">
        <w:t xml:space="preserve"> </w:t>
      </w:r>
      <w:r>
        <w:t>s</w:t>
      </w:r>
      <w:r w:rsidRPr="00B01262">
        <w:t>yncytial</w:t>
      </w:r>
      <w:r w:rsidRPr="00341B84">
        <w:t xml:space="preserve"> </w:t>
      </w:r>
      <w:r>
        <w:t xml:space="preserve">virus </w:t>
      </w:r>
      <w:proofErr w:type="gramStart"/>
      <w:r w:rsidR="00EA0679">
        <w:t xml:space="preserve">immunoglobulin </w:t>
      </w:r>
      <w:r w:rsidR="007C485A">
        <w:t xml:space="preserve"> </w:t>
      </w:r>
      <w:r w:rsidRPr="00341B84">
        <w:t>prophylaxis</w:t>
      </w:r>
      <w:proofErr w:type="gramEnd"/>
      <w:r w:rsidRPr="00341B84">
        <w:t>) should be administered prior to</w:t>
      </w:r>
      <w:r>
        <w:t xml:space="preserve"> discharge;</w:t>
      </w:r>
    </w:p>
    <w:p w14:paraId="03946AEB" w14:textId="3449F588" w:rsidR="00BE0B33" w:rsidRPr="000165BE" w:rsidRDefault="00BE0B33" w:rsidP="00D1442E">
      <w:pPr>
        <w:numPr>
          <w:ilvl w:val="0"/>
          <w:numId w:val="7"/>
        </w:numPr>
        <w:ind w:left="1080"/>
        <w:rPr>
          <w:u w:val="single"/>
        </w:rPr>
      </w:pPr>
      <w:r>
        <w:t xml:space="preserve">Every effort should be made to assure that parents and caretakers have been immunized against pertussis with the </w:t>
      </w:r>
      <w:proofErr w:type="spellStart"/>
      <w:r>
        <w:t>TDaP</w:t>
      </w:r>
      <w:proofErr w:type="spellEnd"/>
      <w:r>
        <w:t xml:space="preserve"> vaccine;</w:t>
      </w:r>
      <w:r w:rsidR="00D15B55">
        <w:t xml:space="preserve"> and the flu with the influenza injection.</w:t>
      </w:r>
    </w:p>
    <w:p w14:paraId="56F51B41" w14:textId="54026FFA" w:rsidR="00BE0B33" w:rsidRDefault="00BE0B33" w:rsidP="00D1442E">
      <w:pPr>
        <w:pStyle w:val="ListParagraph"/>
        <w:numPr>
          <w:ilvl w:val="0"/>
          <w:numId w:val="6"/>
        </w:numPr>
        <w:tabs>
          <w:tab w:val="clear" w:pos="1260"/>
          <w:tab w:val="num" w:pos="1440"/>
        </w:tabs>
        <w:ind w:left="720"/>
      </w:pPr>
      <w:r w:rsidRPr="000C1A5E">
        <w:t>All parent</w:t>
      </w:r>
      <w:r w:rsidR="003F7D04">
        <w:t>(</w:t>
      </w:r>
      <w:r w:rsidRPr="000C1A5E">
        <w:t>s</w:t>
      </w:r>
      <w:r w:rsidR="003F7D04">
        <w:t>)</w:t>
      </w:r>
      <w:r w:rsidR="00BA4421">
        <w:t>/caregiver(s)</w:t>
      </w:r>
      <w:r w:rsidRPr="000C1A5E">
        <w:t xml:space="preserve"> should be encouraged to attend infant CPR class</w:t>
      </w:r>
      <w:r w:rsidR="003F7D04">
        <w:t xml:space="preserve"> or a hospital developed parent/caregiver education program prior to discharge</w:t>
      </w:r>
      <w:r w:rsidRPr="000C1A5E">
        <w:t xml:space="preserve">. </w:t>
      </w:r>
      <w:r w:rsidR="00722094">
        <w:t xml:space="preserve"> </w:t>
      </w:r>
    </w:p>
    <w:p w14:paraId="45C00E35" w14:textId="090814B0" w:rsidR="00D15B55" w:rsidRDefault="00D15B55" w:rsidP="00D15B55">
      <w:pPr>
        <w:pStyle w:val="ListParagraph"/>
        <w:numPr>
          <w:ilvl w:val="0"/>
          <w:numId w:val="6"/>
        </w:numPr>
        <w:tabs>
          <w:tab w:val="clear" w:pos="1260"/>
          <w:tab w:val="num" w:pos="1440"/>
        </w:tabs>
        <w:ind w:left="720"/>
      </w:pPr>
      <w:r>
        <w:t>Car seats</w:t>
      </w:r>
    </w:p>
    <w:p w14:paraId="160E6A39" w14:textId="0579E1E8" w:rsidR="00D15B55" w:rsidRDefault="00D15B55" w:rsidP="00EF5CD3">
      <w:pPr>
        <w:pStyle w:val="ListParagraph"/>
        <w:numPr>
          <w:ilvl w:val="1"/>
          <w:numId w:val="6"/>
        </w:numPr>
        <w:tabs>
          <w:tab w:val="num" w:pos="1440"/>
        </w:tabs>
      </w:pPr>
      <w:r>
        <w:t>All preterm infants less than 37 weeks should be tested for cardiorespiratory compromise prior to discharge</w:t>
      </w:r>
      <w:r w:rsidR="001001F5">
        <w:t xml:space="preserve">. If </w:t>
      </w:r>
      <w:r w:rsidR="00397FB3">
        <w:t xml:space="preserve">the infant </w:t>
      </w:r>
      <w:r w:rsidR="001001F5">
        <w:t>fail</w:t>
      </w:r>
      <w:r w:rsidR="00397FB3">
        <w:t>s</w:t>
      </w:r>
      <w:r w:rsidR="001001F5">
        <w:t xml:space="preserve">, </w:t>
      </w:r>
      <w:r w:rsidR="00064D5E">
        <w:t xml:space="preserve">use of a car bed should be considered. A similar </w:t>
      </w:r>
      <w:r w:rsidR="00064D5E" w:rsidRPr="00064D5E">
        <w:t>period of cardiorespiratory monitoring in a car bed should be performed prior to discharge home</w:t>
      </w:r>
      <w:r w:rsidR="00064D5E">
        <w:t>.</w:t>
      </w:r>
    </w:p>
    <w:p w14:paraId="67D18C1F" w14:textId="032FC421" w:rsidR="00D15B55" w:rsidRDefault="001001F5" w:rsidP="00EF5CD3">
      <w:pPr>
        <w:pStyle w:val="ListParagraph"/>
        <w:numPr>
          <w:ilvl w:val="1"/>
          <w:numId w:val="6"/>
        </w:numPr>
        <w:tabs>
          <w:tab w:val="num" w:pos="1440"/>
        </w:tabs>
      </w:pPr>
      <w:r>
        <w:t>M</w:t>
      </w:r>
      <w:r w:rsidR="00D15B55">
        <w:t xml:space="preserve">ust meet current </w:t>
      </w:r>
      <w:r w:rsidR="00255B38">
        <w:t xml:space="preserve">safety </w:t>
      </w:r>
      <w:r w:rsidR="00D15B55">
        <w:t>standards</w:t>
      </w:r>
      <w:r w:rsidR="00255B38">
        <w:t xml:space="preserve"> and </w:t>
      </w:r>
      <w:r w:rsidR="00397FB3">
        <w:t>not exceed the expiration date</w:t>
      </w:r>
      <w:r>
        <w:t xml:space="preserve">.  </w:t>
      </w:r>
    </w:p>
    <w:p w14:paraId="71FA9572" w14:textId="5A83E66D" w:rsidR="001001F5" w:rsidRDefault="00397FB3" w:rsidP="00EF5CD3">
      <w:pPr>
        <w:pStyle w:val="ListParagraph"/>
        <w:numPr>
          <w:ilvl w:val="1"/>
          <w:numId w:val="6"/>
        </w:numPr>
        <w:tabs>
          <w:tab w:val="num" w:pos="1440"/>
        </w:tabs>
      </w:pPr>
      <w:r>
        <w:t>Must be adjusted</w:t>
      </w:r>
      <w:r w:rsidR="001001F5">
        <w:t xml:space="preserve"> to the infant’s size.</w:t>
      </w:r>
    </w:p>
    <w:p w14:paraId="2F48719D" w14:textId="21D71AE4" w:rsidR="001001F5" w:rsidRDefault="001001F5" w:rsidP="00EF5CD3">
      <w:pPr>
        <w:pStyle w:val="ListParagraph"/>
        <w:numPr>
          <w:ilvl w:val="1"/>
          <w:numId w:val="6"/>
        </w:numPr>
        <w:tabs>
          <w:tab w:val="num" w:pos="1440"/>
        </w:tabs>
      </w:pPr>
      <w:r>
        <w:t>Parents/caregivers educated on proper car seat fitting and use.</w:t>
      </w:r>
    </w:p>
    <w:p w14:paraId="542F606A" w14:textId="12961F44" w:rsidR="00EF5CD3" w:rsidRPr="007F046B" w:rsidRDefault="00EF5CD3" w:rsidP="00EF5CD3">
      <w:pPr>
        <w:pStyle w:val="ListParagraph"/>
        <w:numPr>
          <w:ilvl w:val="1"/>
          <w:numId w:val="6"/>
        </w:numPr>
        <w:tabs>
          <w:tab w:val="num" w:pos="1440"/>
        </w:tabs>
      </w:pPr>
      <w:proofErr w:type="gramStart"/>
      <w:r w:rsidRPr="007F046B">
        <w:t>Four pound</w:t>
      </w:r>
      <w:proofErr w:type="gramEnd"/>
      <w:r w:rsidRPr="007F046B">
        <w:t xml:space="preserve"> (1815 gram) car seat for those infants weighing less than </w:t>
      </w:r>
      <w:r w:rsidR="002D708F" w:rsidRPr="007F046B">
        <w:t>five</w:t>
      </w:r>
      <w:r w:rsidRPr="007F046B">
        <w:t xml:space="preserve"> pound</w:t>
      </w:r>
      <w:r w:rsidR="00397FB3" w:rsidRPr="007F046B">
        <w:t>s</w:t>
      </w:r>
      <w:r w:rsidRPr="007F046B">
        <w:t xml:space="preserve"> (2268 grams)</w:t>
      </w:r>
      <w:r w:rsidR="00397FB3" w:rsidRPr="007F046B">
        <w:t>.</w:t>
      </w:r>
    </w:p>
    <w:p w14:paraId="18B6F15C" w14:textId="77777777" w:rsidR="00BA4421" w:rsidRDefault="00BA4421" w:rsidP="000A65DC">
      <w:pPr>
        <w:rPr>
          <w:b/>
        </w:rPr>
      </w:pPr>
    </w:p>
    <w:p w14:paraId="5FE4C556" w14:textId="3F4A193C" w:rsidR="000A65DC" w:rsidRPr="00B94BE6" w:rsidRDefault="000A65DC" w:rsidP="000A65DC">
      <w:pPr>
        <w:rPr>
          <w:b/>
        </w:rPr>
      </w:pPr>
      <w:r w:rsidRPr="00B94BE6">
        <w:rPr>
          <w:b/>
        </w:rPr>
        <w:lastRenderedPageBreak/>
        <w:t>Background:</w:t>
      </w:r>
    </w:p>
    <w:p w14:paraId="66736468" w14:textId="77777777" w:rsidR="000A65DC" w:rsidRPr="00B94BE6" w:rsidRDefault="000A65DC" w:rsidP="000A65DC">
      <w:pPr>
        <w:rPr>
          <w:i/>
        </w:rPr>
      </w:pPr>
      <w:r>
        <w:rPr>
          <w:i/>
        </w:rPr>
        <w:t>Nutritional competency</w:t>
      </w:r>
    </w:p>
    <w:p w14:paraId="73DFE6C2" w14:textId="0702B9E1" w:rsidR="000A65DC" w:rsidRPr="004801F7" w:rsidRDefault="000A65DC" w:rsidP="000A65DC">
      <w:r w:rsidRPr="00B94BE6">
        <w:t>W</w:t>
      </w:r>
      <w:r>
        <w:t>eight itself</w:t>
      </w:r>
      <w:r w:rsidRPr="000C1A5E">
        <w:t xml:space="preserve"> should not be a criterion for discharge. Early hospital discharge is safe and feasible for very</w:t>
      </w:r>
      <w:r w:rsidR="00B04C15">
        <w:t xml:space="preserve"> </w:t>
      </w:r>
      <w:r w:rsidRPr="000C1A5E">
        <w:t>low</w:t>
      </w:r>
      <w:r w:rsidR="00B04C15">
        <w:t xml:space="preserve"> </w:t>
      </w:r>
      <w:r w:rsidRPr="000C1A5E">
        <w:t>birth</w:t>
      </w:r>
      <w:r w:rsidR="00B04C15">
        <w:t xml:space="preserve"> </w:t>
      </w:r>
      <w:r w:rsidRPr="000C1A5E">
        <w:t xml:space="preserve">weight infants </w:t>
      </w:r>
      <w:r w:rsidRPr="004801F7">
        <w:t>when behavioral and parental criteria, rather than achieved weight, serve as discharge indicators</w:t>
      </w:r>
      <w:r w:rsidR="006965D3" w:rsidRPr="004801F7">
        <w:t>.</w:t>
      </w:r>
      <w:r w:rsidRPr="004801F7">
        <w:rPr>
          <w:vertAlign w:val="superscript"/>
        </w:rPr>
        <w:t>1</w:t>
      </w:r>
      <w:r w:rsidRPr="004801F7">
        <w:t xml:space="preserve"> Term infants often have a 5</w:t>
      </w:r>
      <w:r w:rsidR="00BD703A" w:rsidRPr="004801F7">
        <w:t xml:space="preserve"> to </w:t>
      </w:r>
      <w:r w:rsidRPr="004801F7">
        <w:t>7% weight loss in the first week of life with an expectation that they will be back to birth weight by 10</w:t>
      </w:r>
      <w:r w:rsidR="00BD703A" w:rsidRPr="004801F7">
        <w:t xml:space="preserve"> to </w:t>
      </w:r>
      <w:r w:rsidRPr="004801F7">
        <w:t>14 days of age.</w:t>
      </w:r>
    </w:p>
    <w:p w14:paraId="6FA49FC7" w14:textId="77777777" w:rsidR="000A65DC" w:rsidRPr="004801F7" w:rsidRDefault="000A65DC" w:rsidP="000A65DC"/>
    <w:p w14:paraId="19928683" w14:textId="77777777" w:rsidR="000A65DC" w:rsidRPr="004801F7" w:rsidRDefault="000A65DC" w:rsidP="000A65DC">
      <w:pPr>
        <w:rPr>
          <w:i/>
        </w:rPr>
      </w:pPr>
      <w:r w:rsidRPr="004801F7">
        <w:rPr>
          <w:i/>
        </w:rPr>
        <w:t>Respiratory Control</w:t>
      </w:r>
    </w:p>
    <w:p w14:paraId="253F14C0" w14:textId="78B03D7D" w:rsidR="000A65DC" w:rsidRDefault="000A65DC" w:rsidP="000A65DC">
      <w:r w:rsidRPr="004801F7">
        <w:t>Preterm infants typically demonstrate mature</w:t>
      </w:r>
      <w:r w:rsidRPr="009701DD">
        <w:t xml:space="preserve"> respiratory control by 36</w:t>
      </w:r>
      <w:r w:rsidR="00BD703A">
        <w:t xml:space="preserve"> to </w:t>
      </w:r>
      <w:r w:rsidRPr="009701DD">
        <w:t>37 weeks</w:t>
      </w:r>
      <w:r>
        <w:t xml:space="preserve"> post gestational age. Occasionally maturation of respiratory control can be delayed to up to 44 weeks.  </w:t>
      </w:r>
    </w:p>
    <w:p w14:paraId="000BD655" w14:textId="77777777" w:rsidR="000A65DC" w:rsidRDefault="000A65DC" w:rsidP="000A65DC"/>
    <w:p w14:paraId="0B420FA0" w14:textId="1590EFF4" w:rsidR="00033C0E" w:rsidRPr="00033C0E" w:rsidRDefault="000A65DC" w:rsidP="00033C0E">
      <w:pPr>
        <w:rPr>
          <w:vertAlign w:val="superscript"/>
        </w:rPr>
      </w:pPr>
      <w:r>
        <w:t>Home oxygen therapy for infants with bronchopulmonary dysplasia has been used safely to achieve earlier hospital discharge.</w:t>
      </w:r>
      <w:r>
        <w:rPr>
          <w:vertAlign w:val="superscript"/>
        </w:rPr>
        <w:t xml:space="preserve"> </w:t>
      </w:r>
      <w:r w:rsidR="00033C0E">
        <w:t>According to the Canadian pediatric society, s</w:t>
      </w:r>
      <w:r w:rsidR="00033C0E" w:rsidRPr="00033C0E">
        <w:t>ome infants with prolonged oxygen dependency may be candidates for home oxygen therapy.</w:t>
      </w:r>
      <w:r w:rsidR="00C84076">
        <w:rPr>
          <w:vertAlign w:val="superscript"/>
        </w:rPr>
        <w:t>7</w:t>
      </w:r>
      <w:r w:rsidR="00033C0E" w:rsidRPr="00033C0E">
        <w:t xml:space="preserve"> In making decisions about home oxygen, each family’s needs should be considered individually, balancing the burden of prolonged hospitalization with the impact of caring for an infant on home oxygen.</w:t>
      </w:r>
      <w:r w:rsidR="002B00B0">
        <w:rPr>
          <w:vertAlign w:val="superscript"/>
        </w:rPr>
        <w:t>7</w:t>
      </w:r>
    </w:p>
    <w:p w14:paraId="282A82CA" w14:textId="16888657" w:rsidR="000A65DC" w:rsidRPr="00033C0E" w:rsidRDefault="000A65DC" w:rsidP="000A65DC"/>
    <w:p w14:paraId="01E83F4D" w14:textId="784EAD12" w:rsidR="000A65DC" w:rsidRDefault="000A65DC" w:rsidP="000A65DC">
      <w:r w:rsidRPr="007F046B">
        <w:t>Cardiorespiratory monitoring is indicated when an infant has an ongoing medical condition that increases risk for apnea, airway obstruction, or hypoxemia</w:t>
      </w:r>
      <w:r>
        <w:t>.</w:t>
      </w:r>
      <w:r w:rsidR="00CC47F4">
        <w:rPr>
          <w:vertAlign w:val="superscript"/>
        </w:rPr>
        <w:t>9</w:t>
      </w:r>
      <w:r>
        <w:t xml:space="preserve"> Examples of conditions requiring home cardiorespiratory monitoring include, but are not limited to, the following:</w:t>
      </w:r>
    </w:p>
    <w:p w14:paraId="45D11E20" w14:textId="0B3ED886" w:rsidR="000A65DC" w:rsidRDefault="000A65DC" w:rsidP="000A65DC">
      <w:pPr>
        <w:pStyle w:val="ListParagraph"/>
        <w:numPr>
          <w:ilvl w:val="0"/>
          <w:numId w:val="14"/>
        </w:numPr>
        <w:ind w:left="360"/>
        <w:rPr>
          <w:lang w:val="en"/>
        </w:rPr>
      </w:pPr>
      <w:r w:rsidRPr="005D5123">
        <w:rPr>
          <w:lang w:val="en"/>
        </w:rPr>
        <w:t>Pharmacological treatment of respiratory immaturity or continued apnea at term or near-term gestation (apnea of prematurity or apnea of infancy)</w:t>
      </w:r>
    </w:p>
    <w:p w14:paraId="065F3925" w14:textId="77777777" w:rsidR="0038123A" w:rsidRDefault="0038123A" w:rsidP="0038123A">
      <w:pPr>
        <w:pStyle w:val="ListParagraph"/>
        <w:numPr>
          <w:ilvl w:val="0"/>
          <w:numId w:val="14"/>
        </w:numPr>
        <w:ind w:left="360"/>
        <w:rPr>
          <w:lang w:val="en"/>
        </w:rPr>
      </w:pPr>
      <w:r>
        <w:rPr>
          <w:lang w:val="en"/>
        </w:rPr>
        <w:t>Chronic lung disease (</w:t>
      </w:r>
      <w:proofErr w:type="spellStart"/>
      <w:r>
        <w:rPr>
          <w:lang w:val="en"/>
        </w:rPr>
        <w:t>eg</w:t>
      </w:r>
      <w:proofErr w:type="spellEnd"/>
      <w:r>
        <w:rPr>
          <w:lang w:val="en"/>
        </w:rPr>
        <w:t>, bronchopulmonary dysplasia), especially those requiring supplemental oxygen, positive airway pressure, or mechanical ventilatory support</w:t>
      </w:r>
    </w:p>
    <w:p w14:paraId="0E1FFEDC" w14:textId="77777777" w:rsidR="0038123A" w:rsidRDefault="0038123A" w:rsidP="0038123A">
      <w:pPr>
        <w:pStyle w:val="ListParagraph"/>
        <w:numPr>
          <w:ilvl w:val="0"/>
          <w:numId w:val="14"/>
        </w:numPr>
        <w:ind w:left="360"/>
        <w:rPr>
          <w:lang w:val="en"/>
        </w:rPr>
      </w:pPr>
      <w:r w:rsidRPr="008E56AF">
        <w:rPr>
          <w:lang w:val="en"/>
        </w:rPr>
        <w:t>Congenital myasthenic syndromes</w:t>
      </w:r>
    </w:p>
    <w:p w14:paraId="40343B08" w14:textId="09756D89" w:rsidR="001A0508" w:rsidRPr="001A0508" w:rsidRDefault="0038123A" w:rsidP="005923A9">
      <w:pPr>
        <w:pStyle w:val="ListParagraph"/>
        <w:numPr>
          <w:ilvl w:val="0"/>
          <w:numId w:val="14"/>
        </w:numPr>
        <w:ind w:left="360"/>
        <w:rPr>
          <w:lang w:val="en"/>
        </w:rPr>
      </w:pPr>
      <w:r w:rsidRPr="001A0508">
        <w:rPr>
          <w:lang w:val="en"/>
        </w:rPr>
        <w:t>Tracheostomy or other airway abnormalities.</w:t>
      </w:r>
      <w:r w:rsidR="001A0508" w:rsidRPr="001A0508">
        <w:rPr>
          <w:lang w:val="en"/>
        </w:rPr>
        <w:t xml:space="preserve">  </w:t>
      </w:r>
    </w:p>
    <w:p w14:paraId="1DEA10E7" w14:textId="77777777" w:rsidR="001A0508" w:rsidRPr="0038123A" w:rsidRDefault="001A0508" w:rsidP="000A546F">
      <w:pPr>
        <w:rPr>
          <w:lang w:val="en"/>
        </w:rPr>
        <w:sectPr w:rsidR="001A0508" w:rsidRPr="0038123A" w:rsidSect="005923A9">
          <w:type w:val="continuous"/>
          <w:pgSz w:w="12240" w:h="15840" w:code="1"/>
          <w:pgMar w:top="1440" w:right="1440" w:bottom="1440" w:left="1440" w:header="576" w:footer="288" w:gutter="0"/>
          <w:cols w:space="720"/>
          <w:titlePg/>
          <w:docGrid w:linePitch="360"/>
        </w:sectPr>
      </w:pPr>
    </w:p>
    <w:tbl>
      <w:tblPr>
        <w:tblStyle w:val="LightList-Accent1"/>
        <w:tblpPr w:leftFromText="180" w:rightFromText="180" w:vertAnchor="text" w:horzAnchor="margin" w:tblpY="34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190"/>
        <w:gridCol w:w="1198"/>
        <w:gridCol w:w="1260"/>
      </w:tblGrid>
      <w:tr w:rsidR="0038123A" w:rsidRPr="0038123A" w14:paraId="08E0C0A2" w14:textId="77777777" w:rsidTr="00363A2C">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190" w:type="dxa"/>
            <w:shd w:val="clear" w:color="auto" w:fill="00548C"/>
          </w:tcPr>
          <w:p w14:paraId="48A6833C" w14:textId="77777777" w:rsidR="0038123A" w:rsidRPr="0038123A" w:rsidRDefault="0038123A" w:rsidP="000A546F">
            <w:pPr>
              <w:rPr>
                <w:bCs w:val="0"/>
                <w:color w:val="FFFFFF"/>
              </w:rPr>
            </w:pPr>
            <w:bookmarkStart w:id="1" w:name="Revision_Log"/>
            <w:r w:rsidRPr="0038123A">
              <w:rPr>
                <w:bCs w:val="0"/>
                <w:color w:val="FFFFFF"/>
              </w:rPr>
              <w:t>Revi</w:t>
            </w:r>
            <w:bookmarkEnd w:id="1"/>
            <w:r w:rsidRPr="0038123A">
              <w:rPr>
                <w:bCs w:val="0"/>
                <w:color w:val="FFFFFF"/>
              </w:rPr>
              <w:t>ews, Revisions, and Approvals</w:t>
            </w:r>
          </w:p>
        </w:tc>
        <w:tc>
          <w:tcPr>
            <w:tcW w:w="1198" w:type="dxa"/>
            <w:shd w:val="clear" w:color="auto" w:fill="00548C"/>
          </w:tcPr>
          <w:p w14:paraId="3705814B" w14:textId="2FC68FD0" w:rsidR="0038123A" w:rsidRPr="0038123A" w:rsidRDefault="00363A2C" w:rsidP="000A546F">
            <w:pPr>
              <w:jc w:val="center"/>
              <w:cnfStyle w:val="100000000000" w:firstRow="1" w:lastRow="0" w:firstColumn="0" w:lastColumn="0" w:oddVBand="0" w:evenVBand="0" w:oddHBand="0" w:evenHBand="0" w:firstRowFirstColumn="0" w:firstRowLastColumn="0" w:lastRowFirstColumn="0" w:lastRowLastColumn="0"/>
              <w:rPr>
                <w:bCs w:val="0"/>
                <w:color w:val="FFFFFF"/>
              </w:rPr>
            </w:pPr>
            <w:r>
              <w:rPr>
                <w:bCs w:val="0"/>
                <w:color w:val="FFFFFF"/>
              </w:rPr>
              <w:t xml:space="preserve">Revision </w:t>
            </w:r>
            <w:r w:rsidR="0038123A" w:rsidRPr="0038123A">
              <w:rPr>
                <w:bCs w:val="0"/>
                <w:color w:val="FFFFFF"/>
              </w:rPr>
              <w:t>Date</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00548C"/>
          </w:tcPr>
          <w:p w14:paraId="693DF4AF" w14:textId="77777777" w:rsidR="0038123A" w:rsidRPr="0038123A" w:rsidRDefault="0038123A" w:rsidP="000A546F">
            <w:pPr>
              <w:jc w:val="center"/>
              <w:rPr>
                <w:bCs w:val="0"/>
                <w:color w:val="FFFFFF"/>
              </w:rPr>
            </w:pPr>
            <w:r w:rsidRPr="0038123A">
              <w:rPr>
                <w:bCs w:val="0"/>
                <w:color w:val="FFFFFF"/>
              </w:rPr>
              <w:t>Approval Date</w:t>
            </w:r>
          </w:p>
        </w:tc>
      </w:tr>
      <w:tr w:rsidR="0038123A" w:rsidRPr="0038123A" w14:paraId="0B1D2CA0" w14:textId="77777777" w:rsidTr="00363A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auto"/>
            </w:tcBorders>
          </w:tcPr>
          <w:p w14:paraId="314ABF46" w14:textId="77777777" w:rsidR="0038123A" w:rsidRPr="0038123A" w:rsidRDefault="0038123A" w:rsidP="000A546F">
            <w:pPr>
              <w:keepNext/>
              <w:outlineLvl w:val="4"/>
              <w:rPr>
                <w:szCs w:val="20"/>
              </w:rPr>
            </w:pPr>
            <w:r w:rsidRPr="0038123A">
              <w:rPr>
                <w:szCs w:val="20"/>
              </w:rPr>
              <w:t>Policy developed and reviewed by Neonatologist</w:t>
            </w:r>
          </w:p>
        </w:tc>
        <w:tc>
          <w:tcPr>
            <w:tcW w:w="1198" w:type="dxa"/>
          </w:tcPr>
          <w:p w14:paraId="1B98B1A8" w14:textId="77777777" w:rsidR="0038123A" w:rsidRPr="0038123A" w:rsidRDefault="0038123A" w:rsidP="000A546F">
            <w:pPr>
              <w:keepNext/>
              <w:jc w:val="center"/>
              <w:outlineLvl w:val="4"/>
              <w:cnfStyle w:val="000000100000" w:firstRow="0" w:lastRow="0" w:firstColumn="0" w:lastColumn="0" w:oddVBand="0" w:evenVBand="0" w:oddHBand="1" w:evenHBand="0" w:firstRowFirstColumn="0" w:firstRowLastColumn="0" w:lastRowFirstColumn="0" w:lastRowLastColumn="0"/>
              <w:rPr>
                <w:szCs w:val="20"/>
              </w:rPr>
            </w:pPr>
            <w:r w:rsidRPr="0038123A">
              <w:rPr>
                <w:szCs w:val="20"/>
              </w:rPr>
              <w:t>04/13</w:t>
            </w:r>
          </w:p>
        </w:tc>
        <w:tc>
          <w:tcPr>
            <w:cnfStyle w:val="000010000000" w:firstRow="0" w:lastRow="0" w:firstColumn="0" w:lastColumn="0" w:oddVBand="1" w:evenVBand="0" w:oddHBand="0" w:evenHBand="0" w:firstRowFirstColumn="0" w:firstRowLastColumn="0" w:lastRowFirstColumn="0" w:lastRowLastColumn="0"/>
            <w:tcW w:w="1260" w:type="dxa"/>
            <w:tcBorders>
              <w:right w:val="single" w:sz="4" w:space="0" w:color="auto"/>
            </w:tcBorders>
          </w:tcPr>
          <w:p w14:paraId="4BE4299C" w14:textId="77777777" w:rsidR="0038123A" w:rsidRPr="0038123A" w:rsidRDefault="0038123A" w:rsidP="000A546F">
            <w:pPr>
              <w:jc w:val="center"/>
            </w:pPr>
            <w:r w:rsidRPr="0038123A">
              <w:t>06/13</w:t>
            </w:r>
          </w:p>
        </w:tc>
      </w:tr>
      <w:tr w:rsidR="00E353C8" w:rsidRPr="0038123A" w14:paraId="4DB2FEF8" w14:textId="77777777" w:rsidTr="003515A7">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auto"/>
            </w:tcBorders>
          </w:tcPr>
          <w:p w14:paraId="122247B2" w14:textId="452C67B1" w:rsidR="00E353C8" w:rsidRDefault="009F4BFB" w:rsidP="00676AD2">
            <w:pPr>
              <w:keepNext/>
              <w:outlineLvl w:val="4"/>
              <w:rPr>
                <w:szCs w:val="20"/>
              </w:rPr>
            </w:pPr>
            <w:r>
              <w:rPr>
                <w:szCs w:val="20"/>
              </w:rPr>
              <w:t xml:space="preserve">Added I.A.3 regarding weight lost in </w:t>
            </w:r>
            <w:r w:rsidR="00933EF5">
              <w:rPr>
                <w:szCs w:val="20"/>
              </w:rPr>
              <w:t>preterm</w:t>
            </w:r>
            <w:r>
              <w:rPr>
                <w:szCs w:val="20"/>
              </w:rPr>
              <w:t xml:space="preserve"> infants </w:t>
            </w:r>
            <w:r w:rsidR="00F9265F">
              <w:rPr>
                <w:szCs w:val="20"/>
              </w:rPr>
              <w:t>l</w:t>
            </w:r>
            <w:r w:rsidR="00DE2177">
              <w:rPr>
                <w:szCs w:val="20"/>
              </w:rPr>
              <w:t xml:space="preserve">ess than a week old. </w:t>
            </w:r>
            <w:r>
              <w:rPr>
                <w:szCs w:val="20"/>
              </w:rPr>
              <w:t xml:space="preserve">Added a note regarding gastrostomy tube placement recovery/education to </w:t>
            </w:r>
            <w:proofErr w:type="gramStart"/>
            <w:r>
              <w:rPr>
                <w:szCs w:val="20"/>
              </w:rPr>
              <w:t>I.B.2.d.ii.</w:t>
            </w:r>
            <w:proofErr w:type="gramEnd"/>
            <w:r>
              <w:rPr>
                <w:szCs w:val="20"/>
              </w:rPr>
              <w:t xml:space="preserve">  Updated II.A with temperature range and in note changed 1600 grams to1800 grams. Added “Chronic Lung Disease/” to </w:t>
            </w:r>
            <w:r w:rsidR="008F4BA3">
              <w:rPr>
                <w:szCs w:val="20"/>
              </w:rPr>
              <w:t xml:space="preserve">“Bronchopulmonary dysplasia” for condition in III.B.3.a. Added note under III.B.3.b.i explaining stability on home ventilator in hospital prior to discharge. Removed V.A and B, updating the “free of infection” criteria statement. </w:t>
            </w:r>
            <w:r w:rsidR="00DE2177">
              <w:rPr>
                <w:szCs w:val="20"/>
              </w:rPr>
              <w:t>Added new section VI regarding caregiver competency.</w:t>
            </w:r>
            <w:r w:rsidR="005F23CC">
              <w:rPr>
                <w:szCs w:val="20"/>
              </w:rPr>
              <w:t xml:space="preserve"> </w:t>
            </w:r>
            <w:r w:rsidR="00F9265F">
              <w:rPr>
                <w:szCs w:val="20"/>
              </w:rPr>
              <w:t>In section VII: c</w:t>
            </w:r>
            <w:r w:rsidR="00397FB3">
              <w:rPr>
                <w:szCs w:val="20"/>
              </w:rPr>
              <w:t xml:space="preserve">larified in A “should be approved for </w:t>
            </w:r>
            <w:r w:rsidR="00397FB3" w:rsidRPr="00D70522">
              <w:rPr>
                <w:szCs w:val="20"/>
              </w:rPr>
              <w:t>any of</w:t>
            </w:r>
            <w:r w:rsidR="00397FB3">
              <w:rPr>
                <w:szCs w:val="20"/>
              </w:rPr>
              <w:t>….</w:t>
            </w:r>
            <w:r w:rsidR="00F9265F">
              <w:rPr>
                <w:szCs w:val="20"/>
              </w:rPr>
              <w:t xml:space="preserve">”; added A.5 regarding caffeine for apnea; added </w:t>
            </w:r>
            <w:r w:rsidR="00133790">
              <w:rPr>
                <w:szCs w:val="20"/>
              </w:rPr>
              <w:t xml:space="preserve">B </w:t>
            </w:r>
            <w:r w:rsidR="00F9265F">
              <w:rPr>
                <w:szCs w:val="20"/>
              </w:rPr>
              <w:t>regarding</w:t>
            </w:r>
            <w:r w:rsidR="00133790">
              <w:rPr>
                <w:szCs w:val="20"/>
              </w:rPr>
              <w:t xml:space="preserve"> parent/caregiver refusal to sign</w:t>
            </w:r>
            <w:r w:rsidR="00F9265F">
              <w:rPr>
                <w:szCs w:val="20"/>
              </w:rPr>
              <w:t>; a</w:t>
            </w:r>
            <w:r w:rsidR="00133790">
              <w:rPr>
                <w:szCs w:val="20"/>
              </w:rPr>
              <w:t>dded C.1 and 2 regarding nondenial of care</w:t>
            </w:r>
            <w:r w:rsidR="00F9265F">
              <w:rPr>
                <w:szCs w:val="20"/>
              </w:rPr>
              <w:t>; u</w:t>
            </w:r>
            <w:r w:rsidR="00B46946">
              <w:rPr>
                <w:szCs w:val="20"/>
              </w:rPr>
              <w:t xml:space="preserve">pdated the note under </w:t>
            </w:r>
            <w:r w:rsidR="00F9265F">
              <w:rPr>
                <w:szCs w:val="20"/>
              </w:rPr>
              <w:t xml:space="preserve">describing </w:t>
            </w:r>
            <w:r w:rsidR="00B46946">
              <w:rPr>
                <w:szCs w:val="20"/>
              </w:rPr>
              <w:t xml:space="preserve">rooming-in. </w:t>
            </w:r>
            <w:r w:rsidR="00F9265F">
              <w:rPr>
                <w:szCs w:val="20"/>
              </w:rPr>
              <w:t xml:space="preserve">In Discharge Recommended Practices: </w:t>
            </w:r>
            <w:r w:rsidR="00B46946">
              <w:rPr>
                <w:szCs w:val="20"/>
              </w:rPr>
              <w:t xml:space="preserve">Added “immunoglobulin” to </w:t>
            </w:r>
            <w:proofErr w:type="gramStart"/>
            <w:r w:rsidR="00B46946">
              <w:rPr>
                <w:szCs w:val="20"/>
              </w:rPr>
              <w:t xml:space="preserve">C.2 </w:t>
            </w:r>
            <w:r w:rsidR="00F9265F">
              <w:rPr>
                <w:szCs w:val="20"/>
              </w:rPr>
              <w:t>;u</w:t>
            </w:r>
            <w:r w:rsidR="00B46946">
              <w:rPr>
                <w:szCs w:val="20"/>
              </w:rPr>
              <w:t>pdated</w:t>
            </w:r>
            <w:proofErr w:type="gramEnd"/>
            <w:r w:rsidR="00B46946">
              <w:rPr>
                <w:szCs w:val="20"/>
              </w:rPr>
              <w:t xml:space="preserve"> C.3 with influenza injection</w:t>
            </w:r>
            <w:r w:rsidR="00F9265F">
              <w:rPr>
                <w:szCs w:val="20"/>
              </w:rPr>
              <w:t>; a</w:t>
            </w:r>
            <w:r w:rsidR="00B46946">
              <w:rPr>
                <w:szCs w:val="20"/>
              </w:rPr>
              <w:t>dded “hospital developed education program” under D</w:t>
            </w:r>
            <w:r w:rsidR="00F9265F">
              <w:rPr>
                <w:szCs w:val="20"/>
              </w:rPr>
              <w:t>; a</w:t>
            </w:r>
            <w:r w:rsidR="00172C6C">
              <w:rPr>
                <w:szCs w:val="20"/>
              </w:rPr>
              <w:t>dded E.1</w:t>
            </w:r>
            <w:r w:rsidR="00BD703A">
              <w:rPr>
                <w:szCs w:val="20"/>
              </w:rPr>
              <w:t xml:space="preserve"> through </w:t>
            </w:r>
            <w:r w:rsidR="00172C6C">
              <w:rPr>
                <w:szCs w:val="20"/>
              </w:rPr>
              <w:t>4 regarding car seats.</w:t>
            </w:r>
            <w:r w:rsidR="00F9265F">
              <w:rPr>
                <w:szCs w:val="20"/>
              </w:rPr>
              <w:t xml:space="preserve"> Replaced all instances of “members” with “members/enrollees</w:t>
            </w:r>
            <w:r w:rsidR="00676AD2">
              <w:rPr>
                <w:szCs w:val="20"/>
              </w:rPr>
              <w:t>.</w:t>
            </w:r>
            <w:r w:rsidR="00F9265F">
              <w:rPr>
                <w:szCs w:val="20"/>
              </w:rPr>
              <w:t xml:space="preserve">” </w:t>
            </w:r>
            <w:r w:rsidR="00397FB3">
              <w:rPr>
                <w:szCs w:val="20"/>
              </w:rPr>
              <w:t xml:space="preserve"> References reviewed and </w:t>
            </w:r>
            <w:r w:rsidR="00397FB3">
              <w:rPr>
                <w:szCs w:val="20"/>
              </w:rPr>
              <w:lastRenderedPageBreak/>
              <w:t>updated</w:t>
            </w:r>
            <w:r w:rsidR="00F9265F">
              <w:rPr>
                <w:szCs w:val="20"/>
              </w:rPr>
              <w:t xml:space="preserve"> to AMA format.</w:t>
            </w:r>
            <w:r w:rsidR="00397FB3">
              <w:rPr>
                <w:szCs w:val="20"/>
              </w:rPr>
              <w:t xml:space="preserve"> </w:t>
            </w:r>
            <w:r w:rsidR="00DE2177">
              <w:rPr>
                <w:szCs w:val="20"/>
              </w:rPr>
              <w:t>Reviewed by neonatologist.</w:t>
            </w:r>
            <w:r w:rsidR="00363A2C">
              <w:rPr>
                <w:szCs w:val="20"/>
              </w:rPr>
              <w:t xml:space="preserve"> </w:t>
            </w:r>
            <w:r w:rsidR="00363A2C">
              <w:t xml:space="preserve"> </w:t>
            </w:r>
            <w:r w:rsidR="00363A2C" w:rsidRPr="00363A2C">
              <w:rPr>
                <w:szCs w:val="20"/>
              </w:rPr>
              <w:t>Changed “review date” in the header to “date of last revision” and “date” in the revision log header to “revision date.”</w:t>
            </w:r>
          </w:p>
        </w:tc>
        <w:tc>
          <w:tcPr>
            <w:tcW w:w="1198" w:type="dxa"/>
          </w:tcPr>
          <w:p w14:paraId="48252D50" w14:textId="046768A0" w:rsidR="00E353C8" w:rsidRDefault="00E353C8" w:rsidP="0038123A">
            <w:pPr>
              <w:keepNext/>
              <w:jc w:val="center"/>
              <w:outlineLvl w:val="4"/>
              <w:cnfStyle w:val="000000000000" w:firstRow="0" w:lastRow="0" w:firstColumn="0" w:lastColumn="0" w:oddVBand="0" w:evenVBand="0" w:oddHBand="0" w:evenHBand="0" w:firstRowFirstColumn="0" w:firstRowLastColumn="0" w:lastRowFirstColumn="0" w:lastRowLastColumn="0"/>
              <w:rPr>
                <w:szCs w:val="20"/>
              </w:rPr>
            </w:pPr>
            <w:r>
              <w:rPr>
                <w:szCs w:val="20"/>
              </w:rPr>
              <w:lastRenderedPageBreak/>
              <w:t>06/21</w:t>
            </w:r>
          </w:p>
        </w:tc>
        <w:tc>
          <w:tcPr>
            <w:cnfStyle w:val="000010000000" w:firstRow="0" w:lastRow="0" w:firstColumn="0" w:lastColumn="0" w:oddVBand="1" w:evenVBand="0" w:oddHBand="0" w:evenHBand="0" w:firstRowFirstColumn="0" w:firstRowLastColumn="0" w:lastRowFirstColumn="0" w:lastRowLastColumn="0"/>
            <w:tcW w:w="1260" w:type="dxa"/>
            <w:tcBorders>
              <w:right w:val="single" w:sz="4" w:space="0" w:color="auto"/>
            </w:tcBorders>
          </w:tcPr>
          <w:p w14:paraId="55483200" w14:textId="42B277AD" w:rsidR="00E353C8" w:rsidRDefault="00D6002E" w:rsidP="0038123A">
            <w:pPr>
              <w:jc w:val="center"/>
            </w:pPr>
            <w:r>
              <w:t>06/21</w:t>
            </w:r>
          </w:p>
        </w:tc>
      </w:tr>
      <w:tr w:rsidR="000C672E" w:rsidRPr="0038123A" w14:paraId="1820D6FA" w14:textId="77777777" w:rsidTr="003515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auto"/>
            </w:tcBorders>
          </w:tcPr>
          <w:p w14:paraId="0692F076" w14:textId="443DECDB" w:rsidR="000C672E" w:rsidRDefault="000C672E" w:rsidP="00676AD2">
            <w:pPr>
              <w:keepNext/>
              <w:outlineLvl w:val="4"/>
              <w:rPr>
                <w:szCs w:val="20"/>
              </w:rPr>
            </w:pPr>
            <w:r>
              <w:rPr>
                <w:szCs w:val="20"/>
              </w:rPr>
              <w:t xml:space="preserve">Annual Review. Description updated with no impact on criteria. </w:t>
            </w:r>
            <w:r w:rsidR="00E96FD5" w:rsidRPr="00E96FD5">
              <w:rPr>
                <w:szCs w:val="20"/>
              </w:rPr>
              <w:t>Criteria II</w:t>
            </w:r>
            <w:r w:rsidR="00FB52AA">
              <w:rPr>
                <w:szCs w:val="20"/>
              </w:rPr>
              <w:t>.</w:t>
            </w:r>
            <w:r w:rsidR="00E96FD5" w:rsidRPr="00E96FD5">
              <w:rPr>
                <w:szCs w:val="20"/>
              </w:rPr>
              <w:t>A</w:t>
            </w:r>
            <w:r w:rsidR="00FB52AA">
              <w:rPr>
                <w:szCs w:val="20"/>
              </w:rPr>
              <w:t>.</w:t>
            </w:r>
            <w:r w:rsidR="00E96FD5" w:rsidRPr="00E96FD5">
              <w:rPr>
                <w:szCs w:val="20"/>
              </w:rPr>
              <w:t xml:space="preserve"> updated to include normal axillary and rectal temperature ranges and to include range for normal ambient environment temperature.</w:t>
            </w:r>
            <w:r w:rsidR="009D1F7E">
              <w:t xml:space="preserve"> </w:t>
            </w:r>
            <w:r w:rsidR="009D1F7E" w:rsidRPr="009D1F7E">
              <w:rPr>
                <w:szCs w:val="20"/>
              </w:rPr>
              <w:t>References reviewed and updated.</w:t>
            </w:r>
          </w:p>
        </w:tc>
        <w:tc>
          <w:tcPr>
            <w:tcW w:w="1198" w:type="dxa"/>
          </w:tcPr>
          <w:p w14:paraId="4E1FA0BB" w14:textId="2AD18853" w:rsidR="000C672E" w:rsidRDefault="000C672E" w:rsidP="0038123A">
            <w:pPr>
              <w:keepNext/>
              <w:jc w:val="center"/>
              <w:outlineLvl w:val="4"/>
              <w:cnfStyle w:val="000000100000" w:firstRow="0" w:lastRow="0" w:firstColumn="0" w:lastColumn="0" w:oddVBand="0" w:evenVBand="0" w:oddHBand="1" w:evenHBand="0" w:firstRowFirstColumn="0" w:firstRowLastColumn="0" w:lastRowFirstColumn="0" w:lastRowLastColumn="0"/>
              <w:rPr>
                <w:szCs w:val="20"/>
              </w:rPr>
            </w:pPr>
            <w:r>
              <w:rPr>
                <w:szCs w:val="20"/>
              </w:rPr>
              <w:t>06/22</w:t>
            </w:r>
          </w:p>
        </w:tc>
        <w:tc>
          <w:tcPr>
            <w:cnfStyle w:val="000010000000" w:firstRow="0" w:lastRow="0" w:firstColumn="0" w:lastColumn="0" w:oddVBand="1" w:evenVBand="0" w:oddHBand="0" w:evenHBand="0" w:firstRowFirstColumn="0" w:firstRowLastColumn="0" w:lastRowFirstColumn="0" w:lastRowLastColumn="0"/>
            <w:tcW w:w="1260" w:type="dxa"/>
            <w:tcBorders>
              <w:right w:val="single" w:sz="4" w:space="0" w:color="auto"/>
            </w:tcBorders>
          </w:tcPr>
          <w:p w14:paraId="2E65F2D0" w14:textId="3B15F26F" w:rsidR="000C672E" w:rsidRDefault="00313E20" w:rsidP="0038123A">
            <w:pPr>
              <w:jc w:val="center"/>
            </w:pPr>
            <w:r>
              <w:t>06/22</w:t>
            </w:r>
          </w:p>
        </w:tc>
      </w:tr>
      <w:tr w:rsidR="00FF1E01" w:rsidRPr="0038123A" w14:paraId="718F6DCA" w14:textId="77777777" w:rsidTr="003515A7">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auto"/>
            </w:tcBorders>
          </w:tcPr>
          <w:p w14:paraId="2573AE90" w14:textId="673667F4" w:rsidR="00FF1E01" w:rsidRDefault="00FF68E1" w:rsidP="00676AD2">
            <w:pPr>
              <w:keepNext/>
              <w:outlineLvl w:val="4"/>
              <w:rPr>
                <w:szCs w:val="20"/>
              </w:rPr>
            </w:pPr>
            <w:r>
              <w:rPr>
                <w:szCs w:val="20"/>
              </w:rPr>
              <w:t xml:space="preserve">Annual </w:t>
            </w:r>
            <w:r w:rsidR="00903CB0">
              <w:rPr>
                <w:szCs w:val="20"/>
              </w:rPr>
              <w:t xml:space="preserve">review. </w:t>
            </w:r>
            <w:r w:rsidR="006957B7">
              <w:rPr>
                <w:szCs w:val="20"/>
              </w:rPr>
              <w:t xml:space="preserve">Updated the note in section II. from "1800 grams” to “1600 to 1800 grams.” </w:t>
            </w:r>
            <w:r w:rsidR="00903CB0">
              <w:rPr>
                <w:szCs w:val="20"/>
              </w:rPr>
              <w:t>References reviewed and updated.</w:t>
            </w:r>
            <w:r w:rsidR="003F452B">
              <w:rPr>
                <w:szCs w:val="20"/>
              </w:rPr>
              <w:t xml:space="preserve"> Reviewed by external specialist.</w:t>
            </w:r>
          </w:p>
        </w:tc>
        <w:tc>
          <w:tcPr>
            <w:tcW w:w="1198" w:type="dxa"/>
          </w:tcPr>
          <w:p w14:paraId="61FC867A" w14:textId="4D164903" w:rsidR="00FF1E01" w:rsidRDefault="00734948" w:rsidP="0038123A">
            <w:pPr>
              <w:keepNext/>
              <w:jc w:val="center"/>
              <w:outlineLvl w:val="4"/>
              <w:cnfStyle w:val="000000000000" w:firstRow="0" w:lastRow="0" w:firstColumn="0" w:lastColumn="0" w:oddVBand="0" w:evenVBand="0" w:oddHBand="0" w:evenHBand="0" w:firstRowFirstColumn="0" w:firstRowLastColumn="0" w:lastRowFirstColumn="0" w:lastRowLastColumn="0"/>
              <w:rPr>
                <w:szCs w:val="20"/>
              </w:rPr>
            </w:pPr>
            <w:r>
              <w:rPr>
                <w:szCs w:val="20"/>
              </w:rPr>
              <w:t>02/23</w:t>
            </w:r>
          </w:p>
        </w:tc>
        <w:tc>
          <w:tcPr>
            <w:cnfStyle w:val="000010000000" w:firstRow="0" w:lastRow="0" w:firstColumn="0" w:lastColumn="0" w:oddVBand="1" w:evenVBand="0" w:oddHBand="0" w:evenHBand="0" w:firstRowFirstColumn="0" w:firstRowLastColumn="0" w:lastRowFirstColumn="0" w:lastRowLastColumn="0"/>
            <w:tcW w:w="1260" w:type="dxa"/>
            <w:tcBorders>
              <w:right w:val="single" w:sz="4" w:space="0" w:color="auto"/>
            </w:tcBorders>
          </w:tcPr>
          <w:p w14:paraId="2FBFF10E" w14:textId="182670A7" w:rsidR="00FF1E01" w:rsidRDefault="00D36CBA" w:rsidP="0038123A">
            <w:pPr>
              <w:jc w:val="center"/>
            </w:pPr>
            <w:r>
              <w:t>02/23</w:t>
            </w:r>
          </w:p>
        </w:tc>
      </w:tr>
      <w:tr w:rsidR="00AC0019" w:rsidRPr="0038123A" w14:paraId="7A28457C" w14:textId="77777777" w:rsidTr="002C20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auto"/>
              <w:bottom w:val="none" w:sz="0" w:space="0" w:color="auto"/>
            </w:tcBorders>
          </w:tcPr>
          <w:p w14:paraId="465B168B" w14:textId="2E3917C5" w:rsidR="00AC0019" w:rsidRDefault="00AC0019" w:rsidP="00676AD2">
            <w:pPr>
              <w:keepNext/>
              <w:outlineLvl w:val="4"/>
              <w:rPr>
                <w:szCs w:val="20"/>
              </w:rPr>
            </w:pPr>
            <w:r>
              <w:rPr>
                <w:szCs w:val="20"/>
              </w:rPr>
              <w:t xml:space="preserve">Annual review. </w:t>
            </w:r>
            <w:r w:rsidR="00C0211E">
              <w:rPr>
                <w:szCs w:val="20"/>
              </w:rPr>
              <w:t>References reviewed and updated</w:t>
            </w:r>
            <w:r w:rsidR="003515A7">
              <w:rPr>
                <w:szCs w:val="20"/>
              </w:rPr>
              <w:t>.</w:t>
            </w:r>
          </w:p>
        </w:tc>
        <w:tc>
          <w:tcPr>
            <w:tcW w:w="1198" w:type="dxa"/>
            <w:tcBorders>
              <w:bottom w:val="none" w:sz="0" w:space="0" w:color="auto"/>
            </w:tcBorders>
          </w:tcPr>
          <w:p w14:paraId="2F7CA1FF" w14:textId="2041E26E" w:rsidR="00AC0019" w:rsidRDefault="00C719E5" w:rsidP="0038123A">
            <w:pPr>
              <w:keepNext/>
              <w:jc w:val="center"/>
              <w:outlineLvl w:val="4"/>
              <w:cnfStyle w:val="000000100000" w:firstRow="0" w:lastRow="0" w:firstColumn="0" w:lastColumn="0" w:oddVBand="0" w:evenVBand="0" w:oddHBand="1" w:evenHBand="0" w:firstRowFirstColumn="0" w:firstRowLastColumn="0" w:lastRowFirstColumn="0" w:lastRowLastColumn="0"/>
              <w:rPr>
                <w:szCs w:val="20"/>
              </w:rPr>
            </w:pPr>
            <w:r>
              <w:rPr>
                <w:szCs w:val="20"/>
              </w:rPr>
              <w:t>01/24</w:t>
            </w:r>
          </w:p>
        </w:tc>
        <w:tc>
          <w:tcPr>
            <w:cnfStyle w:val="000010000000" w:firstRow="0" w:lastRow="0" w:firstColumn="0" w:lastColumn="0" w:oddVBand="1" w:evenVBand="0" w:oddHBand="0" w:evenHBand="0" w:firstRowFirstColumn="0" w:firstRowLastColumn="0" w:lastRowFirstColumn="0" w:lastRowLastColumn="0"/>
            <w:tcW w:w="1260" w:type="dxa"/>
            <w:tcBorders>
              <w:bottom w:val="none" w:sz="0" w:space="0" w:color="auto"/>
              <w:right w:val="single" w:sz="4" w:space="0" w:color="auto"/>
            </w:tcBorders>
          </w:tcPr>
          <w:p w14:paraId="5B5F82C2" w14:textId="5ECEAE3E" w:rsidR="00AC0019" w:rsidRDefault="008B3CC1" w:rsidP="0038123A">
            <w:pPr>
              <w:jc w:val="center"/>
            </w:pPr>
            <w:r>
              <w:t>01/24</w:t>
            </w:r>
          </w:p>
        </w:tc>
      </w:tr>
      <w:tr w:rsidR="00787531" w:rsidRPr="0038123A" w14:paraId="56FB36B5" w14:textId="77777777" w:rsidTr="002C20FD">
        <w:tc>
          <w:tcPr>
            <w:cnfStyle w:val="000010000000" w:firstRow="0" w:lastRow="0" w:firstColumn="0" w:lastColumn="0" w:oddVBand="1" w:evenVBand="0" w:oddHBand="0" w:evenHBand="0" w:firstRowFirstColumn="0" w:firstRowLastColumn="0" w:lastRowFirstColumn="0" w:lastRowLastColumn="0"/>
            <w:tcW w:w="0" w:type="dxa"/>
            <w:tcBorders>
              <w:left w:val="single" w:sz="4" w:space="0" w:color="auto"/>
            </w:tcBorders>
          </w:tcPr>
          <w:p w14:paraId="4F9A50A6" w14:textId="20C18D68" w:rsidR="00787531" w:rsidRDefault="00B91EB1" w:rsidP="00676AD2">
            <w:pPr>
              <w:keepNext/>
              <w:outlineLvl w:val="4"/>
              <w:rPr>
                <w:szCs w:val="20"/>
              </w:rPr>
            </w:pPr>
            <w:r>
              <w:rPr>
                <w:szCs w:val="20"/>
              </w:rPr>
              <w:t>Annual review</w:t>
            </w:r>
            <w:r w:rsidR="00651BAA">
              <w:rPr>
                <w:szCs w:val="20"/>
              </w:rPr>
              <w:t xml:space="preserve">. </w:t>
            </w:r>
            <w:r w:rsidR="00651BAA" w:rsidRPr="00651BAA">
              <w:rPr>
                <w:szCs w:val="20"/>
              </w:rPr>
              <w:t xml:space="preserve">Updated Authorization protocol A.5. Apnea or bradycardia monitoring with last dose of caffeine </w:t>
            </w:r>
            <w:r w:rsidR="00D826D7">
              <w:rPr>
                <w:szCs w:val="20"/>
              </w:rPr>
              <w:t xml:space="preserve">at least </w:t>
            </w:r>
            <w:r w:rsidR="00651BAA" w:rsidRPr="00651BAA">
              <w:rPr>
                <w:szCs w:val="20"/>
              </w:rPr>
              <w:t>seven days prior to discharge. Updated NICU DC recommended practices B.4. An assessment of cardiorespiratory stability in a car seat or car bed is recommended prior to discharge for infants born at &lt; 37 weeks gestation or for infants with other risk factors for cardiorespiratory compromise (e.g. neuromuscular, orthopedic problems).</w:t>
            </w:r>
            <w:r w:rsidR="00D826D7">
              <w:rPr>
                <w:szCs w:val="20"/>
              </w:rPr>
              <w:t xml:space="preserve"> </w:t>
            </w:r>
            <w:r w:rsidR="00D826D7" w:rsidRPr="00D826D7">
              <w:rPr>
                <w:szCs w:val="20"/>
              </w:rPr>
              <w:t xml:space="preserve">Updated E.1. to reflect car bed recommendations. </w:t>
            </w:r>
            <w:r w:rsidR="00651BAA" w:rsidRPr="00651BAA">
              <w:rPr>
                <w:szCs w:val="20"/>
              </w:rPr>
              <w:t>Reference reviewed and updated. External specialist review.</w:t>
            </w:r>
          </w:p>
        </w:tc>
        <w:tc>
          <w:tcPr>
            <w:tcW w:w="0" w:type="dxa"/>
          </w:tcPr>
          <w:p w14:paraId="6E14D54E" w14:textId="2CFCE58E" w:rsidR="00787531" w:rsidRDefault="00437285" w:rsidP="0038123A">
            <w:pPr>
              <w:keepNext/>
              <w:jc w:val="center"/>
              <w:outlineLvl w:val="4"/>
              <w:cnfStyle w:val="000000000000" w:firstRow="0" w:lastRow="0" w:firstColumn="0" w:lastColumn="0" w:oddVBand="0" w:evenVBand="0" w:oddHBand="0" w:evenHBand="0" w:firstRowFirstColumn="0" w:firstRowLastColumn="0" w:lastRowFirstColumn="0" w:lastRowLastColumn="0"/>
              <w:rPr>
                <w:szCs w:val="20"/>
              </w:rPr>
            </w:pPr>
            <w:r>
              <w:rPr>
                <w:szCs w:val="20"/>
              </w:rPr>
              <w:t>01/25</w:t>
            </w:r>
          </w:p>
        </w:tc>
        <w:tc>
          <w:tcPr>
            <w:cnfStyle w:val="000010000000" w:firstRow="0" w:lastRow="0" w:firstColumn="0" w:lastColumn="0" w:oddVBand="1" w:evenVBand="0" w:oddHBand="0" w:evenHBand="0" w:firstRowFirstColumn="0" w:firstRowLastColumn="0" w:lastRowFirstColumn="0" w:lastRowLastColumn="0"/>
            <w:tcW w:w="0" w:type="dxa"/>
            <w:tcBorders>
              <w:right w:val="single" w:sz="4" w:space="0" w:color="auto"/>
            </w:tcBorders>
          </w:tcPr>
          <w:p w14:paraId="30480BD8" w14:textId="767772EA" w:rsidR="00787531" w:rsidRDefault="00994D6A" w:rsidP="0038123A">
            <w:pPr>
              <w:jc w:val="center"/>
            </w:pPr>
            <w:r>
              <w:t>01/25</w:t>
            </w:r>
          </w:p>
        </w:tc>
      </w:tr>
      <w:tr w:rsidR="00DE30CB" w:rsidRPr="0038123A" w14:paraId="3CD3752E" w14:textId="77777777" w:rsidTr="00363A2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190" w:type="dxa"/>
            <w:tcBorders>
              <w:left w:val="single" w:sz="4" w:space="0" w:color="auto"/>
              <w:bottom w:val="single" w:sz="4" w:space="0" w:color="auto"/>
            </w:tcBorders>
          </w:tcPr>
          <w:p w14:paraId="16981121" w14:textId="3A46A8DE" w:rsidR="00DE30CB" w:rsidRDefault="00DE30CB" w:rsidP="00676AD2">
            <w:pPr>
              <w:keepNext/>
              <w:outlineLvl w:val="4"/>
              <w:rPr>
                <w:szCs w:val="20"/>
              </w:rPr>
            </w:pPr>
            <w:r>
              <w:rPr>
                <w:szCs w:val="20"/>
              </w:rPr>
              <w:t>Annual review.</w:t>
            </w:r>
            <w:r w:rsidR="00F843C6">
              <w:t xml:space="preserve"> </w:t>
            </w:r>
            <w:r w:rsidR="00F843C6" w:rsidRPr="00F843C6">
              <w:rPr>
                <w:szCs w:val="20"/>
              </w:rPr>
              <w:t xml:space="preserve">Updated normal ambient temperature range in Criteria II.A. Updated titles of policies in notes under Criteria III. and Criteria IV. with no impact to criteria. </w:t>
            </w:r>
            <w:r w:rsidR="00B0270B">
              <w:rPr>
                <w:szCs w:val="20"/>
              </w:rPr>
              <w:t xml:space="preserve">References reviewed and updated. </w:t>
            </w:r>
          </w:p>
        </w:tc>
        <w:tc>
          <w:tcPr>
            <w:tcW w:w="1198" w:type="dxa"/>
            <w:tcBorders>
              <w:bottom w:val="single" w:sz="4" w:space="0" w:color="auto"/>
            </w:tcBorders>
          </w:tcPr>
          <w:p w14:paraId="62D5EDF6" w14:textId="7E4A7BBE" w:rsidR="00DE30CB" w:rsidRDefault="00F55AE5" w:rsidP="0038123A">
            <w:pPr>
              <w:keepNext/>
              <w:jc w:val="center"/>
              <w:outlineLvl w:val="4"/>
              <w:cnfStyle w:val="000000100000" w:firstRow="0" w:lastRow="0" w:firstColumn="0" w:lastColumn="0" w:oddVBand="0" w:evenVBand="0" w:oddHBand="1" w:evenHBand="0" w:firstRowFirstColumn="0" w:firstRowLastColumn="0" w:lastRowFirstColumn="0" w:lastRowLastColumn="0"/>
              <w:rPr>
                <w:szCs w:val="20"/>
              </w:rPr>
            </w:pPr>
            <w:r>
              <w:rPr>
                <w:szCs w:val="20"/>
              </w:rPr>
              <w:t>06/25</w:t>
            </w:r>
          </w:p>
        </w:tc>
        <w:tc>
          <w:tcPr>
            <w:cnfStyle w:val="000010000000" w:firstRow="0" w:lastRow="0" w:firstColumn="0" w:lastColumn="0" w:oddVBand="1" w:evenVBand="0" w:oddHBand="0" w:evenHBand="0" w:firstRowFirstColumn="0" w:firstRowLastColumn="0" w:lastRowFirstColumn="0" w:lastRowLastColumn="0"/>
            <w:tcW w:w="1260" w:type="dxa"/>
            <w:tcBorders>
              <w:bottom w:val="single" w:sz="4" w:space="0" w:color="auto"/>
              <w:right w:val="single" w:sz="4" w:space="0" w:color="auto"/>
            </w:tcBorders>
          </w:tcPr>
          <w:p w14:paraId="4416E171" w14:textId="73FC99C8" w:rsidR="00DE30CB" w:rsidRDefault="00A959D9" w:rsidP="0038123A">
            <w:pPr>
              <w:jc w:val="center"/>
            </w:pPr>
            <w:r>
              <w:t>06/25</w:t>
            </w:r>
          </w:p>
        </w:tc>
      </w:tr>
    </w:tbl>
    <w:p w14:paraId="32815CE8" w14:textId="77777777" w:rsidR="000A65DC" w:rsidRDefault="000A65DC" w:rsidP="000A65DC">
      <w:pPr>
        <w:pStyle w:val="Heading3"/>
        <w:sectPr w:rsidR="000A65DC" w:rsidSect="005923A9">
          <w:type w:val="continuous"/>
          <w:pgSz w:w="12240" w:h="15840" w:code="1"/>
          <w:pgMar w:top="1440" w:right="1440" w:bottom="1440" w:left="1440" w:header="576" w:footer="288" w:gutter="0"/>
          <w:cols w:space="720"/>
          <w:titlePg/>
          <w:docGrid w:linePitch="360"/>
        </w:sectPr>
      </w:pPr>
    </w:p>
    <w:p w14:paraId="4EB0E97B" w14:textId="6DCEF9DB" w:rsidR="00A124D8" w:rsidRPr="00D6002E" w:rsidRDefault="000A65DC" w:rsidP="00BD703A">
      <w:pPr>
        <w:pStyle w:val="Heading3"/>
        <w:ind w:left="-270"/>
        <w:rPr>
          <w:color w:val="595959"/>
        </w:rPr>
      </w:pPr>
      <w:r>
        <w:t xml:space="preserve">References </w:t>
      </w:r>
    </w:p>
    <w:p w14:paraId="79176FCE" w14:textId="026C2A85" w:rsidR="00B473BE" w:rsidRPr="00D00369" w:rsidRDefault="00B473BE" w:rsidP="00F9265F">
      <w:pPr>
        <w:pStyle w:val="NormalWeb"/>
        <w:numPr>
          <w:ilvl w:val="0"/>
          <w:numId w:val="1"/>
        </w:numPr>
        <w:spacing w:before="0" w:beforeAutospacing="0" w:after="0" w:afterAutospacing="0"/>
        <w:ind w:left="90"/>
        <w:rPr>
          <w:rFonts w:ascii="Times New Roman" w:hAnsi="Times New Roman" w:cs="Times New Roman"/>
        </w:rPr>
      </w:pPr>
      <w:bookmarkStart w:id="2" w:name="_Hlk126765045"/>
      <w:r w:rsidRPr="00D00369">
        <w:rPr>
          <w:rFonts w:ascii="Times New Roman" w:hAnsi="Times New Roman" w:cs="Times New Roman"/>
        </w:rPr>
        <w:t>American Academy of Pediatrics Committee on Fetus and Newborn. Hospital discharge of the high-risk neonate. </w:t>
      </w:r>
      <w:r w:rsidRPr="00D00369">
        <w:rPr>
          <w:rFonts w:ascii="Times New Roman" w:hAnsi="Times New Roman" w:cs="Times New Roman"/>
          <w:i/>
          <w:iCs/>
        </w:rPr>
        <w:t>Pediatrics</w:t>
      </w:r>
      <w:r w:rsidRPr="00D00369">
        <w:rPr>
          <w:rFonts w:ascii="Times New Roman" w:hAnsi="Times New Roman" w:cs="Times New Roman"/>
        </w:rPr>
        <w:t>. 2008;122(5):1119</w:t>
      </w:r>
      <w:r w:rsidR="00BD703A" w:rsidRPr="00D00369">
        <w:rPr>
          <w:rFonts w:ascii="Times New Roman" w:hAnsi="Times New Roman" w:cs="Times New Roman"/>
        </w:rPr>
        <w:t xml:space="preserve"> through </w:t>
      </w:r>
      <w:r w:rsidRPr="00D00369">
        <w:rPr>
          <w:rFonts w:ascii="Times New Roman" w:hAnsi="Times New Roman" w:cs="Times New Roman"/>
        </w:rPr>
        <w:t>1126. doi:10.1542/peds.2008</w:t>
      </w:r>
      <w:r w:rsidR="00FC2815" w:rsidRPr="00D00369">
        <w:rPr>
          <w:rFonts w:ascii="Times New Roman" w:hAnsi="Times New Roman" w:cs="Times New Roman"/>
        </w:rPr>
        <w:t>-</w:t>
      </w:r>
      <w:r w:rsidRPr="00D00369">
        <w:rPr>
          <w:rFonts w:ascii="Times New Roman" w:hAnsi="Times New Roman" w:cs="Times New Roman"/>
        </w:rPr>
        <w:t xml:space="preserve">2174  </w:t>
      </w:r>
    </w:p>
    <w:p w14:paraId="139B19D9" w14:textId="09C96C83" w:rsidR="00B35C16" w:rsidRPr="00D00369" w:rsidRDefault="008A580F" w:rsidP="00F9265F">
      <w:pPr>
        <w:pStyle w:val="NormalWeb"/>
        <w:numPr>
          <w:ilvl w:val="0"/>
          <w:numId w:val="1"/>
        </w:numPr>
        <w:spacing w:before="0" w:beforeAutospacing="0" w:after="0" w:afterAutospacing="0"/>
        <w:ind w:left="90"/>
        <w:rPr>
          <w:rFonts w:ascii="Times New Roman" w:hAnsi="Times New Roman" w:cs="Times New Roman"/>
          <w:color w:val="212121"/>
        </w:rPr>
      </w:pPr>
      <w:r w:rsidRPr="00D00369">
        <w:rPr>
          <w:rFonts w:ascii="Times New Roman" w:hAnsi="Times New Roman" w:cs="Times New Roman"/>
        </w:rPr>
        <w:t xml:space="preserve">American Academy of Pediatrics Committee on Infectious Diseases; American Academy of Pediatrics Bronchiolitis Guidelines Committee. Updated guidance for palivizumab prophylaxis among infants and young children at increased risk of hospitalization for respiratory syncytial virus infection [published correction appears in Pediatrics. 2014 Dec;134(6):1221]. </w:t>
      </w:r>
      <w:r w:rsidRPr="00D00369">
        <w:rPr>
          <w:rFonts w:ascii="Times New Roman" w:hAnsi="Times New Roman" w:cs="Times New Roman"/>
          <w:i/>
          <w:iCs/>
        </w:rPr>
        <w:t>Pediatrics</w:t>
      </w:r>
      <w:r w:rsidRPr="00D00369">
        <w:rPr>
          <w:rFonts w:ascii="Times New Roman" w:hAnsi="Times New Roman" w:cs="Times New Roman"/>
        </w:rPr>
        <w:t>. 2014;134(2):415</w:t>
      </w:r>
      <w:r w:rsidR="00BD703A" w:rsidRPr="00D00369">
        <w:rPr>
          <w:rFonts w:ascii="Times New Roman" w:hAnsi="Times New Roman" w:cs="Times New Roman"/>
        </w:rPr>
        <w:t xml:space="preserve"> through </w:t>
      </w:r>
      <w:r w:rsidRPr="00D00369">
        <w:rPr>
          <w:rFonts w:ascii="Times New Roman" w:hAnsi="Times New Roman" w:cs="Times New Roman"/>
        </w:rPr>
        <w:t>420. doi:10.1542/peds.2014-1665</w:t>
      </w:r>
    </w:p>
    <w:p w14:paraId="5E1D9650" w14:textId="052AF763" w:rsidR="00B35C16" w:rsidRPr="00D00369" w:rsidRDefault="00B35C16" w:rsidP="00F9265F">
      <w:pPr>
        <w:pStyle w:val="NormalWeb"/>
        <w:numPr>
          <w:ilvl w:val="0"/>
          <w:numId w:val="1"/>
        </w:numPr>
        <w:spacing w:before="0" w:beforeAutospacing="0" w:after="0" w:afterAutospacing="0"/>
        <w:ind w:left="90"/>
        <w:rPr>
          <w:rFonts w:ascii="Times New Roman" w:eastAsia="Times New Roman" w:hAnsi="Times New Roman" w:cs="Times New Roman"/>
        </w:rPr>
      </w:pPr>
      <w:r w:rsidRPr="00D00369">
        <w:rPr>
          <w:rFonts w:ascii="Times New Roman" w:eastAsia="Times New Roman" w:hAnsi="Times New Roman" w:cs="Times New Roman"/>
        </w:rPr>
        <w:t xml:space="preserve">Schneiderman R, Kirkby S, Turenne W, Greenspan J. Incubator weaning in preterm infants and associated practice variation. </w:t>
      </w:r>
      <w:r w:rsidRPr="00D00369">
        <w:rPr>
          <w:rFonts w:ascii="Times New Roman" w:eastAsia="Times New Roman" w:hAnsi="Times New Roman" w:cs="Times New Roman"/>
          <w:i/>
          <w:iCs/>
        </w:rPr>
        <w:t xml:space="preserve">J </w:t>
      </w:r>
      <w:proofErr w:type="spellStart"/>
      <w:r w:rsidRPr="00D00369">
        <w:rPr>
          <w:rFonts w:ascii="Times New Roman" w:eastAsia="Times New Roman" w:hAnsi="Times New Roman" w:cs="Times New Roman"/>
          <w:i/>
          <w:iCs/>
        </w:rPr>
        <w:t>Perinatol</w:t>
      </w:r>
      <w:proofErr w:type="spellEnd"/>
      <w:r w:rsidRPr="00D00369">
        <w:rPr>
          <w:rFonts w:ascii="Times New Roman" w:eastAsia="Times New Roman" w:hAnsi="Times New Roman" w:cs="Times New Roman"/>
        </w:rPr>
        <w:t>. 2009;29(8):570</w:t>
      </w:r>
      <w:r w:rsidR="00BD703A" w:rsidRPr="00D00369">
        <w:rPr>
          <w:rFonts w:ascii="Times New Roman" w:eastAsia="Times New Roman" w:hAnsi="Times New Roman" w:cs="Times New Roman"/>
        </w:rPr>
        <w:t xml:space="preserve"> through </w:t>
      </w:r>
      <w:r w:rsidRPr="00D00369">
        <w:rPr>
          <w:rFonts w:ascii="Times New Roman" w:eastAsia="Times New Roman" w:hAnsi="Times New Roman" w:cs="Times New Roman"/>
        </w:rPr>
        <w:t>574. doi:10.1038/jp.2009.54</w:t>
      </w:r>
    </w:p>
    <w:p w14:paraId="766B66D5" w14:textId="4E6629D9" w:rsidR="000A65DC" w:rsidRPr="00D00369" w:rsidRDefault="00B35C16" w:rsidP="002D4584">
      <w:pPr>
        <w:pStyle w:val="NormalWeb"/>
        <w:numPr>
          <w:ilvl w:val="0"/>
          <w:numId w:val="1"/>
        </w:numPr>
        <w:spacing w:before="0" w:beforeAutospacing="0" w:after="0" w:afterAutospacing="0"/>
        <w:ind w:left="90"/>
        <w:rPr>
          <w:rFonts w:ascii="Times New Roman" w:eastAsia="Times New Roman" w:hAnsi="Times New Roman" w:cs="Times New Roman"/>
        </w:rPr>
      </w:pPr>
      <w:r w:rsidRPr="00D00369">
        <w:rPr>
          <w:rFonts w:ascii="Times New Roman" w:eastAsia="Times New Roman" w:hAnsi="Times New Roman" w:cs="Times New Roman"/>
        </w:rPr>
        <w:t xml:space="preserve">Zecca E, Corsello M, Priolo F, Tiberi E, Barone G, Romagnoli C. Early weaning from incubator and early discharge of preterm infants: randomized clinical trial. </w:t>
      </w:r>
      <w:r w:rsidRPr="00D00369">
        <w:rPr>
          <w:rFonts w:ascii="Times New Roman" w:eastAsia="Times New Roman" w:hAnsi="Times New Roman" w:cs="Times New Roman"/>
          <w:i/>
          <w:iCs/>
        </w:rPr>
        <w:t>Pediatrics</w:t>
      </w:r>
      <w:r w:rsidRPr="00D00369">
        <w:rPr>
          <w:rFonts w:ascii="Times New Roman" w:eastAsia="Times New Roman" w:hAnsi="Times New Roman" w:cs="Times New Roman"/>
        </w:rPr>
        <w:t>. 2010;126(3</w:t>
      </w:r>
      <w:proofErr w:type="gramStart"/>
      <w:r w:rsidRPr="00D00369">
        <w:rPr>
          <w:rFonts w:ascii="Times New Roman" w:eastAsia="Times New Roman" w:hAnsi="Times New Roman" w:cs="Times New Roman"/>
        </w:rPr>
        <w:t>):e</w:t>
      </w:r>
      <w:proofErr w:type="gramEnd"/>
      <w:r w:rsidRPr="00D00369">
        <w:rPr>
          <w:rFonts w:ascii="Times New Roman" w:eastAsia="Times New Roman" w:hAnsi="Times New Roman" w:cs="Times New Roman"/>
        </w:rPr>
        <w:t>651</w:t>
      </w:r>
      <w:r w:rsidR="008735B9" w:rsidRPr="00D00369">
        <w:rPr>
          <w:rFonts w:ascii="Times New Roman" w:eastAsia="Times New Roman" w:hAnsi="Times New Roman" w:cs="Times New Roman"/>
        </w:rPr>
        <w:t xml:space="preserve"> through </w:t>
      </w:r>
      <w:r w:rsidRPr="00D00369">
        <w:rPr>
          <w:rFonts w:ascii="Times New Roman" w:eastAsia="Times New Roman" w:hAnsi="Times New Roman" w:cs="Times New Roman"/>
        </w:rPr>
        <w:t>e656. doi:10.1542/peds.2009</w:t>
      </w:r>
      <w:r w:rsidR="00C04A9A" w:rsidRPr="00D00369">
        <w:rPr>
          <w:rFonts w:ascii="Times New Roman" w:eastAsia="Times New Roman" w:hAnsi="Times New Roman" w:cs="Times New Roman"/>
        </w:rPr>
        <w:t>-</w:t>
      </w:r>
      <w:r w:rsidRPr="00D00369">
        <w:rPr>
          <w:rFonts w:ascii="Times New Roman" w:eastAsia="Times New Roman" w:hAnsi="Times New Roman" w:cs="Times New Roman"/>
        </w:rPr>
        <w:t>300</w:t>
      </w:r>
      <w:r w:rsidR="006D19A6" w:rsidRPr="00D00369">
        <w:rPr>
          <w:rFonts w:ascii="Times New Roman" w:eastAsia="Times New Roman" w:hAnsi="Times New Roman" w:cs="Times New Roman"/>
        </w:rPr>
        <w:t>5</w:t>
      </w:r>
    </w:p>
    <w:p w14:paraId="79D815D3" w14:textId="281CD2C2" w:rsidR="00EA7046" w:rsidRPr="00D00369" w:rsidRDefault="00EA7046" w:rsidP="00FB52AA">
      <w:pPr>
        <w:pStyle w:val="NormalWeb"/>
        <w:numPr>
          <w:ilvl w:val="0"/>
          <w:numId w:val="1"/>
        </w:numPr>
        <w:spacing w:before="0" w:beforeAutospacing="0" w:after="0" w:afterAutospacing="0"/>
        <w:ind w:left="90"/>
        <w:rPr>
          <w:rFonts w:ascii="Times New Roman" w:eastAsia="Times New Roman" w:hAnsi="Times New Roman" w:cs="Times New Roman"/>
        </w:rPr>
      </w:pPr>
      <w:r w:rsidRPr="00D00369">
        <w:rPr>
          <w:rFonts w:ascii="Times New Roman" w:eastAsia="Times New Roman" w:hAnsi="Times New Roman" w:cs="Times New Roman"/>
        </w:rPr>
        <w:t>Smith VC</w:t>
      </w:r>
      <w:r w:rsidR="009B4A67" w:rsidRPr="00D00369">
        <w:rPr>
          <w:rFonts w:ascii="Times New Roman" w:hAnsi="Times New Roman" w:cs="Times New Roman"/>
        </w:rPr>
        <w:t>,</w:t>
      </w:r>
      <w:r w:rsidRPr="00D00369">
        <w:rPr>
          <w:rFonts w:ascii="Times New Roman" w:eastAsia="Times New Roman" w:hAnsi="Times New Roman" w:cs="Times New Roman"/>
        </w:rPr>
        <w:t xml:space="preserve"> </w:t>
      </w:r>
      <w:r w:rsidRPr="00D00369">
        <w:rPr>
          <w:rFonts w:ascii="Times New Roman" w:hAnsi="Times New Roman" w:cs="Times New Roman"/>
        </w:rPr>
        <w:t>Stewart J. Discharge planning for high-risk newborns. UpToDate.</w:t>
      </w:r>
      <w:r w:rsidR="009B4A67" w:rsidRPr="00D00369">
        <w:rPr>
          <w:rFonts w:ascii="Times New Roman" w:eastAsia="Times New Roman" w:hAnsi="Times New Roman" w:cs="Times New Roman"/>
        </w:rPr>
        <w:t xml:space="preserve"> </w:t>
      </w:r>
      <w:hyperlink r:id="rId17" w:history="1">
        <w:r w:rsidR="009B4A67" w:rsidRPr="00D00369">
          <w:rPr>
            <w:rStyle w:val="Hyperlink"/>
            <w:rFonts w:ascii="Times New Roman" w:hAnsi="Times New Roman" w:cs="Times New Roman"/>
          </w:rPr>
          <w:t>www.uptodate.com</w:t>
        </w:r>
      </w:hyperlink>
      <w:r w:rsidR="009B4A67" w:rsidRPr="00D00369">
        <w:rPr>
          <w:rFonts w:ascii="Times New Roman" w:eastAsia="Times New Roman" w:hAnsi="Times New Roman" w:cs="Times New Roman"/>
        </w:rPr>
        <w:t xml:space="preserve">. Updated </w:t>
      </w:r>
      <w:r w:rsidR="002B5587" w:rsidRPr="00D00369">
        <w:rPr>
          <w:rFonts w:ascii="Times New Roman" w:eastAsia="Times New Roman" w:hAnsi="Times New Roman" w:cs="Times New Roman"/>
        </w:rPr>
        <w:t>April</w:t>
      </w:r>
      <w:r w:rsidR="0095282A" w:rsidRPr="00D00369">
        <w:rPr>
          <w:rFonts w:ascii="Times New Roman" w:eastAsia="Times New Roman" w:hAnsi="Times New Roman" w:cs="Times New Roman"/>
        </w:rPr>
        <w:t xml:space="preserve"> 10,</w:t>
      </w:r>
      <w:r w:rsidR="009B4A67" w:rsidRPr="00D00369">
        <w:rPr>
          <w:rFonts w:ascii="Times New Roman" w:eastAsia="Times New Roman" w:hAnsi="Times New Roman" w:cs="Times New Roman"/>
        </w:rPr>
        <w:t xml:space="preserve"> 202</w:t>
      </w:r>
      <w:r w:rsidR="0095282A" w:rsidRPr="00D00369">
        <w:rPr>
          <w:rFonts w:ascii="Times New Roman" w:eastAsia="Times New Roman" w:hAnsi="Times New Roman" w:cs="Times New Roman"/>
        </w:rPr>
        <w:t>3</w:t>
      </w:r>
      <w:r w:rsidR="009B4A67" w:rsidRPr="00D00369">
        <w:rPr>
          <w:rFonts w:ascii="Times New Roman" w:eastAsia="Times New Roman" w:hAnsi="Times New Roman" w:cs="Times New Roman"/>
        </w:rPr>
        <w:t>. Accessed</w:t>
      </w:r>
      <w:r w:rsidR="00176469" w:rsidRPr="00D00369">
        <w:rPr>
          <w:rFonts w:ascii="Times New Roman" w:eastAsia="Times New Roman" w:hAnsi="Times New Roman" w:cs="Times New Roman"/>
        </w:rPr>
        <w:t xml:space="preserve"> </w:t>
      </w:r>
      <w:r w:rsidR="007C6F5E" w:rsidRPr="00D00369">
        <w:rPr>
          <w:rFonts w:ascii="Times New Roman" w:eastAsia="Times New Roman" w:hAnsi="Times New Roman" w:cs="Times New Roman"/>
        </w:rPr>
        <w:t>April 22, 2025</w:t>
      </w:r>
      <w:r w:rsidR="009B4A67" w:rsidRPr="00D00369">
        <w:rPr>
          <w:rFonts w:ascii="Times New Roman" w:eastAsia="Times New Roman" w:hAnsi="Times New Roman" w:cs="Times New Roman"/>
        </w:rPr>
        <w:t xml:space="preserve">. </w:t>
      </w:r>
      <w:r w:rsidRPr="00D00369">
        <w:rPr>
          <w:rFonts w:ascii="Times New Roman" w:eastAsia="Times New Roman" w:hAnsi="Times New Roman" w:cs="Times New Roman"/>
        </w:rPr>
        <w:t xml:space="preserve">  </w:t>
      </w:r>
    </w:p>
    <w:p w14:paraId="1B8F294C" w14:textId="012D3A86" w:rsidR="00B35C16" w:rsidRPr="00D00369" w:rsidRDefault="00B35C16" w:rsidP="00F9265F">
      <w:pPr>
        <w:pStyle w:val="NormalWeb"/>
        <w:numPr>
          <w:ilvl w:val="0"/>
          <w:numId w:val="1"/>
        </w:numPr>
        <w:spacing w:before="0" w:beforeAutospacing="0" w:after="0" w:afterAutospacing="0"/>
        <w:ind w:left="90"/>
        <w:rPr>
          <w:rFonts w:ascii="Times New Roman" w:hAnsi="Times New Roman" w:cs="Times New Roman"/>
          <w:color w:val="212121"/>
        </w:rPr>
      </w:pPr>
      <w:r w:rsidRPr="00D00369">
        <w:rPr>
          <w:rFonts w:ascii="Times New Roman" w:eastAsia="Times New Roman" w:hAnsi="Times New Roman" w:cs="Times New Roman"/>
        </w:rPr>
        <w:t xml:space="preserve">Benitz WE; Committee on Fetus and Newborn, American Academy of Pediatrics. </w:t>
      </w:r>
      <w:proofErr w:type="gramStart"/>
      <w:r w:rsidRPr="00D00369">
        <w:rPr>
          <w:rFonts w:ascii="Times New Roman" w:eastAsia="Times New Roman" w:hAnsi="Times New Roman" w:cs="Times New Roman"/>
        </w:rPr>
        <w:t>Hospital</w:t>
      </w:r>
      <w:proofErr w:type="gramEnd"/>
      <w:r w:rsidRPr="00D00369">
        <w:rPr>
          <w:rFonts w:ascii="Times New Roman" w:eastAsia="Times New Roman" w:hAnsi="Times New Roman" w:cs="Times New Roman"/>
        </w:rPr>
        <w:t xml:space="preserve"> </w:t>
      </w:r>
      <w:proofErr w:type="gramStart"/>
      <w:r w:rsidRPr="00D00369">
        <w:rPr>
          <w:rFonts w:ascii="Times New Roman" w:eastAsia="Times New Roman" w:hAnsi="Times New Roman" w:cs="Times New Roman"/>
        </w:rPr>
        <w:t>stay</w:t>
      </w:r>
      <w:proofErr w:type="gramEnd"/>
      <w:r w:rsidRPr="00D00369">
        <w:rPr>
          <w:rFonts w:ascii="Times New Roman" w:eastAsia="Times New Roman" w:hAnsi="Times New Roman" w:cs="Times New Roman"/>
        </w:rPr>
        <w:t xml:space="preserve"> for healthy term newborn infants. </w:t>
      </w:r>
      <w:r w:rsidRPr="00D00369">
        <w:rPr>
          <w:rFonts w:ascii="Times New Roman" w:eastAsia="Times New Roman" w:hAnsi="Times New Roman" w:cs="Times New Roman"/>
          <w:i/>
          <w:iCs/>
        </w:rPr>
        <w:t>Pediatrics.</w:t>
      </w:r>
      <w:r w:rsidRPr="00D00369">
        <w:rPr>
          <w:rFonts w:ascii="Times New Roman" w:eastAsia="Times New Roman" w:hAnsi="Times New Roman" w:cs="Times New Roman"/>
        </w:rPr>
        <w:t xml:space="preserve"> 2015;135(5):948</w:t>
      </w:r>
      <w:r w:rsidR="008735B9" w:rsidRPr="00D00369">
        <w:rPr>
          <w:rFonts w:ascii="Times New Roman" w:eastAsia="Times New Roman" w:hAnsi="Times New Roman" w:cs="Times New Roman"/>
        </w:rPr>
        <w:t xml:space="preserve"> through </w:t>
      </w:r>
      <w:r w:rsidRPr="00D00369">
        <w:rPr>
          <w:rFonts w:ascii="Times New Roman" w:eastAsia="Times New Roman" w:hAnsi="Times New Roman" w:cs="Times New Roman"/>
        </w:rPr>
        <w:t xml:space="preserve">953. doi:10.1542/peds.2015-0699  </w:t>
      </w:r>
    </w:p>
    <w:p w14:paraId="64A610D3" w14:textId="25657E55" w:rsidR="00B35C16" w:rsidRPr="00D00369" w:rsidRDefault="00B35C16" w:rsidP="00F9265F">
      <w:pPr>
        <w:pStyle w:val="NormalWeb"/>
        <w:numPr>
          <w:ilvl w:val="0"/>
          <w:numId w:val="1"/>
        </w:numPr>
        <w:spacing w:before="0" w:beforeAutospacing="0" w:after="0" w:afterAutospacing="0"/>
        <w:ind w:left="90"/>
        <w:rPr>
          <w:rFonts w:ascii="Times New Roman" w:eastAsia="Times New Roman" w:hAnsi="Times New Roman" w:cs="Times New Roman"/>
        </w:rPr>
      </w:pPr>
      <w:r w:rsidRPr="00D00369">
        <w:rPr>
          <w:rFonts w:ascii="Times New Roman" w:eastAsia="Times New Roman" w:hAnsi="Times New Roman" w:cs="Times New Roman"/>
        </w:rPr>
        <w:lastRenderedPageBreak/>
        <w:t xml:space="preserve">Jefferies AL; Canadian </w:t>
      </w:r>
      <w:proofErr w:type="spellStart"/>
      <w:r w:rsidRPr="00D00369">
        <w:rPr>
          <w:rFonts w:ascii="Times New Roman" w:eastAsia="Times New Roman" w:hAnsi="Times New Roman" w:cs="Times New Roman"/>
        </w:rPr>
        <w:t>Paediatric</w:t>
      </w:r>
      <w:proofErr w:type="spellEnd"/>
      <w:r w:rsidRPr="00D00369">
        <w:rPr>
          <w:rFonts w:ascii="Times New Roman" w:eastAsia="Times New Roman" w:hAnsi="Times New Roman" w:cs="Times New Roman"/>
        </w:rPr>
        <w:t xml:space="preserve"> Society, Fetus and Newborn Committee. Going home: Facilitating discharge of the preterm infant. </w:t>
      </w:r>
      <w:proofErr w:type="spellStart"/>
      <w:r w:rsidRPr="00D00369">
        <w:rPr>
          <w:rFonts w:ascii="Times New Roman" w:eastAsia="Times New Roman" w:hAnsi="Times New Roman" w:cs="Times New Roman"/>
          <w:i/>
          <w:iCs/>
        </w:rPr>
        <w:t>Paediatr</w:t>
      </w:r>
      <w:proofErr w:type="spellEnd"/>
      <w:r w:rsidRPr="00D00369">
        <w:rPr>
          <w:rFonts w:ascii="Times New Roman" w:eastAsia="Times New Roman" w:hAnsi="Times New Roman" w:cs="Times New Roman"/>
          <w:i/>
          <w:iCs/>
        </w:rPr>
        <w:t xml:space="preserve"> Child Health</w:t>
      </w:r>
      <w:r w:rsidRPr="00D00369">
        <w:rPr>
          <w:rFonts w:ascii="Times New Roman" w:eastAsia="Times New Roman" w:hAnsi="Times New Roman" w:cs="Times New Roman"/>
        </w:rPr>
        <w:t>. 2014;19(1):31</w:t>
      </w:r>
      <w:r w:rsidR="008735B9" w:rsidRPr="00D00369">
        <w:rPr>
          <w:rFonts w:ascii="Times New Roman" w:eastAsia="Times New Roman" w:hAnsi="Times New Roman" w:cs="Times New Roman"/>
        </w:rPr>
        <w:t xml:space="preserve"> through </w:t>
      </w:r>
      <w:r w:rsidRPr="00D00369">
        <w:rPr>
          <w:rFonts w:ascii="Times New Roman" w:eastAsia="Times New Roman" w:hAnsi="Times New Roman" w:cs="Times New Roman"/>
        </w:rPr>
        <w:t xml:space="preserve">42. </w:t>
      </w:r>
    </w:p>
    <w:p w14:paraId="46F865E8" w14:textId="0BB20E4D" w:rsidR="005D681A" w:rsidRPr="00D00369" w:rsidRDefault="00B35C16" w:rsidP="00F9265F">
      <w:pPr>
        <w:pStyle w:val="NormalWeb"/>
        <w:numPr>
          <w:ilvl w:val="0"/>
          <w:numId w:val="1"/>
        </w:numPr>
        <w:spacing w:before="0" w:beforeAutospacing="0" w:after="0" w:afterAutospacing="0"/>
        <w:ind w:left="90"/>
        <w:rPr>
          <w:rFonts w:ascii="Times New Roman" w:eastAsia="Times New Roman" w:hAnsi="Times New Roman" w:cs="Times New Roman"/>
        </w:rPr>
      </w:pPr>
      <w:r w:rsidRPr="00D00369">
        <w:rPr>
          <w:rFonts w:ascii="Times New Roman" w:eastAsia="Times New Roman" w:hAnsi="Times New Roman" w:cs="Times New Roman"/>
        </w:rPr>
        <w:t>Corwin MJ. Use of home cardiorespiratory monitors in infants. UpToDate.</w:t>
      </w:r>
      <w:r w:rsidR="00057F92" w:rsidRPr="00D00369">
        <w:rPr>
          <w:rFonts w:ascii="Times New Roman" w:eastAsia="Times New Roman" w:hAnsi="Times New Roman" w:cs="Times New Roman"/>
        </w:rPr>
        <w:t xml:space="preserve"> </w:t>
      </w:r>
      <w:hyperlink r:id="rId18" w:history="1">
        <w:r w:rsidR="00057F92" w:rsidRPr="00D00369">
          <w:rPr>
            <w:rStyle w:val="Hyperlink"/>
            <w:rFonts w:ascii="Times New Roman" w:eastAsia="Times New Roman" w:hAnsi="Times New Roman" w:cs="Times New Roman"/>
          </w:rPr>
          <w:t>www.uptodate.com</w:t>
        </w:r>
      </w:hyperlink>
      <w:r w:rsidR="00057F92" w:rsidRPr="00D00369">
        <w:rPr>
          <w:rFonts w:ascii="Times New Roman" w:eastAsia="Times New Roman" w:hAnsi="Times New Roman" w:cs="Times New Roman"/>
        </w:rPr>
        <w:t xml:space="preserve">. Updated </w:t>
      </w:r>
      <w:r w:rsidR="000E5070" w:rsidRPr="00D00369">
        <w:rPr>
          <w:rFonts w:ascii="Times New Roman" w:eastAsia="Times New Roman" w:hAnsi="Times New Roman" w:cs="Times New Roman"/>
        </w:rPr>
        <w:t>March 03, 2025</w:t>
      </w:r>
      <w:r w:rsidR="00057F92" w:rsidRPr="00D00369">
        <w:rPr>
          <w:rFonts w:ascii="Times New Roman" w:eastAsia="Times New Roman" w:hAnsi="Times New Roman" w:cs="Times New Roman"/>
        </w:rPr>
        <w:t>. Accessed</w:t>
      </w:r>
      <w:r w:rsidR="00D90F23" w:rsidRPr="00D00369">
        <w:rPr>
          <w:rFonts w:ascii="Times New Roman" w:eastAsia="Times New Roman" w:hAnsi="Times New Roman" w:cs="Times New Roman"/>
        </w:rPr>
        <w:t xml:space="preserve"> </w:t>
      </w:r>
      <w:r w:rsidR="005A0C0C" w:rsidRPr="00D00369">
        <w:rPr>
          <w:rFonts w:ascii="Times New Roman" w:eastAsia="Times New Roman" w:hAnsi="Times New Roman" w:cs="Times New Roman"/>
        </w:rPr>
        <w:t>M</w:t>
      </w:r>
      <w:r w:rsidR="00387647" w:rsidRPr="00D00369">
        <w:rPr>
          <w:rFonts w:ascii="Times New Roman" w:eastAsia="Times New Roman" w:hAnsi="Times New Roman" w:cs="Times New Roman"/>
        </w:rPr>
        <w:t>ay 01, 2</w:t>
      </w:r>
      <w:r w:rsidR="005A0C0C" w:rsidRPr="00D00369">
        <w:rPr>
          <w:rFonts w:ascii="Times New Roman" w:eastAsia="Times New Roman" w:hAnsi="Times New Roman" w:cs="Times New Roman"/>
        </w:rPr>
        <w:t>025</w:t>
      </w:r>
      <w:r w:rsidR="00057F92" w:rsidRPr="00D00369">
        <w:rPr>
          <w:rFonts w:ascii="Times New Roman" w:eastAsia="Times New Roman" w:hAnsi="Times New Roman" w:cs="Times New Roman"/>
        </w:rPr>
        <w:t>.</w:t>
      </w:r>
    </w:p>
    <w:p w14:paraId="0AEC2C6C" w14:textId="32BDF4D4" w:rsidR="0097448D" w:rsidRPr="00D00369" w:rsidRDefault="009863F1">
      <w:pPr>
        <w:pStyle w:val="NormalWeb"/>
        <w:numPr>
          <w:ilvl w:val="0"/>
          <w:numId w:val="1"/>
        </w:numPr>
        <w:spacing w:before="0" w:beforeAutospacing="0" w:after="0" w:afterAutospacing="0"/>
        <w:ind w:left="90"/>
      </w:pPr>
      <w:r w:rsidRPr="00D00369">
        <w:rPr>
          <w:rFonts w:ascii="Times New Roman" w:hAnsi="Times New Roman" w:cs="Times New Roman"/>
          <w:shd w:val="clear" w:color="auto" w:fill="FFFFFF"/>
        </w:rPr>
        <w:t>Chung J, Tran Lopez K, Amendolia B, et al. Stopping caffeine in premature neonates: how long does it take for the level of caffeine to fall below the therapeutic range?. </w:t>
      </w:r>
      <w:r w:rsidRPr="00D00369">
        <w:rPr>
          <w:rFonts w:ascii="Times New Roman" w:hAnsi="Times New Roman" w:cs="Times New Roman"/>
          <w:i/>
          <w:iCs/>
          <w:shd w:val="clear" w:color="auto" w:fill="FFFFFF"/>
        </w:rPr>
        <w:t>J Matern Fetal Neonatal Med</w:t>
      </w:r>
      <w:r w:rsidRPr="00D00369">
        <w:rPr>
          <w:rFonts w:ascii="Times New Roman" w:hAnsi="Times New Roman" w:cs="Times New Roman"/>
          <w:shd w:val="clear" w:color="auto" w:fill="FFFFFF"/>
        </w:rPr>
        <w:t>. 2022;35(3):551</w:t>
      </w:r>
      <w:r w:rsidR="008735B9" w:rsidRPr="00D00369">
        <w:rPr>
          <w:rFonts w:ascii="Times New Roman" w:hAnsi="Times New Roman" w:cs="Times New Roman"/>
          <w:shd w:val="clear" w:color="auto" w:fill="FFFFFF"/>
        </w:rPr>
        <w:t xml:space="preserve"> through </w:t>
      </w:r>
      <w:r w:rsidRPr="00D00369">
        <w:rPr>
          <w:rFonts w:ascii="Times New Roman" w:hAnsi="Times New Roman" w:cs="Times New Roman"/>
          <w:shd w:val="clear" w:color="auto" w:fill="FFFFFF"/>
        </w:rPr>
        <w:t>555. doi:10.1080/14767058.2020.1729117</w:t>
      </w:r>
    </w:p>
    <w:p w14:paraId="15EC9D37" w14:textId="04ACBFB5" w:rsidR="000A65DC" w:rsidRPr="00D00369" w:rsidRDefault="0097448D">
      <w:pPr>
        <w:pStyle w:val="NormalWeb"/>
        <w:numPr>
          <w:ilvl w:val="0"/>
          <w:numId w:val="1"/>
        </w:numPr>
        <w:spacing w:before="0" w:beforeAutospacing="0" w:after="0" w:afterAutospacing="0"/>
        <w:ind w:left="90"/>
      </w:pPr>
      <w:r w:rsidRPr="00D00369">
        <w:rPr>
          <w:rFonts w:ascii="Times New Roman" w:hAnsi="Times New Roman" w:cs="Times New Roman"/>
          <w:shd w:val="clear" w:color="auto" w:fill="FFFFFF"/>
        </w:rPr>
        <w:t>Kemper AR, Newman TB, Slaughter JL, et al. Clinical Practice Guideline Revision: Management of Hyperbilirubinemia in the Newborn Infant 35 or More Weeks of Gestation. </w:t>
      </w:r>
      <w:r w:rsidRPr="00D00369">
        <w:rPr>
          <w:rFonts w:ascii="Times New Roman" w:hAnsi="Times New Roman" w:cs="Times New Roman"/>
          <w:i/>
          <w:iCs/>
          <w:shd w:val="clear" w:color="auto" w:fill="FFFFFF"/>
        </w:rPr>
        <w:t>Pediatrics</w:t>
      </w:r>
      <w:r w:rsidRPr="00D00369">
        <w:rPr>
          <w:rFonts w:ascii="Times New Roman" w:hAnsi="Times New Roman" w:cs="Times New Roman"/>
          <w:shd w:val="clear" w:color="auto" w:fill="FFFFFF"/>
        </w:rPr>
        <w:t>. 2022;150(3</w:t>
      </w:r>
      <w:proofErr w:type="gramStart"/>
      <w:r w:rsidRPr="00D00369">
        <w:rPr>
          <w:rFonts w:ascii="Times New Roman" w:hAnsi="Times New Roman" w:cs="Times New Roman"/>
          <w:shd w:val="clear" w:color="auto" w:fill="FFFFFF"/>
        </w:rPr>
        <w:t>):e</w:t>
      </w:r>
      <w:proofErr w:type="gramEnd"/>
      <w:r w:rsidRPr="00D00369">
        <w:rPr>
          <w:rFonts w:ascii="Times New Roman" w:hAnsi="Times New Roman" w:cs="Times New Roman"/>
          <w:shd w:val="clear" w:color="auto" w:fill="FFFFFF"/>
        </w:rPr>
        <w:t>2022058859. doi:10.1542/peds.2022-058859</w:t>
      </w:r>
    </w:p>
    <w:p w14:paraId="76906696" w14:textId="38F1BFAF" w:rsidR="00816CAF" w:rsidRPr="00503A2E" w:rsidRDefault="006C5478" w:rsidP="00BD703A">
      <w:pPr>
        <w:pStyle w:val="NormalWeb"/>
        <w:numPr>
          <w:ilvl w:val="0"/>
          <w:numId w:val="1"/>
        </w:numPr>
        <w:spacing w:before="0" w:beforeAutospacing="0" w:after="0" w:afterAutospacing="0"/>
        <w:ind w:left="90"/>
      </w:pPr>
      <w:r w:rsidRPr="00D00369">
        <w:rPr>
          <w:rFonts w:ascii="Times New Roman" w:hAnsi="Times New Roman" w:cs="Times New Roman"/>
        </w:rPr>
        <w:t xml:space="preserve">Shankaran S, Bell EF, </w:t>
      </w:r>
      <w:proofErr w:type="spellStart"/>
      <w:r w:rsidRPr="00D00369">
        <w:rPr>
          <w:rFonts w:ascii="Times New Roman" w:hAnsi="Times New Roman" w:cs="Times New Roman"/>
        </w:rPr>
        <w:t>Laptook</w:t>
      </w:r>
      <w:proofErr w:type="spellEnd"/>
      <w:r w:rsidRPr="00D00369">
        <w:rPr>
          <w:rFonts w:ascii="Times New Roman" w:hAnsi="Times New Roman" w:cs="Times New Roman"/>
        </w:rPr>
        <w:t xml:space="preserve"> AR, et al. Weaning of Moderately Preterm Infants from the Incubator to the Crib: A Randomized Clinical Trial [published correction appears in J </w:t>
      </w:r>
      <w:proofErr w:type="spellStart"/>
      <w:r w:rsidRPr="00D00369">
        <w:rPr>
          <w:rFonts w:ascii="Times New Roman" w:hAnsi="Times New Roman" w:cs="Times New Roman"/>
        </w:rPr>
        <w:t>Pediatr</w:t>
      </w:r>
      <w:proofErr w:type="spellEnd"/>
      <w:r w:rsidRPr="00D00369">
        <w:rPr>
          <w:rFonts w:ascii="Times New Roman" w:hAnsi="Times New Roman" w:cs="Times New Roman"/>
        </w:rPr>
        <w:t>. 2020 Mar;</w:t>
      </w:r>
      <w:proofErr w:type="gramStart"/>
      <w:r w:rsidRPr="00D00369">
        <w:rPr>
          <w:rFonts w:ascii="Times New Roman" w:hAnsi="Times New Roman" w:cs="Times New Roman"/>
        </w:rPr>
        <w:t>218:e</w:t>
      </w:r>
      <w:proofErr w:type="gramEnd"/>
      <w:r w:rsidRPr="00D00369">
        <w:rPr>
          <w:rFonts w:ascii="Times New Roman" w:hAnsi="Times New Roman" w:cs="Times New Roman"/>
        </w:rPr>
        <w:t xml:space="preserve">5. </w:t>
      </w:r>
      <w:proofErr w:type="spellStart"/>
      <w:r w:rsidRPr="00D00369">
        <w:rPr>
          <w:rFonts w:ascii="Times New Roman" w:hAnsi="Times New Roman" w:cs="Times New Roman"/>
        </w:rPr>
        <w:t>doi</w:t>
      </w:r>
      <w:proofErr w:type="spellEnd"/>
      <w:r w:rsidRPr="00D00369">
        <w:rPr>
          <w:rFonts w:ascii="Times New Roman" w:hAnsi="Times New Roman" w:cs="Times New Roman"/>
        </w:rPr>
        <w:t>: 10.1016/</w:t>
      </w:r>
      <w:proofErr w:type="spellStart"/>
      <w:r w:rsidRPr="00D00369">
        <w:rPr>
          <w:rFonts w:ascii="Times New Roman" w:hAnsi="Times New Roman" w:cs="Times New Roman"/>
        </w:rPr>
        <w:t>j.jpeds.2020.01.007</w:t>
      </w:r>
      <w:proofErr w:type="spellEnd"/>
      <w:r w:rsidRPr="00D00369">
        <w:rPr>
          <w:rFonts w:ascii="Times New Roman" w:hAnsi="Times New Roman" w:cs="Times New Roman"/>
        </w:rPr>
        <w:t>.]. </w:t>
      </w:r>
      <w:r w:rsidRPr="00D00369">
        <w:rPr>
          <w:rFonts w:ascii="Times New Roman" w:hAnsi="Times New Roman" w:cs="Times New Roman"/>
          <w:i/>
          <w:iCs/>
        </w:rPr>
        <w:t xml:space="preserve">J </w:t>
      </w:r>
      <w:proofErr w:type="spellStart"/>
      <w:r w:rsidRPr="00D00369">
        <w:rPr>
          <w:rFonts w:ascii="Times New Roman" w:hAnsi="Times New Roman" w:cs="Times New Roman"/>
          <w:i/>
          <w:iCs/>
        </w:rPr>
        <w:t>Pediatr</w:t>
      </w:r>
      <w:proofErr w:type="spellEnd"/>
      <w:r w:rsidRPr="00D00369">
        <w:rPr>
          <w:rFonts w:ascii="Times New Roman" w:hAnsi="Times New Roman" w:cs="Times New Roman"/>
        </w:rPr>
        <w:t xml:space="preserve">. </w:t>
      </w:r>
      <w:proofErr w:type="gramStart"/>
      <w:r w:rsidRPr="00D00369">
        <w:rPr>
          <w:rFonts w:ascii="Times New Roman" w:hAnsi="Times New Roman" w:cs="Times New Roman"/>
        </w:rPr>
        <w:t>2019;204:96</w:t>
      </w:r>
      <w:proofErr w:type="gramEnd"/>
      <w:r w:rsidRPr="00D00369">
        <w:rPr>
          <w:rFonts w:ascii="Times New Roman" w:hAnsi="Times New Roman" w:cs="Times New Roman"/>
        </w:rPr>
        <w:t xml:space="preserve">-102.e4. </w:t>
      </w:r>
      <w:proofErr w:type="gramStart"/>
      <w:r w:rsidRPr="00D00369">
        <w:rPr>
          <w:rFonts w:ascii="Times New Roman" w:hAnsi="Times New Roman" w:cs="Times New Roman"/>
        </w:rPr>
        <w:t>doi:10.1016/j.jpeds</w:t>
      </w:r>
      <w:proofErr w:type="gramEnd"/>
      <w:r w:rsidRPr="00D00369">
        <w:rPr>
          <w:rFonts w:ascii="Times New Roman" w:hAnsi="Times New Roman" w:cs="Times New Roman"/>
        </w:rPr>
        <w:t>.2018.08.079</w:t>
      </w:r>
    </w:p>
    <w:p w14:paraId="7AA16668" w14:textId="55B22D19" w:rsidR="006A614F" w:rsidRPr="00D00369" w:rsidRDefault="009218F0" w:rsidP="00BD703A">
      <w:pPr>
        <w:pStyle w:val="NormalWeb"/>
        <w:numPr>
          <w:ilvl w:val="0"/>
          <w:numId w:val="1"/>
        </w:numPr>
        <w:spacing w:before="0" w:beforeAutospacing="0" w:after="0" w:afterAutospacing="0"/>
        <w:ind w:left="90"/>
        <w:rPr>
          <w:rFonts w:ascii="Times New Roman" w:hAnsi="Times New Roman" w:cs="Times New Roman"/>
        </w:rPr>
      </w:pPr>
      <w:r w:rsidRPr="00503A2E">
        <w:rPr>
          <w:rFonts w:ascii="Times New Roman" w:hAnsi="Times New Roman" w:cs="Times New Roman"/>
        </w:rPr>
        <w:t xml:space="preserve">Buchman AL, </w:t>
      </w:r>
      <w:proofErr w:type="spellStart"/>
      <w:r w:rsidRPr="00503A2E">
        <w:rPr>
          <w:rFonts w:ascii="Times New Roman" w:hAnsi="Times New Roman" w:cs="Times New Roman"/>
        </w:rPr>
        <w:t>Scolapio</w:t>
      </w:r>
      <w:proofErr w:type="spellEnd"/>
      <w:r w:rsidRPr="00503A2E">
        <w:rPr>
          <w:rFonts w:ascii="Times New Roman" w:hAnsi="Times New Roman" w:cs="Times New Roman"/>
        </w:rPr>
        <w:t xml:space="preserve"> J, Fryer J. AGA technical review on short bowel syndrome and intestinal transplantation. </w:t>
      </w:r>
      <w:r w:rsidRPr="00D00369">
        <w:rPr>
          <w:rFonts w:ascii="Times New Roman" w:hAnsi="Times New Roman" w:cs="Times New Roman"/>
          <w:i/>
          <w:iCs/>
        </w:rPr>
        <w:t>Gastroenterology</w:t>
      </w:r>
      <w:r w:rsidRPr="00D00369">
        <w:rPr>
          <w:rFonts w:ascii="Times New Roman" w:hAnsi="Times New Roman" w:cs="Times New Roman"/>
        </w:rPr>
        <w:t>. 2003;</w:t>
      </w:r>
      <w:r w:rsidRPr="00503A2E">
        <w:rPr>
          <w:rFonts w:ascii="Times New Roman" w:hAnsi="Times New Roman" w:cs="Times New Roman"/>
        </w:rPr>
        <w:t>124(4):1111-1134. doi:10.1016/s0016-</w:t>
      </w:r>
      <w:r w:rsidRPr="00D00369">
        <w:rPr>
          <w:rFonts w:ascii="Times New Roman" w:hAnsi="Times New Roman" w:cs="Times New Roman"/>
        </w:rPr>
        <w:t>5085(03)70064-x</w:t>
      </w:r>
    </w:p>
    <w:p w14:paraId="0D2342F6" w14:textId="2E3E3F99" w:rsidR="00F72772" w:rsidRPr="00D00369" w:rsidRDefault="00D60A7F" w:rsidP="00BD703A">
      <w:pPr>
        <w:pStyle w:val="NormalWeb"/>
        <w:numPr>
          <w:ilvl w:val="0"/>
          <w:numId w:val="1"/>
        </w:numPr>
        <w:spacing w:before="0" w:beforeAutospacing="0" w:after="0" w:afterAutospacing="0"/>
        <w:ind w:left="90"/>
        <w:rPr>
          <w:rFonts w:ascii="Times New Roman" w:hAnsi="Times New Roman" w:cs="Times New Roman"/>
        </w:rPr>
      </w:pPr>
      <w:proofErr w:type="spellStart"/>
      <w:r w:rsidRPr="00D00369">
        <w:rPr>
          <w:rFonts w:ascii="Times New Roman" w:hAnsi="Times New Roman" w:cs="Times New Roman"/>
        </w:rPr>
        <w:t>Fierson</w:t>
      </w:r>
      <w:proofErr w:type="spellEnd"/>
      <w:r w:rsidRPr="00D00369">
        <w:rPr>
          <w:rFonts w:ascii="Times New Roman" w:hAnsi="Times New Roman" w:cs="Times New Roman"/>
        </w:rPr>
        <w:t xml:space="preserve"> WM; AMERICAN ACADEMY OF PEDIATRICS Section on Ophthalmology; AMERICAN ACADEMY OF OPHTHALMOLOGY; AMERICAN ASSOCIATION FOR PEDIATRIC OPHTHALMOLOGY AND STRABISMUS; AMERICAN ASSOCIATION OF CERTIFIED ORTHOPTISTS. Screening Examination of Premature Infants for Retinopathy of Prematurity [published correction appears in Pediatrics. 2019 Mar;143(3</w:t>
      </w:r>
      <w:proofErr w:type="gramStart"/>
      <w:r w:rsidRPr="00D00369">
        <w:rPr>
          <w:rFonts w:ascii="Times New Roman" w:hAnsi="Times New Roman" w:cs="Times New Roman"/>
        </w:rPr>
        <w:t>):e</w:t>
      </w:r>
      <w:proofErr w:type="gramEnd"/>
      <w:r w:rsidRPr="00D00369">
        <w:rPr>
          <w:rFonts w:ascii="Times New Roman" w:hAnsi="Times New Roman" w:cs="Times New Roman"/>
        </w:rPr>
        <w:t xml:space="preserve">20183810. </w:t>
      </w:r>
      <w:proofErr w:type="spellStart"/>
      <w:r w:rsidRPr="00D00369">
        <w:rPr>
          <w:rFonts w:ascii="Times New Roman" w:hAnsi="Times New Roman" w:cs="Times New Roman"/>
        </w:rPr>
        <w:t>doi</w:t>
      </w:r>
      <w:proofErr w:type="spellEnd"/>
      <w:r w:rsidRPr="00D00369">
        <w:rPr>
          <w:rFonts w:ascii="Times New Roman" w:hAnsi="Times New Roman" w:cs="Times New Roman"/>
        </w:rPr>
        <w:t>: 10.1542/</w:t>
      </w:r>
      <w:proofErr w:type="spellStart"/>
      <w:r w:rsidRPr="00D00369">
        <w:rPr>
          <w:rFonts w:ascii="Times New Roman" w:hAnsi="Times New Roman" w:cs="Times New Roman"/>
        </w:rPr>
        <w:t>peds.2018</w:t>
      </w:r>
      <w:proofErr w:type="spellEnd"/>
      <w:r w:rsidRPr="00D00369">
        <w:rPr>
          <w:rFonts w:ascii="Times New Roman" w:hAnsi="Times New Roman" w:cs="Times New Roman"/>
        </w:rPr>
        <w:t>-3810.]. </w:t>
      </w:r>
      <w:r w:rsidRPr="00D00369">
        <w:rPr>
          <w:rFonts w:ascii="Times New Roman" w:hAnsi="Times New Roman" w:cs="Times New Roman"/>
          <w:i/>
          <w:iCs/>
        </w:rPr>
        <w:t>Pediatrics</w:t>
      </w:r>
      <w:r w:rsidRPr="00D00369">
        <w:rPr>
          <w:rFonts w:ascii="Times New Roman" w:hAnsi="Times New Roman" w:cs="Times New Roman"/>
        </w:rPr>
        <w:t>. 2018;142(6</w:t>
      </w:r>
      <w:proofErr w:type="gramStart"/>
      <w:r w:rsidRPr="00D00369">
        <w:rPr>
          <w:rFonts w:ascii="Times New Roman" w:hAnsi="Times New Roman" w:cs="Times New Roman"/>
        </w:rPr>
        <w:t>):e</w:t>
      </w:r>
      <w:proofErr w:type="gramEnd"/>
      <w:r w:rsidRPr="00D00369">
        <w:rPr>
          <w:rFonts w:ascii="Times New Roman" w:hAnsi="Times New Roman" w:cs="Times New Roman"/>
        </w:rPr>
        <w:t>20183061. doi:10.1542/peds.2018-3061</w:t>
      </w:r>
    </w:p>
    <w:bookmarkEnd w:id="2"/>
    <w:p w14:paraId="027D70B4" w14:textId="77777777" w:rsidR="00EF5CD3" w:rsidRPr="00D6002E" w:rsidRDefault="00EF5CD3" w:rsidP="000A65DC"/>
    <w:p w14:paraId="3158009A" w14:textId="77777777" w:rsidR="000A65DC" w:rsidRPr="00146C6E" w:rsidRDefault="000A65DC" w:rsidP="000A65DC">
      <w:pPr>
        <w:rPr>
          <w:rFonts w:eastAsiaTheme="minorHAnsi"/>
          <w:b/>
          <w:u w:val="single"/>
        </w:rPr>
      </w:pPr>
      <w:bookmarkStart w:id="3" w:name="Important_Reminder"/>
      <w:r w:rsidRPr="00146C6E">
        <w:rPr>
          <w:rFonts w:eastAsiaTheme="minorHAnsi"/>
          <w:b/>
          <w:bCs/>
          <w:u w:val="single"/>
        </w:rPr>
        <w:t>Important Reminder</w:t>
      </w:r>
    </w:p>
    <w:bookmarkEnd w:id="3"/>
    <w:p w14:paraId="181BE193" w14:textId="77777777" w:rsidR="000A65DC" w:rsidRPr="00146C6E" w:rsidRDefault="000A65DC" w:rsidP="000A65DC">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00A97EC7" w14:textId="77777777" w:rsidR="000A65DC" w:rsidRPr="00146C6E" w:rsidRDefault="000A65DC" w:rsidP="000A65DC">
      <w:pPr>
        <w:rPr>
          <w:rFonts w:eastAsiaTheme="minorHAnsi"/>
        </w:rPr>
      </w:pPr>
    </w:p>
    <w:p w14:paraId="01713884" w14:textId="77777777" w:rsidR="000A65DC" w:rsidRPr="00146C6E" w:rsidRDefault="000A65DC" w:rsidP="000A65DC">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w:t>
      </w:r>
      <w:r w:rsidRPr="00146C6E">
        <w:rPr>
          <w:rFonts w:eastAsiaTheme="minorHAnsi"/>
        </w:rPr>
        <w:lastRenderedPageBreak/>
        <w:t xml:space="preserve">policy, contract of insurance, etc.), as well as to state and federal requirements and applicable Health Plan-level administrative policies and procedures.   </w:t>
      </w:r>
    </w:p>
    <w:p w14:paraId="6F91D779" w14:textId="77777777" w:rsidR="000A65DC" w:rsidRPr="00146C6E" w:rsidRDefault="000A65DC" w:rsidP="000A65DC">
      <w:pPr>
        <w:rPr>
          <w:rFonts w:eastAsiaTheme="minorHAnsi"/>
        </w:rPr>
      </w:pPr>
    </w:p>
    <w:p w14:paraId="49043926" w14:textId="77777777" w:rsidR="000A65DC" w:rsidRPr="00146C6E" w:rsidRDefault="000A65DC" w:rsidP="000A65DC">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42113F98" w14:textId="77777777" w:rsidR="000A65DC" w:rsidRPr="00146C6E" w:rsidRDefault="000A65DC" w:rsidP="000A65DC">
      <w:pPr>
        <w:rPr>
          <w:rFonts w:eastAsiaTheme="minorHAnsi"/>
        </w:rPr>
      </w:pPr>
    </w:p>
    <w:p w14:paraId="2AC18D6D" w14:textId="2C7E9298" w:rsidR="000A65DC" w:rsidRPr="00146C6E" w:rsidRDefault="000A65DC" w:rsidP="000A65DC">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members</w:t>
      </w:r>
      <w:r w:rsidR="00EB2A51">
        <w:rPr>
          <w:rFonts w:eastAsiaTheme="minorHAnsi"/>
        </w:rPr>
        <w:t>/enrollees</w:t>
      </w:r>
      <w:r w:rsidRPr="00146C6E">
        <w:rPr>
          <w:rFonts w:eastAsiaTheme="minorHAnsi"/>
        </w:rPr>
        <w:t>.  This clinical policy is not intended to recommend treatment for members</w:t>
      </w:r>
      <w:r w:rsidR="00EB2A51">
        <w:rPr>
          <w:rFonts w:eastAsiaTheme="minorHAnsi"/>
        </w:rPr>
        <w:t>/enrollees</w:t>
      </w:r>
      <w:r w:rsidRPr="00146C6E">
        <w:rPr>
          <w:rFonts w:eastAsiaTheme="minorHAnsi"/>
        </w:rPr>
        <w:t>. Members</w:t>
      </w:r>
      <w:r w:rsidR="00EB2A51">
        <w:rPr>
          <w:rFonts w:eastAsiaTheme="minorHAnsi"/>
        </w:rPr>
        <w:t>/enrollees</w:t>
      </w:r>
      <w:r w:rsidRPr="00146C6E">
        <w:rPr>
          <w:rFonts w:eastAsiaTheme="minorHAnsi"/>
        </w:rPr>
        <w:t xml:space="preserve"> should consult with their treating physician in connection with diagnosis and treatment decisions. </w:t>
      </w:r>
    </w:p>
    <w:p w14:paraId="5E5B54F4" w14:textId="77777777" w:rsidR="000A65DC" w:rsidRPr="00146C6E" w:rsidRDefault="000A65DC" w:rsidP="000A65DC">
      <w:pPr>
        <w:rPr>
          <w:rFonts w:eastAsiaTheme="minorHAnsi"/>
        </w:rPr>
      </w:pPr>
    </w:p>
    <w:p w14:paraId="70D703FB" w14:textId="77777777" w:rsidR="000A65DC" w:rsidRPr="00146C6E" w:rsidRDefault="000A65DC" w:rsidP="000A65DC">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03C0B13E" w14:textId="77777777" w:rsidR="000A65DC" w:rsidRPr="00146C6E" w:rsidRDefault="000A65DC" w:rsidP="000A65DC">
      <w:pPr>
        <w:rPr>
          <w:rFonts w:eastAsiaTheme="minorHAnsi"/>
        </w:rPr>
      </w:pPr>
    </w:p>
    <w:p w14:paraId="125C5125" w14:textId="5A51F7AB" w:rsidR="000A65DC" w:rsidRPr="00146C6E" w:rsidRDefault="000A65DC" w:rsidP="000A65DC">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Unauthorized copying, use, and distribution of this clinical policy or any information contained herein are strictly prohibited.  Providers, members</w:t>
      </w:r>
      <w:r w:rsidR="00EB2A51">
        <w:rPr>
          <w:rFonts w:eastAsiaTheme="minorHAnsi"/>
        </w:rPr>
        <w:t>/enrollees</w:t>
      </w:r>
      <w:r w:rsidRPr="00146C6E">
        <w:rPr>
          <w:rFonts w:eastAsiaTheme="minorHAnsi"/>
        </w:rPr>
        <w:t xml:space="preserve"> and their representatives are bound to the terms and conditions expressed herein through the terms of their contracts. Where no such contract exists, providers, members</w:t>
      </w:r>
      <w:r w:rsidR="00EB2A51">
        <w:rPr>
          <w:rFonts w:eastAsiaTheme="minorHAnsi"/>
        </w:rPr>
        <w:t>/enrollees</w:t>
      </w:r>
      <w:r w:rsidRPr="00146C6E">
        <w:rPr>
          <w:rFonts w:eastAsiaTheme="minorHAnsi"/>
        </w:rPr>
        <w:t xml:space="preserve"> and their representatives agree to be bound by such terms and conditions by providing services to members</w:t>
      </w:r>
      <w:r w:rsidR="00EB2A51">
        <w:rPr>
          <w:rFonts w:eastAsiaTheme="minorHAnsi"/>
        </w:rPr>
        <w:t>/enrollees</w:t>
      </w:r>
      <w:r w:rsidRPr="00146C6E">
        <w:rPr>
          <w:rFonts w:eastAsiaTheme="minorHAnsi"/>
        </w:rPr>
        <w:t xml:space="preserve"> and/or submitting claims for payment for such services.  </w:t>
      </w:r>
    </w:p>
    <w:p w14:paraId="7AA1C610" w14:textId="77777777" w:rsidR="000A65DC" w:rsidRPr="00146C6E" w:rsidRDefault="000A65DC" w:rsidP="000A65DC">
      <w:pPr>
        <w:autoSpaceDE w:val="0"/>
        <w:autoSpaceDN w:val="0"/>
        <w:adjustRightInd w:val="0"/>
        <w:rPr>
          <w:rFonts w:eastAsiaTheme="minorHAnsi"/>
          <w:color w:val="000000"/>
        </w:rPr>
      </w:pPr>
    </w:p>
    <w:p w14:paraId="2B385AE9" w14:textId="6C99BEA3" w:rsidR="000A65DC" w:rsidRPr="00146C6E" w:rsidRDefault="000A65DC" w:rsidP="000A65DC">
      <w:pPr>
        <w:autoSpaceDE w:val="0"/>
        <w:autoSpaceDN w:val="0"/>
        <w:adjustRightInd w:val="0"/>
        <w:rPr>
          <w:rFonts w:eastAsiaTheme="minorHAnsi"/>
          <w:color w:val="000000"/>
        </w:rPr>
      </w:pPr>
      <w:r w:rsidRPr="00146C6E">
        <w:rPr>
          <w:rFonts w:eastAsiaTheme="minorHAnsi"/>
          <w:b/>
          <w:color w:val="000000"/>
        </w:rPr>
        <w:t>Note: For Medicaid members</w:t>
      </w:r>
      <w:r w:rsidR="00EB2A51">
        <w:rPr>
          <w:rFonts w:eastAsiaTheme="minorHAnsi"/>
          <w:b/>
          <w:color w:val="000000"/>
        </w:rPr>
        <w:t>/enrollees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C04634E" w14:textId="77777777" w:rsidR="000A65DC" w:rsidRPr="00146C6E" w:rsidRDefault="000A65DC" w:rsidP="000A65DC">
      <w:pPr>
        <w:rPr>
          <w:rFonts w:eastAsiaTheme="minorHAnsi"/>
        </w:rPr>
      </w:pPr>
    </w:p>
    <w:p w14:paraId="3F6265D4" w14:textId="662F70A7" w:rsidR="000A65DC" w:rsidRPr="00146C6E" w:rsidRDefault="000A65DC" w:rsidP="000A65DC">
      <w:pPr>
        <w:autoSpaceDE w:val="0"/>
        <w:autoSpaceDN w:val="0"/>
        <w:adjustRightInd w:val="0"/>
        <w:rPr>
          <w:color w:val="000000"/>
        </w:rPr>
      </w:pPr>
      <w:r w:rsidRPr="00146C6E">
        <w:rPr>
          <w:rFonts w:eastAsiaTheme="minorHAnsi"/>
          <w:b/>
          <w:bCs/>
          <w:color w:val="000000"/>
        </w:rPr>
        <w:t>Note: For Medicare members</w:t>
      </w:r>
      <w:r w:rsidR="00EB2A51">
        <w:rPr>
          <w:rFonts w:eastAsiaTheme="minorHAnsi"/>
          <w:b/>
          <w:bCs/>
          <w:color w:val="000000"/>
        </w:rPr>
        <w:t>/enrollees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Pr>
          <w:rFonts w:eastAsiaTheme="minorHAnsi"/>
          <w:color w:val="000000"/>
        </w:rPr>
        <w:t>,</w:t>
      </w:r>
      <w:r w:rsidRPr="00146C6E">
        <w:rPr>
          <w:rFonts w:eastAsiaTheme="minorHAnsi"/>
          <w:color w:val="000000"/>
        </w:rPr>
        <w:t xml:space="preserve"> LCDs</w:t>
      </w:r>
      <w:r>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9"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3CE93C39" w14:textId="77777777" w:rsidR="000A65DC" w:rsidRPr="00146C6E" w:rsidRDefault="000A65DC" w:rsidP="000A65DC">
      <w:pPr>
        <w:rPr>
          <w:iCs/>
        </w:rPr>
      </w:pPr>
    </w:p>
    <w:p w14:paraId="5AB8381D" w14:textId="62EF3962" w:rsidR="000A65DC" w:rsidRPr="00146C6E" w:rsidRDefault="000A65DC" w:rsidP="000A65DC">
      <w:pPr>
        <w:rPr>
          <w:iCs/>
        </w:rPr>
      </w:pPr>
      <w:r w:rsidRPr="00146C6E">
        <w:rPr>
          <w:iCs/>
        </w:rPr>
        <w:t>©201</w:t>
      </w:r>
      <w:r w:rsidR="004D32F4">
        <w:rPr>
          <w:iCs/>
        </w:rPr>
        <w:t>8</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w:t>
      </w:r>
      <w:r w:rsidRPr="00146C6E">
        <w:rPr>
          <w:iCs/>
        </w:rPr>
        <w:lastRenderedPageBreak/>
        <w:t>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684D8F78" w14:textId="77777777" w:rsidR="000A65DC" w:rsidRDefault="000A65DC" w:rsidP="000A65DC">
      <w:pPr>
        <w:jc w:val="both"/>
      </w:pPr>
    </w:p>
    <w:p w14:paraId="0285CDC2" w14:textId="77777777" w:rsidR="00D9476A" w:rsidRDefault="00D9476A"/>
    <w:sectPr w:rsidR="00D9476A" w:rsidSect="00A0434C">
      <w:type w:val="continuous"/>
      <w:pgSz w:w="12240" w:h="15840" w:code="1"/>
      <w:pgMar w:top="1440" w:right="1440" w:bottom="1440" w:left="171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F167" w14:textId="77777777" w:rsidR="00362A3E" w:rsidRDefault="00362A3E">
      <w:r>
        <w:separator/>
      </w:r>
    </w:p>
  </w:endnote>
  <w:endnote w:type="continuationSeparator" w:id="0">
    <w:p w14:paraId="2DF7D206" w14:textId="77777777" w:rsidR="00362A3E" w:rsidRDefault="0036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D3E1" w14:textId="77777777" w:rsidR="0006358B" w:rsidRDefault="00063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74AB" w14:textId="0CAF34AE" w:rsidR="005923A9" w:rsidRPr="00D574CA" w:rsidRDefault="005923A9" w:rsidP="005923A9">
    <w:pPr>
      <w:pStyle w:val="Footer"/>
      <w:jc w:val="center"/>
    </w:pPr>
    <w:r>
      <w:t xml:space="preserve">Page </w:t>
    </w:r>
    <w:r>
      <w:rPr>
        <w:b/>
        <w:bCs/>
      </w:rPr>
      <w:fldChar w:fldCharType="begin"/>
    </w:r>
    <w:r>
      <w:rPr>
        <w:b/>
        <w:bCs/>
      </w:rPr>
      <w:instrText xml:space="preserve"> PAGE </w:instrText>
    </w:r>
    <w:r>
      <w:rPr>
        <w:b/>
        <w:bCs/>
      </w:rPr>
      <w:fldChar w:fldCharType="separate"/>
    </w:r>
    <w:r w:rsidR="00B25D6E">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B25D6E">
      <w:rPr>
        <w:b/>
        <w:bCs/>
        <w:noProof/>
      </w:rPr>
      <w:t>9</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D75" w14:textId="4B073E53" w:rsidR="005923A9" w:rsidRDefault="005923A9" w:rsidP="005923A9">
    <w:pPr>
      <w:pStyle w:val="Footer"/>
      <w:jc w:val="center"/>
    </w:pPr>
    <w:r>
      <w:t xml:space="preserve">Page </w:t>
    </w:r>
    <w:r>
      <w:fldChar w:fldCharType="begin"/>
    </w:r>
    <w:r>
      <w:instrText xml:space="preserve"> PAGE   \* MERGEFORMAT </w:instrText>
    </w:r>
    <w:r>
      <w:fldChar w:fldCharType="separate"/>
    </w:r>
    <w:r w:rsidR="00D6002E">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D6002E">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7A85" w14:textId="77777777" w:rsidR="00362A3E" w:rsidRDefault="00362A3E">
      <w:r>
        <w:separator/>
      </w:r>
    </w:p>
  </w:footnote>
  <w:footnote w:type="continuationSeparator" w:id="0">
    <w:p w14:paraId="55BF4A7B" w14:textId="77777777" w:rsidR="00362A3E" w:rsidRDefault="0036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C668" w14:textId="74EB273B" w:rsidR="0006358B" w:rsidRDefault="00063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30F6" w14:textId="7C4CFB70" w:rsidR="005923A9" w:rsidRPr="00B777AF" w:rsidRDefault="005923A9" w:rsidP="005923A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1115DFA3" wp14:editId="0F313B25">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0EA141B" w14:textId="77777777" w:rsidR="005923A9" w:rsidRPr="00B777AF" w:rsidRDefault="005923A9" w:rsidP="005923A9">
    <w:pPr>
      <w:rPr>
        <w:color w:val="00548C"/>
      </w:rPr>
    </w:pPr>
    <w:r>
      <w:rPr>
        <w:rFonts w:ascii="Times New Roman Bold" w:hAnsi="Times New Roman Bold"/>
        <w:b/>
        <w:bCs/>
        <w:color w:val="00548C"/>
      </w:rPr>
      <w:t>NICU Discharge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B21" w14:textId="78767ECB" w:rsidR="005923A9" w:rsidRDefault="005923A9" w:rsidP="005923A9">
    <w:pPr>
      <w:pStyle w:val="Header"/>
      <w:jc w:val="right"/>
    </w:pPr>
    <w:r>
      <w:rPr>
        <w:noProof/>
      </w:rPr>
      <w:drawing>
        <wp:inline distT="0" distB="0" distL="0" distR="0" wp14:anchorId="6EB6C67E" wp14:editId="74E9B79F">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D13"/>
    <w:multiLevelType w:val="hybridMultilevel"/>
    <w:tmpl w:val="050C143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7A74A5"/>
    <w:multiLevelType w:val="hybridMultilevel"/>
    <w:tmpl w:val="4FEA35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386DBA"/>
    <w:multiLevelType w:val="hybridMultilevel"/>
    <w:tmpl w:val="DAB2634E"/>
    <w:lvl w:ilvl="0" w:tplc="04090015">
      <w:start w:val="1"/>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F805EC"/>
    <w:multiLevelType w:val="hybridMultilevel"/>
    <w:tmpl w:val="CEEE2CEE"/>
    <w:lvl w:ilvl="0" w:tplc="04090019">
      <w:start w:val="1"/>
      <w:numFmt w:val="lowerLetter"/>
      <w:lvlText w:val="%1."/>
      <w:lvlJc w:val="left"/>
      <w:pPr>
        <w:ind w:left="720" w:hanging="360"/>
      </w:pPr>
    </w:lvl>
    <w:lvl w:ilvl="1" w:tplc="792E6CD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56FEA"/>
    <w:multiLevelType w:val="hybridMultilevel"/>
    <w:tmpl w:val="815C4EB2"/>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200E"/>
    <w:multiLevelType w:val="hybridMultilevel"/>
    <w:tmpl w:val="F08002DA"/>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E7697"/>
    <w:multiLevelType w:val="hybridMultilevel"/>
    <w:tmpl w:val="ED9C165A"/>
    <w:lvl w:ilvl="0" w:tplc="CA48A334">
      <w:start w:val="1"/>
      <w:numFmt w:val="decimal"/>
      <w:lvlText w:val="%1."/>
      <w:lvlJc w:val="left"/>
      <w:pPr>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636CB0"/>
    <w:multiLevelType w:val="hybridMultilevel"/>
    <w:tmpl w:val="C534F6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903F6"/>
    <w:multiLevelType w:val="hybridMultilevel"/>
    <w:tmpl w:val="630E7B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B4351"/>
    <w:multiLevelType w:val="hybridMultilevel"/>
    <w:tmpl w:val="C4DA740E"/>
    <w:lvl w:ilvl="0" w:tplc="7E1EC400">
      <w:start w:val="1"/>
      <w:numFmt w:val="upperRoman"/>
      <w:lvlText w:val="%1."/>
      <w:lvlJc w:val="left"/>
      <w:pPr>
        <w:ind w:left="540" w:hanging="360"/>
      </w:pPr>
      <w:rPr>
        <w:rFonts w:hint="default"/>
        <w:b/>
        <w:u w:val="none"/>
        <w:vertAlign w:val="baseline"/>
      </w:rPr>
    </w:lvl>
    <w:lvl w:ilvl="1" w:tplc="6A7CA498">
      <w:start w:val="1"/>
      <w:numFmt w:val="upperLetter"/>
      <w:lvlText w:val="%2."/>
      <w:lvlJc w:val="left"/>
      <w:pPr>
        <w:ind w:left="450" w:hanging="360"/>
      </w:pPr>
      <w:rPr>
        <w:b w:val="0"/>
      </w:rPr>
    </w:lvl>
    <w:lvl w:ilvl="2" w:tplc="B3CAD3FA">
      <w:start w:val="1"/>
      <w:numFmt w:val="decimal"/>
      <w:lvlText w:val="%3."/>
      <w:lvlJc w:val="lef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F6120"/>
    <w:multiLevelType w:val="hybridMultilevel"/>
    <w:tmpl w:val="99C48684"/>
    <w:lvl w:ilvl="0" w:tplc="04090015">
      <w:start w:val="1"/>
      <w:numFmt w:val="upperLetter"/>
      <w:lvlText w:val="%1."/>
      <w:lvlJc w:val="left"/>
      <w:pPr>
        <w:tabs>
          <w:tab w:val="num" w:pos="1620"/>
        </w:tabs>
        <w:ind w:left="1620" w:hanging="360"/>
      </w:pPr>
      <w:rPr>
        <w:rFonts w:hint="default"/>
      </w:rPr>
    </w:lvl>
    <w:lvl w:ilvl="1" w:tplc="0409000F">
      <w:start w:val="1"/>
      <w:numFmt w:val="decimal"/>
      <w:lvlText w:val="%2."/>
      <w:lvlJc w:val="left"/>
      <w:pPr>
        <w:tabs>
          <w:tab w:val="num" w:pos="2520"/>
        </w:tabs>
        <w:ind w:left="2520" w:hanging="360"/>
      </w:pPr>
    </w:lvl>
    <w:lvl w:ilvl="2" w:tplc="792E6CDC">
      <w:start w:val="1"/>
      <w:numFmt w:val="lowerRoman"/>
      <w:lvlText w:val="%3."/>
      <w:lvlJc w:val="left"/>
      <w:pPr>
        <w:tabs>
          <w:tab w:val="num" w:pos="2520"/>
        </w:tabs>
        <w:ind w:left="2520" w:hanging="18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3077CA"/>
    <w:multiLevelType w:val="hybridMultilevel"/>
    <w:tmpl w:val="BEE02064"/>
    <w:lvl w:ilvl="0" w:tplc="04090015">
      <w:start w:val="1"/>
      <w:numFmt w:val="upperLetter"/>
      <w:lvlText w:val="%1."/>
      <w:lvlJc w:val="left"/>
      <w:pPr>
        <w:tabs>
          <w:tab w:val="num" w:pos="1620"/>
        </w:tabs>
        <w:ind w:left="1620" w:hanging="360"/>
      </w:pPr>
      <w:rPr>
        <w:rFonts w:hint="default"/>
      </w:rPr>
    </w:lvl>
    <w:lvl w:ilvl="1" w:tplc="0409000F">
      <w:start w:val="1"/>
      <w:numFmt w:val="decimal"/>
      <w:lvlText w:val="%2."/>
      <w:lvlJc w:val="left"/>
      <w:pPr>
        <w:tabs>
          <w:tab w:val="num" w:pos="2520"/>
        </w:tabs>
        <w:ind w:left="2520" w:hanging="360"/>
      </w:pPr>
    </w:lvl>
    <w:lvl w:ilvl="2" w:tplc="04090019">
      <w:start w:val="1"/>
      <w:numFmt w:val="lowerLetter"/>
      <w:lvlText w:val="%3."/>
      <w:lvlJc w:val="left"/>
      <w:pPr>
        <w:tabs>
          <w:tab w:val="num" w:pos="2520"/>
        </w:tabs>
        <w:ind w:left="2520" w:hanging="18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2915E8"/>
    <w:multiLevelType w:val="hybridMultilevel"/>
    <w:tmpl w:val="D7A217C6"/>
    <w:lvl w:ilvl="0" w:tplc="26CA68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11577"/>
    <w:multiLevelType w:val="hybridMultilevel"/>
    <w:tmpl w:val="050C1438"/>
    <w:lvl w:ilvl="0" w:tplc="0409000F">
      <w:start w:val="1"/>
      <w:numFmt w:val="decimal"/>
      <w:lvlText w:val="%1."/>
      <w:lvlJc w:val="left"/>
      <w:pPr>
        <w:ind w:left="4410" w:hanging="360"/>
      </w:p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14" w15:restartNumberingAfterBreak="0">
    <w:nsid w:val="29C51DEC"/>
    <w:multiLevelType w:val="hybridMultilevel"/>
    <w:tmpl w:val="6FD2252E"/>
    <w:lvl w:ilvl="0" w:tplc="6FBA99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A2240F"/>
    <w:multiLevelType w:val="hybridMultilevel"/>
    <w:tmpl w:val="3E3843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1D08FD"/>
    <w:multiLevelType w:val="hybridMultilevel"/>
    <w:tmpl w:val="DAB2634E"/>
    <w:lvl w:ilvl="0" w:tplc="04090015">
      <w:start w:val="1"/>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2160"/>
        </w:tabs>
        <w:ind w:left="21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5A2CA2"/>
    <w:multiLevelType w:val="hybridMultilevel"/>
    <w:tmpl w:val="F172540A"/>
    <w:lvl w:ilvl="0" w:tplc="0409000F">
      <w:start w:val="1"/>
      <w:numFmt w:val="decimal"/>
      <w:lvlText w:val="%1."/>
      <w:lvlJc w:val="left"/>
      <w:pPr>
        <w:tabs>
          <w:tab w:val="num" w:pos="2160"/>
        </w:tabs>
        <w:ind w:left="21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0240E"/>
    <w:multiLevelType w:val="hybridMultilevel"/>
    <w:tmpl w:val="E95C1A5C"/>
    <w:lvl w:ilvl="0" w:tplc="F8CC34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B1607C4"/>
    <w:multiLevelType w:val="hybridMultilevel"/>
    <w:tmpl w:val="20549702"/>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62FEB"/>
    <w:multiLevelType w:val="hybridMultilevel"/>
    <w:tmpl w:val="18305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D56271"/>
    <w:multiLevelType w:val="hybridMultilevel"/>
    <w:tmpl w:val="BCBADE10"/>
    <w:lvl w:ilvl="0" w:tplc="04090019">
      <w:start w:val="1"/>
      <w:numFmt w:val="lowerLetter"/>
      <w:lvlText w:val="%1."/>
      <w:lvlJc w:val="left"/>
      <w:pPr>
        <w:ind w:left="720" w:hanging="360"/>
      </w:pPr>
    </w:lvl>
    <w:lvl w:ilvl="1" w:tplc="792E6CD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51288"/>
    <w:multiLevelType w:val="hybridMultilevel"/>
    <w:tmpl w:val="72E670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C5FE454E">
      <w:start w:val="1"/>
      <w:numFmt w:val="lowerLetter"/>
      <w:lvlText w:val="%3."/>
      <w:lvlJc w:val="lef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87F99"/>
    <w:multiLevelType w:val="hybridMultilevel"/>
    <w:tmpl w:val="D99266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B42BF"/>
    <w:multiLevelType w:val="hybridMultilevel"/>
    <w:tmpl w:val="27C892DC"/>
    <w:lvl w:ilvl="0" w:tplc="04090015">
      <w:start w:val="1"/>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2160"/>
        </w:tabs>
        <w:ind w:left="21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92E6CDC">
      <w:start w:val="1"/>
      <w:numFmt w:val="lowerRoman"/>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5F4F32"/>
    <w:multiLevelType w:val="hybridMultilevel"/>
    <w:tmpl w:val="38BE4A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712D4"/>
    <w:multiLevelType w:val="hybridMultilevel"/>
    <w:tmpl w:val="FB40712E"/>
    <w:lvl w:ilvl="0" w:tplc="04090019">
      <w:start w:val="1"/>
      <w:numFmt w:val="lowerLetter"/>
      <w:lvlText w:val="%1."/>
      <w:lvlJc w:val="left"/>
      <w:pPr>
        <w:ind w:left="720" w:hanging="360"/>
      </w:pPr>
    </w:lvl>
    <w:lvl w:ilvl="1" w:tplc="792E6CDC">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40B93"/>
    <w:multiLevelType w:val="hybridMultilevel"/>
    <w:tmpl w:val="6D9C86D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55A61372"/>
    <w:multiLevelType w:val="hybridMultilevel"/>
    <w:tmpl w:val="132E41A6"/>
    <w:lvl w:ilvl="0" w:tplc="04090015">
      <w:start w:val="1"/>
      <w:numFmt w:val="upperLetter"/>
      <w:lvlText w:val="%1."/>
      <w:lvlJc w:val="left"/>
      <w:pPr>
        <w:tabs>
          <w:tab w:val="num" w:pos="1260"/>
        </w:tabs>
        <w:ind w:left="1260" w:hanging="360"/>
      </w:pPr>
      <w:rPr>
        <w:rFonts w:hint="default"/>
      </w:rPr>
    </w:lvl>
    <w:lvl w:ilvl="1" w:tplc="04090017">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CD3053"/>
    <w:multiLevelType w:val="hybridMultilevel"/>
    <w:tmpl w:val="25EAC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B1C35"/>
    <w:multiLevelType w:val="hybridMultilevel"/>
    <w:tmpl w:val="3788A7C4"/>
    <w:lvl w:ilvl="0" w:tplc="8C32BBEA">
      <w:start w:val="1"/>
      <w:numFmt w:val="upperLetter"/>
      <w:lvlText w:val="%1."/>
      <w:lvlJc w:val="left"/>
      <w:pPr>
        <w:tabs>
          <w:tab w:val="num" w:pos="1260"/>
        </w:tabs>
        <w:ind w:left="1260" w:hanging="360"/>
      </w:pPr>
      <w:rPr>
        <w:rFonts w:hint="default"/>
        <w:b w:val="0"/>
        <w:i w:val="0"/>
      </w:rPr>
    </w:lvl>
    <w:lvl w:ilvl="1" w:tplc="925086CA">
      <w:start w:val="1"/>
      <w:numFmt w:val="decimal"/>
      <w:lvlText w:val="%2."/>
      <w:lvlJc w:val="left"/>
      <w:pPr>
        <w:tabs>
          <w:tab w:val="num" w:pos="2160"/>
        </w:tabs>
        <w:ind w:left="2160" w:hanging="360"/>
      </w:pPr>
      <w:rPr>
        <w:b w:val="0"/>
        <w:i w:val="0"/>
      </w:rPr>
    </w:lvl>
    <w:lvl w:ilvl="2" w:tplc="F32C8D68">
      <w:start w:val="1"/>
      <w:numFmt w:val="lowerLetter"/>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601877"/>
    <w:multiLevelType w:val="hybridMultilevel"/>
    <w:tmpl w:val="964AFDB2"/>
    <w:lvl w:ilvl="0" w:tplc="04090015">
      <w:start w:val="1"/>
      <w:numFmt w:val="upperLetter"/>
      <w:lvlText w:val="%1."/>
      <w:lvlJc w:val="left"/>
      <w:pPr>
        <w:tabs>
          <w:tab w:val="num" w:pos="1620"/>
        </w:tabs>
        <w:ind w:left="1620" w:hanging="360"/>
      </w:pPr>
      <w:rPr>
        <w:rFonts w:hint="default"/>
      </w:rPr>
    </w:lvl>
    <w:lvl w:ilvl="1" w:tplc="0409000F">
      <w:start w:val="1"/>
      <w:numFmt w:val="decimal"/>
      <w:lvlText w:val="%2."/>
      <w:lvlJc w:val="left"/>
      <w:pPr>
        <w:tabs>
          <w:tab w:val="num" w:pos="2520"/>
        </w:tabs>
        <w:ind w:left="2520" w:hanging="360"/>
      </w:pPr>
    </w:lvl>
    <w:lvl w:ilvl="2" w:tplc="792E6CDC">
      <w:start w:val="1"/>
      <w:numFmt w:val="lowerRoman"/>
      <w:lvlText w:val="%3."/>
      <w:lvlJc w:val="left"/>
      <w:pPr>
        <w:tabs>
          <w:tab w:val="num" w:pos="2520"/>
        </w:tabs>
        <w:ind w:left="2520" w:hanging="180"/>
      </w:pPr>
      <w:rPr>
        <w:rFonts w:hint="default"/>
      </w:rPr>
    </w:lvl>
    <w:lvl w:ilvl="3" w:tplc="0409000F">
      <w:start w:val="1"/>
      <w:numFmt w:val="decimal"/>
      <w:lvlText w:val="%4."/>
      <w:lvlJc w:val="left"/>
      <w:pPr>
        <w:tabs>
          <w:tab w:val="num" w:pos="3240"/>
        </w:tabs>
        <w:ind w:left="3240" w:hanging="360"/>
      </w:pPr>
    </w:lvl>
    <w:lvl w:ilvl="4" w:tplc="792E6CDC">
      <w:start w:val="1"/>
      <w:numFmt w:val="lowerRoman"/>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734027"/>
    <w:multiLevelType w:val="hybridMultilevel"/>
    <w:tmpl w:val="C534F6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601E"/>
    <w:multiLevelType w:val="hybridMultilevel"/>
    <w:tmpl w:val="6AB40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067E83"/>
    <w:multiLevelType w:val="hybridMultilevel"/>
    <w:tmpl w:val="83946AEE"/>
    <w:lvl w:ilvl="0" w:tplc="B150FFD8">
      <w:start w:val="1"/>
      <w:numFmt w:val="bullet"/>
      <w:lvlText w:val=""/>
      <w:lvlJc w:val="left"/>
      <w:pPr>
        <w:ind w:left="720" w:hanging="360"/>
      </w:pPr>
      <w:rPr>
        <w:rFonts w:ascii="Symbol" w:hAnsi="Symbol"/>
      </w:rPr>
    </w:lvl>
    <w:lvl w:ilvl="1" w:tplc="C42A3C46">
      <w:start w:val="1"/>
      <w:numFmt w:val="bullet"/>
      <w:lvlText w:val=""/>
      <w:lvlJc w:val="left"/>
      <w:pPr>
        <w:ind w:left="720" w:hanging="360"/>
      </w:pPr>
      <w:rPr>
        <w:rFonts w:ascii="Symbol" w:hAnsi="Symbol"/>
      </w:rPr>
    </w:lvl>
    <w:lvl w:ilvl="2" w:tplc="A16046F2">
      <w:start w:val="1"/>
      <w:numFmt w:val="bullet"/>
      <w:lvlText w:val=""/>
      <w:lvlJc w:val="left"/>
      <w:pPr>
        <w:ind w:left="720" w:hanging="360"/>
      </w:pPr>
      <w:rPr>
        <w:rFonts w:ascii="Symbol" w:hAnsi="Symbol"/>
      </w:rPr>
    </w:lvl>
    <w:lvl w:ilvl="3" w:tplc="3E48CA0A">
      <w:start w:val="1"/>
      <w:numFmt w:val="bullet"/>
      <w:lvlText w:val=""/>
      <w:lvlJc w:val="left"/>
      <w:pPr>
        <w:ind w:left="720" w:hanging="360"/>
      </w:pPr>
      <w:rPr>
        <w:rFonts w:ascii="Symbol" w:hAnsi="Symbol"/>
      </w:rPr>
    </w:lvl>
    <w:lvl w:ilvl="4" w:tplc="6632F13E">
      <w:start w:val="1"/>
      <w:numFmt w:val="bullet"/>
      <w:lvlText w:val=""/>
      <w:lvlJc w:val="left"/>
      <w:pPr>
        <w:ind w:left="720" w:hanging="360"/>
      </w:pPr>
      <w:rPr>
        <w:rFonts w:ascii="Symbol" w:hAnsi="Symbol"/>
      </w:rPr>
    </w:lvl>
    <w:lvl w:ilvl="5" w:tplc="81784FAC">
      <w:start w:val="1"/>
      <w:numFmt w:val="bullet"/>
      <w:lvlText w:val=""/>
      <w:lvlJc w:val="left"/>
      <w:pPr>
        <w:ind w:left="720" w:hanging="360"/>
      </w:pPr>
      <w:rPr>
        <w:rFonts w:ascii="Symbol" w:hAnsi="Symbol"/>
      </w:rPr>
    </w:lvl>
    <w:lvl w:ilvl="6" w:tplc="F9CE171C">
      <w:start w:val="1"/>
      <w:numFmt w:val="bullet"/>
      <w:lvlText w:val=""/>
      <w:lvlJc w:val="left"/>
      <w:pPr>
        <w:ind w:left="720" w:hanging="360"/>
      </w:pPr>
      <w:rPr>
        <w:rFonts w:ascii="Symbol" w:hAnsi="Symbol"/>
      </w:rPr>
    </w:lvl>
    <w:lvl w:ilvl="7" w:tplc="CB727948">
      <w:start w:val="1"/>
      <w:numFmt w:val="bullet"/>
      <w:lvlText w:val=""/>
      <w:lvlJc w:val="left"/>
      <w:pPr>
        <w:ind w:left="720" w:hanging="360"/>
      </w:pPr>
      <w:rPr>
        <w:rFonts w:ascii="Symbol" w:hAnsi="Symbol"/>
      </w:rPr>
    </w:lvl>
    <w:lvl w:ilvl="8" w:tplc="40706F80">
      <w:start w:val="1"/>
      <w:numFmt w:val="bullet"/>
      <w:lvlText w:val=""/>
      <w:lvlJc w:val="left"/>
      <w:pPr>
        <w:ind w:left="720" w:hanging="360"/>
      </w:pPr>
      <w:rPr>
        <w:rFonts w:ascii="Symbol" w:hAnsi="Symbol"/>
      </w:rPr>
    </w:lvl>
  </w:abstractNum>
  <w:abstractNum w:abstractNumId="35" w15:restartNumberingAfterBreak="0">
    <w:nsid w:val="63BA3108"/>
    <w:multiLevelType w:val="hybridMultilevel"/>
    <w:tmpl w:val="637AC296"/>
    <w:lvl w:ilvl="0" w:tplc="0409000F">
      <w:start w:val="1"/>
      <w:numFmt w:val="decimal"/>
      <w:lvlText w:val="%1."/>
      <w:lvlJc w:val="left"/>
      <w:pPr>
        <w:tabs>
          <w:tab w:val="num" w:pos="2520"/>
        </w:tabs>
        <w:ind w:left="25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3F71AA"/>
    <w:multiLevelType w:val="hybridMultilevel"/>
    <w:tmpl w:val="6BC85110"/>
    <w:lvl w:ilvl="0" w:tplc="04090015">
      <w:start w:val="1"/>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2160"/>
        </w:tabs>
        <w:ind w:left="21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92E6CDC">
      <w:start w:val="1"/>
      <w:numFmt w:val="lowerRoman"/>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C0702F"/>
    <w:multiLevelType w:val="hybridMultilevel"/>
    <w:tmpl w:val="F6B4E48E"/>
    <w:lvl w:ilvl="0" w:tplc="BE8E03FA">
      <w:start w:val="1"/>
      <w:numFmt w:val="bullet"/>
      <w:lvlText w:val=""/>
      <w:lvlJc w:val="left"/>
      <w:pPr>
        <w:ind w:left="720" w:hanging="360"/>
      </w:pPr>
      <w:rPr>
        <w:rFonts w:ascii="Symbol" w:hAnsi="Symbol"/>
      </w:rPr>
    </w:lvl>
    <w:lvl w:ilvl="1" w:tplc="E8EE857A">
      <w:start w:val="1"/>
      <w:numFmt w:val="bullet"/>
      <w:lvlText w:val=""/>
      <w:lvlJc w:val="left"/>
      <w:pPr>
        <w:ind w:left="720" w:hanging="360"/>
      </w:pPr>
      <w:rPr>
        <w:rFonts w:ascii="Symbol" w:hAnsi="Symbol"/>
      </w:rPr>
    </w:lvl>
    <w:lvl w:ilvl="2" w:tplc="246A41F8">
      <w:start w:val="1"/>
      <w:numFmt w:val="bullet"/>
      <w:lvlText w:val=""/>
      <w:lvlJc w:val="left"/>
      <w:pPr>
        <w:ind w:left="720" w:hanging="360"/>
      </w:pPr>
      <w:rPr>
        <w:rFonts w:ascii="Symbol" w:hAnsi="Symbol"/>
      </w:rPr>
    </w:lvl>
    <w:lvl w:ilvl="3" w:tplc="4C28FDEA">
      <w:start w:val="1"/>
      <w:numFmt w:val="bullet"/>
      <w:lvlText w:val=""/>
      <w:lvlJc w:val="left"/>
      <w:pPr>
        <w:ind w:left="720" w:hanging="360"/>
      </w:pPr>
      <w:rPr>
        <w:rFonts w:ascii="Symbol" w:hAnsi="Symbol"/>
      </w:rPr>
    </w:lvl>
    <w:lvl w:ilvl="4" w:tplc="B3402E06">
      <w:start w:val="1"/>
      <w:numFmt w:val="bullet"/>
      <w:lvlText w:val=""/>
      <w:lvlJc w:val="left"/>
      <w:pPr>
        <w:ind w:left="720" w:hanging="360"/>
      </w:pPr>
      <w:rPr>
        <w:rFonts w:ascii="Symbol" w:hAnsi="Symbol"/>
      </w:rPr>
    </w:lvl>
    <w:lvl w:ilvl="5" w:tplc="FB9662BA">
      <w:start w:val="1"/>
      <w:numFmt w:val="bullet"/>
      <w:lvlText w:val=""/>
      <w:lvlJc w:val="left"/>
      <w:pPr>
        <w:ind w:left="720" w:hanging="360"/>
      </w:pPr>
      <w:rPr>
        <w:rFonts w:ascii="Symbol" w:hAnsi="Symbol"/>
      </w:rPr>
    </w:lvl>
    <w:lvl w:ilvl="6" w:tplc="F898A668">
      <w:start w:val="1"/>
      <w:numFmt w:val="bullet"/>
      <w:lvlText w:val=""/>
      <w:lvlJc w:val="left"/>
      <w:pPr>
        <w:ind w:left="720" w:hanging="360"/>
      </w:pPr>
      <w:rPr>
        <w:rFonts w:ascii="Symbol" w:hAnsi="Symbol"/>
      </w:rPr>
    </w:lvl>
    <w:lvl w:ilvl="7" w:tplc="72C69AFA">
      <w:start w:val="1"/>
      <w:numFmt w:val="bullet"/>
      <w:lvlText w:val=""/>
      <w:lvlJc w:val="left"/>
      <w:pPr>
        <w:ind w:left="720" w:hanging="360"/>
      </w:pPr>
      <w:rPr>
        <w:rFonts w:ascii="Symbol" w:hAnsi="Symbol"/>
      </w:rPr>
    </w:lvl>
    <w:lvl w:ilvl="8" w:tplc="0F186A9E">
      <w:start w:val="1"/>
      <w:numFmt w:val="bullet"/>
      <w:lvlText w:val=""/>
      <w:lvlJc w:val="left"/>
      <w:pPr>
        <w:ind w:left="720" w:hanging="360"/>
      </w:pPr>
      <w:rPr>
        <w:rFonts w:ascii="Symbol" w:hAnsi="Symbol"/>
      </w:rPr>
    </w:lvl>
  </w:abstractNum>
  <w:abstractNum w:abstractNumId="38" w15:restartNumberingAfterBreak="0">
    <w:nsid w:val="71923B4C"/>
    <w:multiLevelType w:val="hybridMultilevel"/>
    <w:tmpl w:val="0C14C502"/>
    <w:lvl w:ilvl="0" w:tplc="0409000F">
      <w:start w:val="1"/>
      <w:numFmt w:val="decimal"/>
      <w:lvlText w:val="%1."/>
      <w:lvlJc w:val="left"/>
      <w:pPr>
        <w:tabs>
          <w:tab w:val="num" w:pos="1260"/>
        </w:tabs>
        <w:ind w:left="1260" w:hanging="360"/>
      </w:pPr>
      <w:rPr>
        <w:rFonts w:hint="default"/>
      </w:rPr>
    </w:lvl>
    <w:lvl w:ilvl="1" w:tplc="0409000F">
      <w:start w:val="1"/>
      <w:numFmt w:val="decimal"/>
      <w:lvlText w:val="%2."/>
      <w:lvlJc w:val="left"/>
      <w:pPr>
        <w:tabs>
          <w:tab w:val="num" w:pos="2160"/>
        </w:tabs>
        <w:ind w:left="21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1A3607"/>
    <w:multiLevelType w:val="multilevel"/>
    <w:tmpl w:val="CD1E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3F494A"/>
    <w:multiLevelType w:val="hybridMultilevel"/>
    <w:tmpl w:val="E4DC8CC6"/>
    <w:lvl w:ilvl="0" w:tplc="04090015">
      <w:start w:val="1"/>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2160"/>
        </w:tabs>
        <w:ind w:left="21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7">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CB2F8E"/>
    <w:multiLevelType w:val="hybridMultilevel"/>
    <w:tmpl w:val="885EDFAA"/>
    <w:lvl w:ilvl="0" w:tplc="84F09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4D0B24"/>
    <w:multiLevelType w:val="hybridMultilevel"/>
    <w:tmpl w:val="6A048180"/>
    <w:lvl w:ilvl="0" w:tplc="04090015">
      <w:start w:val="1"/>
      <w:numFmt w:val="upperLetter"/>
      <w:lvlText w:val="%1."/>
      <w:lvlJc w:val="left"/>
      <w:pPr>
        <w:tabs>
          <w:tab w:val="num" w:pos="1620"/>
        </w:tabs>
        <w:ind w:left="1620" w:hanging="360"/>
      </w:pPr>
      <w:rPr>
        <w:rFonts w:hint="default"/>
      </w:rPr>
    </w:lvl>
    <w:lvl w:ilvl="1" w:tplc="0409000F">
      <w:start w:val="1"/>
      <w:numFmt w:val="decimal"/>
      <w:lvlText w:val="%2."/>
      <w:lvlJc w:val="left"/>
      <w:pPr>
        <w:tabs>
          <w:tab w:val="num" w:pos="2520"/>
        </w:tabs>
        <w:ind w:left="2520" w:hanging="360"/>
      </w:pPr>
    </w:lvl>
    <w:lvl w:ilvl="2" w:tplc="792E6CDC">
      <w:start w:val="1"/>
      <w:numFmt w:val="lowerRoman"/>
      <w:lvlText w:val="%3."/>
      <w:lvlJc w:val="left"/>
      <w:pPr>
        <w:tabs>
          <w:tab w:val="num" w:pos="2520"/>
        </w:tabs>
        <w:ind w:left="2520" w:hanging="18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ED0407C"/>
    <w:multiLevelType w:val="hybridMultilevel"/>
    <w:tmpl w:val="4BAEE4A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39468501">
    <w:abstractNumId w:val="6"/>
  </w:num>
  <w:num w:numId="2" w16cid:durableId="632833298">
    <w:abstractNumId w:val="36"/>
  </w:num>
  <w:num w:numId="3" w16cid:durableId="1417634771">
    <w:abstractNumId w:val="12"/>
  </w:num>
  <w:num w:numId="4" w16cid:durableId="1020399333">
    <w:abstractNumId w:val="16"/>
  </w:num>
  <w:num w:numId="5" w16cid:durableId="759371846">
    <w:abstractNumId w:val="42"/>
  </w:num>
  <w:num w:numId="6" w16cid:durableId="283078893">
    <w:abstractNumId w:val="2"/>
  </w:num>
  <w:num w:numId="7" w16cid:durableId="493574905">
    <w:abstractNumId w:val="15"/>
  </w:num>
  <w:num w:numId="8" w16cid:durableId="1712535253">
    <w:abstractNumId w:val="30"/>
  </w:num>
  <w:num w:numId="9" w16cid:durableId="62027224">
    <w:abstractNumId w:val="0"/>
  </w:num>
  <w:num w:numId="10" w16cid:durableId="803232988">
    <w:abstractNumId w:val="29"/>
  </w:num>
  <w:num w:numId="11" w16cid:durableId="1904102234">
    <w:abstractNumId w:val="14"/>
  </w:num>
  <w:num w:numId="12" w16cid:durableId="1675109115">
    <w:abstractNumId w:val="17"/>
  </w:num>
  <w:num w:numId="13" w16cid:durableId="978262079">
    <w:abstractNumId w:val="25"/>
  </w:num>
  <w:num w:numId="14" w16cid:durableId="1900164096">
    <w:abstractNumId w:val="19"/>
  </w:num>
  <w:num w:numId="15" w16cid:durableId="1929265388">
    <w:abstractNumId w:val="43"/>
  </w:num>
  <w:num w:numId="16" w16cid:durableId="1095127809">
    <w:abstractNumId w:val="28"/>
  </w:num>
  <w:num w:numId="17" w16cid:durableId="1500387591">
    <w:abstractNumId w:val="4"/>
  </w:num>
  <w:num w:numId="18" w16cid:durableId="1383210524">
    <w:abstractNumId w:val="35"/>
  </w:num>
  <w:num w:numId="19" w16cid:durableId="595987375">
    <w:abstractNumId w:val="18"/>
  </w:num>
  <w:num w:numId="20" w16cid:durableId="1253859748">
    <w:abstractNumId w:val="11"/>
  </w:num>
  <w:num w:numId="21" w16cid:durableId="1034690156">
    <w:abstractNumId w:val="10"/>
  </w:num>
  <w:num w:numId="22" w16cid:durableId="20397022">
    <w:abstractNumId w:val="31"/>
  </w:num>
  <w:num w:numId="23" w16cid:durableId="1631587472">
    <w:abstractNumId w:val="27"/>
  </w:num>
  <w:num w:numId="24" w16cid:durableId="1177840856">
    <w:abstractNumId w:val="1"/>
  </w:num>
  <w:num w:numId="25" w16cid:durableId="759064817">
    <w:abstractNumId w:val="7"/>
  </w:num>
  <w:num w:numId="26" w16cid:durableId="395780715">
    <w:abstractNumId w:val="3"/>
  </w:num>
  <w:num w:numId="27" w16cid:durableId="264072812">
    <w:abstractNumId w:val="26"/>
  </w:num>
  <w:num w:numId="28" w16cid:durableId="1926957692">
    <w:abstractNumId w:val="21"/>
  </w:num>
  <w:num w:numId="29" w16cid:durableId="1112211830">
    <w:abstractNumId w:val="22"/>
  </w:num>
  <w:num w:numId="30" w16cid:durableId="278150050">
    <w:abstractNumId w:val="24"/>
  </w:num>
  <w:num w:numId="31" w16cid:durableId="1882088197">
    <w:abstractNumId w:val="40"/>
  </w:num>
  <w:num w:numId="32" w16cid:durableId="1030377088">
    <w:abstractNumId w:val="38"/>
  </w:num>
  <w:num w:numId="33" w16cid:durableId="943808230">
    <w:abstractNumId w:val="39"/>
    <w:lvlOverride w:ilvl="0">
      <w:startOverride w:val="1"/>
    </w:lvlOverride>
  </w:num>
  <w:num w:numId="34" w16cid:durableId="1046370238">
    <w:abstractNumId w:val="13"/>
  </w:num>
  <w:num w:numId="35" w16cid:durableId="1225799612">
    <w:abstractNumId w:val="32"/>
  </w:num>
  <w:num w:numId="36" w16cid:durableId="1045913467">
    <w:abstractNumId w:val="23"/>
  </w:num>
  <w:num w:numId="37" w16cid:durableId="709959808">
    <w:abstractNumId w:val="5"/>
  </w:num>
  <w:num w:numId="38" w16cid:durableId="590167399">
    <w:abstractNumId w:val="33"/>
  </w:num>
  <w:num w:numId="39" w16cid:durableId="1687898961">
    <w:abstractNumId w:val="8"/>
  </w:num>
  <w:num w:numId="40" w16cid:durableId="1361711212">
    <w:abstractNumId w:val="41"/>
  </w:num>
  <w:num w:numId="41" w16cid:durableId="1614049774">
    <w:abstractNumId w:val="9"/>
  </w:num>
  <w:num w:numId="42" w16cid:durableId="206184492">
    <w:abstractNumId w:val="34"/>
  </w:num>
  <w:num w:numId="43" w16cid:durableId="1240361240">
    <w:abstractNumId w:val="37"/>
  </w:num>
  <w:num w:numId="44" w16cid:durableId="4932256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DC"/>
    <w:rsid w:val="00003440"/>
    <w:rsid w:val="00004CC1"/>
    <w:rsid w:val="000101A7"/>
    <w:rsid w:val="000123F4"/>
    <w:rsid w:val="00013C1F"/>
    <w:rsid w:val="000164C4"/>
    <w:rsid w:val="00027A68"/>
    <w:rsid w:val="00033C0E"/>
    <w:rsid w:val="000378E5"/>
    <w:rsid w:val="00037C20"/>
    <w:rsid w:val="00037C4C"/>
    <w:rsid w:val="00053776"/>
    <w:rsid w:val="00057F92"/>
    <w:rsid w:val="0006358B"/>
    <w:rsid w:val="00064D5E"/>
    <w:rsid w:val="00066131"/>
    <w:rsid w:val="000677F8"/>
    <w:rsid w:val="0007088E"/>
    <w:rsid w:val="00075854"/>
    <w:rsid w:val="00084F0F"/>
    <w:rsid w:val="00085040"/>
    <w:rsid w:val="00085561"/>
    <w:rsid w:val="00092BFE"/>
    <w:rsid w:val="000A05FA"/>
    <w:rsid w:val="000A546F"/>
    <w:rsid w:val="000A65DC"/>
    <w:rsid w:val="000B2F61"/>
    <w:rsid w:val="000C672E"/>
    <w:rsid w:val="000D04D3"/>
    <w:rsid w:val="000D20C5"/>
    <w:rsid w:val="000E5070"/>
    <w:rsid w:val="000F1463"/>
    <w:rsid w:val="000F3C89"/>
    <w:rsid w:val="000F6555"/>
    <w:rsid w:val="001001F5"/>
    <w:rsid w:val="0010688A"/>
    <w:rsid w:val="001125B4"/>
    <w:rsid w:val="00113047"/>
    <w:rsid w:val="00125DC2"/>
    <w:rsid w:val="001278AE"/>
    <w:rsid w:val="00131852"/>
    <w:rsid w:val="0013202A"/>
    <w:rsid w:val="00133790"/>
    <w:rsid w:val="00135BE4"/>
    <w:rsid w:val="0013622C"/>
    <w:rsid w:val="0013628F"/>
    <w:rsid w:val="00137146"/>
    <w:rsid w:val="0013750A"/>
    <w:rsid w:val="00137578"/>
    <w:rsid w:val="00146F6A"/>
    <w:rsid w:val="001663E7"/>
    <w:rsid w:val="00172C6C"/>
    <w:rsid w:val="00176469"/>
    <w:rsid w:val="00187155"/>
    <w:rsid w:val="001A0508"/>
    <w:rsid w:val="001B0825"/>
    <w:rsid w:val="001B2065"/>
    <w:rsid w:val="001C0DAB"/>
    <w:rsid w:val="001C783F"/>
    <w:rsid w:val="001D5E70"/>
    <w:rsid w:val="001E33FF"/>
    <w:rsid w:val="001E4D88"/>
    <w:rsid w:val="001F5F4A"/>
    <w:rsid w:val="001F6060"/>
    <w:rsid w:val="00200ED2"/>
    <w:rsid w:val="002028C5"/>
    <w:rsid w:val="00204BBD"/>
    <w:rsid w:val="00210763"/>
    <w:rsid w:val="00216EE1"/>
    <w:rsid w:val="0021744B"/>
    <w:rsid w:val="00224DF6"/>
    <w:rsid w:val="00225AA2"/>
    <w:rsid w:val="00237917"/>
    <w:rsid w:val="00242B30"/>
    <w:rsid w:val="00255B38"/>
    <w:rsid w:val="00264B3F"/>
    <w:rsid w:val="002739A6"/>
    <w:rsid w:val="0027494D"/>
    <w:rsid w:val="00280E95"/>
    <w:rsid w:val="00284BDF"/>
    <w:rsid w:val="002854D5"/>
    <w:rsid w:val="002919AD"/>
    <w:rsid w:val="00292260"/>
    <w:rsid w:val="00297918"/>
    <w:rsid w:val="002B00B0"/>
    <w:rsid w:val="002B1C60"/>
    <w:rsid w:val="002B24AB"/>
    <w:rsid w:val="002B5587"/>
    <w:rsid w:val="002C1DA4"/>
    <w:rsid w:val="002C20FD"/>
    <w:rsid w:val="002C68C7"/>
    <w:rsid w:val="002D4584"/>
    <w:rsid w:val="002D6F61"/>
    <w:rsid w:val="002D708F"/>
    <w:rsid w:val="002F2075"/>
    <w:rsid w:val="002F4F0A"/>
    <w:rsid w:val="00313E20"/>
    <w:rsid w:val="00314E9C"/>
    <w:rsid w:val="003204C4"/>
    <w:rsid w:val="00333B7B"/>
    <w:rsid w:val="003361FC"/>
    <w:rsid w:val="00336570"/>
    <w:rsid w:val="00342255"/>
    <w:rsid w:val="00342F8B"/>
    <w:rsid w:val="003515A7"/>
    <w:rsid w:val="003552CD"/>
    <w:rsid w:val="00362A3E"/>
    <w:rsid w:val="00363A2C"/>
    <w:rsid w:val="003714B5"/>
    <w:rsid w:val="00377658"/>
    <w:rsid w:val="0038123A"/>
    <w:rsid w:val="003830DA"/>
    <w:rsid w:val="00387647"/>
    <w:rsid w:val="00397BED"/>
    <w:rsid w:val="00397FB3"/>
    <w:rsid w:val="003A4CCB"/>
    <w:rsid w:val="003A6525"/>
    <w:rsid w:val="003B391B"/>
    <w:rsid w:val="003C19B2"/>
    <w:rsid w:val="003E18AB"/>
    <w:rsid w:val="003E55BD"/>
    <w:rsid w:val="003F2F99"/>
    <w:rsid w:val="003F452B"/>
    <w:rsid w:val="003F7D04"/>
    <w:rsid w:val="00401F57"/>
    <w:rsid w:val="0040495E"/>
    <w:rsid w:val="00406C88"/>
    <w:rsid w:val="004077C3"/>
    <w:rsid w:val="0041180C"/>
    <w:rsid w:val="00413B5A"/>
    <w:rsid w:val="004237AD"/>
    <w:rsid w:val="00423C8A"/>
    <w:rsid w:val="004308F3"/>
    <w:rsid w:val="004356F1"/>
    <w:rsid w:val="00437285"/>
    <w:rsid w:val="004517CD"/>
    <w:rsid w:val="00462670"/>
    <w:rsid w:val="00470982"/>
    <w:rsid w:val="00471E95"/>
    <w:rsid w:val="00473C35"/>
    <w:rsid w:val="004801F7"/>
    <w:rsid w:val="00486AA0"/>
    <w:rsid w:val="004A260F"/>
    <w:rsid w:val="004B5B01"/>
    <w:rsid w:val="004B6C9F"/>
    <w:rsid w:val="004C43C1"/>
    <w:rsid w:val="004C4733"/>
    <w:rsid w:val="004C6750"/>
    <w:rsid w:val="004D270C"/>
    <w:rsid w:val="004D32F2"/>
    <w:rsid w:val="004D32F4"/>
    <w:rsid w:val="004D79C7"/>
    <w:rsid w:val="004E149D"/>
    <w:rsid w:val="004E7980"/>
    <w:rsid w:val="004F178B"/>
    <w:rsid w:val="004F6F91"/>
    <w:rsid w:val="004F7E9A"/>
    <w:rsid w:val="00502E3E"/>
    <w:rsid w:val="00503A2E"/>
    <w:rsid w:val="005059F6"/>
    <w:rsid w:val="00512B14"/>
    <w:rsid w:val="005228C8"/>
    <w:rsid w:val="0052435B"/>
    <w:rsid w:val="00526BEA"/>
    <w:rsid w:val="00532656"/>
    <w:rsid w:val="0053662E"/>
    <w:rsid w:val="0054016F"/>
    <w:rsid w:val="00543A3C"/>
    <w:rsid w:val="00546122"/>
    <w:rsid w:val="00562382"/>
    <w:rsid w:val="00566295"/>
    <w:rsid w:val="00566433"/>
    <w:rsid w:val="00575C6C"/>
    <w:rsid w:val="005768DE"/>
    <w:rsid w:val="0057711F"/>
    <w:rsid w:val="005923A9"/>
    <w:rsid w:val="00595B54"/>
    <w:rsid w:val="005978D8"/>
    <w:rsid w:val="005A0C0C"/>
    <w:rsid w:val="005B3F3F"/>
    <w:rsid w:val="005C00FB"/>
    <w:rsid w:val="005C5B8C"/>
    <w:rsid w:val="005C645E"/>
    <w:rsid w:val="005D0452"/>
    <w:rsid w:val="005D19B8"/>
    <w:rsid w:val="005D4374"/>
    <w:rsid w:val="005D681A"/>
    <w:rsid w:val="005E1D6B"/>
    <w:rsid w:val="005F23CC"/>
    <w:rsid w:val="00600632"/>
    <w:rsid w:val="00624C1F"/>
    <w:rsid w:val="00630203"/>
    <w:rsid w:val="0064169F"/>
    <w:rsid w:val="00643659"/>
    <w:rsid w:val="00645DD7"/>
    <w:rsid w:val="00645E24"/>
    <w:rsid w:val="006503FF"/>
    <w:rsid w:val="00651BAA"/>
    <w:rsid w:val="00655026"/>
    <w:rsid w:val="006572B3"/>
    <w:rsid w:val="00670DE7"/>
    <w:rsid w:val="00676AD2"/>
    <w:rsid w:val="006779AB"/>
    <w:rsid w:val="0068447F"/>
    <w:rsid w:val="006957B7"/>
    <w:rsid w:val="00695B9E"/>
    <w:rsid w:val="006965D3"/>
    <w:rsid w:val="006A4F78"/>
    <w:rsid w:val="006A614F"/>
    <w:rsid w:val="006B3265"/>
    <w:rsid w:val="006B3EB6"/>
    <w:rsid w:val="006B717C"/>
    <w:rsid w:val="006C1C56"/>
    <w:rsid w:val="006C5478"/>
    <w:rsid w:val="006C7720"/>
    <w:rsid w:val="006D0C62"/>
    <w:rsid w:val="006D16C2"/>
    <w:rsid w:val="006D19A6"/>
    <w:rsid w:val="006D781B"/>
    <w:rsid w:val="006E28BB"/>
    <w:rsid w:val="006E608D"/>
    <w:rsid w:val="006E665D"/>
    <w:rsid w:val="006F0AF6"/>
    <w:rsid w:val="006F1B71"/>
    <w:rsid w:val="006F6C7F"/>
    <w:rsid w:val="007023F8"/>
    <w:rsid w:val="0071313A"/>
    <w:rsid w:val="007142B0"/>
    <w:rsid w:val="00720294"/>
    <w:rsid w:val="007209A9"/>
    <w:rsid w:val="00722094"/>
    <w:rsid w:val="0072363B"/>
    <w:rsid w:val="00726979"/>
    <w:rsid w:val="00726C7C"/>
    <w:rsid w:val="00730206"/>
    <w:rsid w:val="00730C7D"/>
    <w:rsid w:val="00731817"/>
    <w:rsid w:val="00734948"/>
    <w:rsid w:val="007363C8"/>
    <w:rsid w:val="00741CEE"/>
    <w:rsid w:val="00741DFB"/>
    <w:rsid w:val="0074294A"/>
    <w:rsid w:val="00750F22"/>
    <w:rsid w:val="00763649"/>
    <w:rsid w:val="007721FC"/>
    <w:rsid w:val="00772738"/>
    <w:rsid w:val="00775B90"/>
    <w:rsid w:val="007842DE"/>
    <w:rsid w:val="00787531"/>
    <w:rsid w:val="007B00B4"/>
    <w:rsid w:val="007B0606"/>
    <w:rsid w:val="007B0B7B"/>
    <w:rsid w:val="007B2402"/>
    <w:rsid w:val="007C485A"/>
    <w:rsid w:val="007C4D7F"/>
    <w:rsid w:val="007C6C70"/>
    <w:rsid w:val="007C6F5E"/>
    <w:rsid w:val="007E1C2C"/>
    <w:rsid w:val="007F046B"/>
    <w:rsid w:val="007F09A1"/>
    <w:rsid w:val="0080558C"/>
    <w:rsid w:val="00807ACD"/>
    <w:rsid w:val="00811A6D"/>
    <w:rsid w:val="00816CAF"/>
    <w:rsid w:val="00821359"/>
    <w:rsid w:val="00822100"/>
    <w:rsid w:val="008276EC"/>
    <w:rsid w:val="0084668A"/>
    <w:rsid w:val="0084756A"/>
    <w:rsid w:val="00850666"/>
    <w:rsid w:val="00867C32"/>
    <w:rsid w:val="008735B9"/>
    <w:rsid w:val="00873A27"/>
    <w:rsid w:val="00881739"/>
    <w:rsid w:val="0089044D"/>
    <w:rsid w:val="008A086C"/>
    <w:rsid w:val="008A1232"/>
    <w:rsid w:val="008A2988"/>
    <w:rsid w:val="008A4E3A"/>
    <w:rsid w:val="008A580F"/>
    <w:rsid w:val="008B2EEB"/>
    <w:rsid w:val="008B3CC1"/>
    <w:rsid w:val="008B3F0A"/>
    <w:rsid w:val="008B507B"/>
    <w:rsid w:val="008B7D50"/>
    <w:rsid w:val="008C0AED"/>
    <w:rsid w:val="008C2B8D"/>
    <w:rsid w:val="008C5EBC"/>
    <w:rsid w:val="008D3883"/>
    <w:rsid w:val="008E165F"/>
    <w:rsid w:val="008E1A93"/>
    <w:rsid w:val="008E2079"/>
    <w:rsid w:val="008E73CD"/>
    <w:rsid w:val="008F1F8B"/>
    <w:rsid w:val="008F4BA3"/>
    <w:rsid w:val="00903CB0"/>
    <w:rsid w:val="009218F0"/>
    <w:rsid w:val="00931FE0"/>
    <w:rsid w:val="0093210D"/>
    <w:rsid w:val="00933EF5"/>
    <w:rsid w:val="00950421"/>
    <w:rsid w:val="00951711"/>
    <w:rsid w:val="0095282A"/>
    <w:rsid w:val="00954B32"/>
    <w:rsid w:val="00955680"/>
    <w:rsid w:val="009575D4"/>
    <w:rsid w:val="00961526"/>
    <w:rsid w:val="00962CE4"/>
    <w:rsid w:val="009667F2"/>
    <w:rsid w:val="009701DD"/>
    <w:rsid w:val="00972AE5"/>
    <w:rsid w:val="009731BF"/>
    <w:rsid w:val="0097448D"/>
    <w:rsid w:val="00980BF4"/>
    <w:rsid w:val="00984907"/>
    <w:rsid w:val="009860E5"/>
    <w:rsid w:val="009863F1"/>
    <w:rsid w:val="009867B9"/>
    <w:rsid w:val="00987B01"/>
    <w:rsid w:val="009917F5"/>
    <w:rsid w:val="00993DD4"/>
    <w:rsid w:val="00994D6A"/>
    <w:rsid w:val="009B4A67"/>
    <w:rsid w:val="009C7BB4"/>
    <w:rsid w:val="009D0F8C"/>
    <w:rsid w:val="009D1A6C"/>
    <w:rsid w:val="009D1F7E"/>
    <w:rsid w:val="009E133C"/>
    <w:rsid w:val="009E4329"/>
    <w:rsid w:val="009F494D"/>
    <w:rsid w:val="009F497D"/>
    <w:rsid w:val="009F4BFB"/>
    <w:rsid w:val="009F4D98"/>
    <w:rsid w:val="00A0199B"/>
    <w:rsid w:val="00A01E16"/>
    <w:rsid w:val="00A0434C"/>
    <w:rsid w:val="00A0670F"/>
    <w:rsid w:val="00A06F1A"/>
    <w:rsid w:val="00A124D8"/>
    <w:rsid w:val="00A2367F"/>
    <w:rsid w:val="00A272AE"/>
    <w:rsid w:val="00A27352"/>
    <w:rsid w:val="00A27965"/>
    <w:rsid w:val="00A353B7"/>
    <w:rsid w:val="00A36F99"/>
    <w:rsid w:val="00A42123"/>
    <w:rsid w:val="00A4586A"/>
    <w:rsid w:val="00A544F9"/>
    <w:rsid w:val="00A605DB"/>
    <w:rsid w:val="00A61C85"/>
    <w:rsid w:val="00A63C1C"/>
    <w:rsid w:val="00A66940"/>
    <w:rsid w:val="00A71373"/>
    <w:rsid w:val="00A73CE6"/>
    <w:rsid w:val="00A77C8E"/>
    <w:rsid w:val="00A83EDB"/>
    <w:rsid w:val="00A866EF"/>
    <w:rsid w:val="00A959D9"/>
    <w:rsid w:val="00A96E45"/>
    <w:rsid w:val="00AA089B"/>
    <w:rsid w:val="00AA31B7"/>
    <w:rsid w:val="00AA4E52"/>
    <w:rsid w:val="00AA7606"/>
    <w:rsid w:val="00AB426C"/>
    <w:rsid w:val="00AC0019"/>
    <w:rsid w:val="00AE2535"/>
    <w:rsid w:val="00AF26BC"/>
    <w:rsid w:val="00B002D4"/>
    <w:rsid w:val="00B01853"/>
    <w:rsid w:val="00B0270B"/>
    <w:rsid w:val="00B04C15"/>
    <w:rsid w:val="00B111CF"/>
    <w:rsid w:val="00B12592"/>
    <w:rsid w:val="00B12E47"/>
    <w:rsid w:val="00B1556A"/>
    <w:rsid w:val="00B1573F"/>
    <w:rsid w:val="00B15CD5"/>
    <w:rsid w:val="00B16C87"/>
    <w:rsid w:val="00B25D6E"/>
    <w:rsid w:val="00B3546C"/>
    <w:rsid w:val="00B35C16"/>
    <w:rsid w:val="00B37EE8"/>
    <w:rsid w:val="00B4229C"/>
    <w:rsid w:val="00B46946"/>
    <w:rsid w:val="00B473BE"/>
    <w:rsid w:val="00B47AF2"/>
    <w:rsid w:val="00B53762"/>
    <w:rsid w:val="00B6378D"/>
    <w:rsid w:val="00B721F1"/>
    <w:rsid w:val="00B83066"/>
    <w:rsid w:val="00B8600A"/>
    <w:rsid w:val="00B91EB1"/>
    <w:rsid w:val="00B93C89"/>
    <w:rsid w:val="00BA2D58"/>
    <w:rsid w:val="00BA4421"/>
    <w:rsid w:val="00BB4B74"/>
    <w:rsid w:val="00BD54CB"/>
    <w:rsid w:val="00BD703A"/>
    <w:rsid w:val="00BD7416"/>
    <w:rsid w:val="00BE0B33"/>
    <w:rsid w:val="00BE0FD4"/>
    <w:rsid w:val="00BF48DE"/>
    <w:rsid w:val="00BF4E8B"/>
    <w:rsid w:val="00C0211E"/>
    <w:rsid w:val="00C02C33"/>
    <w:rsid w:val="00C04A9A"/>
    <w:rsid w:val="00C06B09"/>
    <w:rsid w:val="00C07D94"/>
    <w:rsid w:val="00C20117"/>
    <w:rsid w:val="00C27A9F"/>
    <w:rsid w:val="00C27ABA"/>
    <w:rsid w:val="00C56FCB"/>
    <w:rsid w:val="00C57089"/>
    <w:rsid w:val="00C5768C"/>
    <w:rsid w:val="00C66F45"/>
    <w:rsid w:val="00C71078"/>
    <w:rsid w:val="00C719E5"/>
    <w:rsid w:val="00C73B12"/>
    <w:rsid w:val="00C75909"/>
    <w:rsid w:val="00C8034E"/>
    <w:rsid w:val="00C84076"/>
    <w:rsid w:val="00C85C62"/>
    <w:rsid w:val="00C930F1"/>
    <w:rsid w:val="00CA056E"/>
    <w:rsid w:val="00CA567B"/>
    <w:rsid w:val="00CB246D"/>
    <w:rsid w:val="00CB3AAB"/>
    <w:rsid w:val="00CC1275"/>
    <w:rsid w:val="00CC47F4"/>
    <w:rsid w:val="00CC512E"/>
    <w:rsid w:val="00CC719B"/>
    <w:rsid w:val="00CD3D32"/>
    <w:rsid w:val="00CF0AB6"/>
    <w:rsid w:val="00D00369"/>
    <w:rsid w:val="00D0621C"/>
    <w:rsid w:val="00D1442E"/>
    <w:rsid w:val="00D15B55"/>
    <w:rsid w:val="00D162AC"/>
    <w:rsid w:val="00D214BC"/>
    <w:rsid w:val="00D24B33"/>
    <w:rsid w:val="00D25A13"/>
    <w:rsid w:val="00D27845"/>
    <w:rsid w:val="00D311E6"/>
    <w:rsid w:val="00D36CBA"/>
    <w:rsid w:val="00D46EFA"/>
    <w:rsid w:val="00D50C96"/>
    <w:rsid w:val="00D54825"/>
    <w:rsid w:val="00D5670B"/>
    <w:rsid w:val="00D6002E"/>
    <w:rsid w:val="00D60A7F"/>
    <w:rsid w:val="00D610BF"/>
    <w:rsid w:val="00D65C87"/>
    <w:rsid w:val="00D70522"/>
    <w:rsid w:val="00D77DB3"/>
    <w:rsid w:val="00D826D7"/>
    <w:rsid w:val="00D87CAE"/>
    <w:rsid w:val="00D90F23"/>
    <w:rsid w:val="00D91DE2"/>
    <w:rsid w:val="00D9476A"/>
    <w:rsid w:val="00DA1351"/>
    <w:rsid w:val="00DA55E2"/>
    <w:rsid w:val="00DB4A19"/>
    <w:rsid w:val="00DC1EA0"/>
    <w:rsid w:val="00DD5C48"/>
    <w:rsid w:val="00DE2177"/>
    <w:rsid w:val="00DE29E6"/>
    <w:rsid w:val="00DE30CB"/>
    <w:rsid w:val="00DE33B3"/>
    <w:rsid w:val="00DE4D82"/>
    <w:rsid w:val="00DF30B9"/>
    <w:rsid w:val="00DF5C69"/>
    <w:rsid w:val="00DF7AD7"/>
    <w:rsid w:val="00DF7F3D"/>
    <w:rsid w:val="00E015A7"/>
    <w:rsid w:val="00E13AFB"/>
    <w:rsid w:val="00E22BFC"/>
    <w:rsid w:val="00E322C9"/>
    <w:rsid w:val="00E353C8"/>
    <w:rsid w:val="00E41921"/>
    <w:rsid w:val="00E42B68"/>
    <w:rsid w:val="00E42BC6"/>
    <w:rsid w:val="00E434D7"/>
    <w:rsid w:val="00E463AC"/>
    <w:rsid w:val="00E4743B"/>
    <w:rsid w:val="00E52385"/>
    <w:rsid w:val="00E753EA"/>
    <w:rsid w:val="00E94362"/>
    <w:rsid w:val="00E94881"/>
    <w:rsid w:val="00E958FF"/>
    <w:rsid w:val="00E96FD5"/>
    <w:rsid w:val="00EA0679"/>
    <w:rsid w:val="00EA7046"/>
    <w:rsid w:val="00EB2A51"/>
    <w:rsid w:val="00EB32DD"/>
    <w:rsid w:val="00EB5624"/>
    <w:rsid w:val="00EC5D87"/>
    <w:rsid w:val="00ED16C8"/>
    <w:rsid w:val="00ED400F"/>
    <w:rsid w:val="00ED4D17"/>
    <w:rsid w:val="00ED51C7"/>
    <w:rsid w:val="00ED5FFD"/>
    <w:rsid w:val="00ED71D6"/>
    <w:rsid w:val="00EE22D2"/>
    <w:rsid w:val="00EE3BBD"/>
    <w:rsid w:val="00EF3FCE"/>
    <w:rsid w:val="00EF5CD3"/>
    <w:rsid w:val="00EF76AA"/>
    <w:rsid w:val="00F128B1"/>
    <w:rsid w:val="00F147D1"/>
    <w:rsid w:val="00F35627"/>
    <w:rsid w:val="00F4038C"/>
    <w:rsid w:val="00F55AE5"/>
    <w:rsid w:val="00F62224"/>
    <w:rsid w:val="00F63F9B"/>
    <w:rsid w:val="00F72772"/>
    <w:rsid w:val="00F843C6"/>
    <w:rsid w:val="00F9265F"/>
    <w:rsid w:val="00FA3C4A"/>
    <w:rsid w:val="00FB52AA"/>
    <w:rsid w:val="00FC2815"/>
    <w:rsid w:val="00FC5882"/>
    <w:rsid w:val="00FD5381"/>
    <w:rsid w:val="00FD5ADB"/>
    <w:rsid w:val="00FE41D4"/>
    <w:rsid w:val="00FF1E01"/>
    <w:rsid w:val="00FF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645AC"/>
  <w15:chartTrackingRefBased/>
  <w15:docId w15:val="{FA3E176C-06DE-4DD8-8E93-C2391344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A65DC"/>
    <w:pPr>
      <w:keepNext/>
      <w:outlineLvl w:val="0"/>
    </w:pPr>
    <w:rPr>
      <w:rFonts w:eastAsia="Arial Unicode MS"/>
      <w:b/>
      <w:bCs/>
      <w:sz w:val="20"/>
      <w:szCs w:val="12"/>
    </w:rPr>
  </w:style>
  <w:style w:type="paragraph" w:styleId="Heading2">
    <w:name w:val="heading 2"/>
    <w:basedOn w:val="Normal"/>
    <w:next w:val="Normal"/>
    <w:link w:val="Heading2Char"/>
    <w:qFormat/>
    <w:rsid w:val="000A65DC"/>
    <w:pPr>
      <w:keepNext/>
      <w:outlineLvl w:val="1"/>
    </w:pPr>
    <w:rPr>
      <w:b/>
      <w:bCs/>
      <w:u w:val="single"/>
    </w:rPr>
  </w:style>
  <w:style w:type="paragraph" w:styleId="Heading3">
    <w:name w:val="heading 3"/>
    <w:basedOn w:val="Normal"/>
    <w:next w:val="Normal"/>
    <w:link w:val="Heading3Char"/>
    <w:qFormat/>
    <w:rsid w:val="000A65DC"/>
    <w:pPr>
      <w:keepNext/>
      <w:outlineLvl w:val="2"/>
    </w:pPr>
    <w:rPr>
      <w:b/>
      <w:bCs/>
    </w:rPr>
  </w:style>
  <w:style w:type="paragraph" w:styleId="Heading5">
    <w:name w:val="heading 5"/>
    <w:basedOn w:val="Normal"/>
    <w:next w:val="Normal"/>
    <w:link w:val="Heading5Char"/>
    <w:qFormat/>
    <w:rsid w:val="000A65DC"/>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5DC"/>
    <w:rPr>
      <w:rFonts w:ascii="Times New Roman" w:eastAsia="Arial Unicode MS" w:hAnsi="Times New Roman" w:cs="Times New Roman"/>
      <w:b/>
      <w:bCs/>
      <w:sz w:val="20"/>
      <w:szCs w:val="12"/>
    </w:rPr>
  </w:style>
  <w:style w:type="character" w:customStyle="1" w:styleId="Heading2Char">
    <w:name w:val="Heading 2 Char"/>
    <w:basedOn w:val="DefaultParagraphFont"/>
    <w:link w:val="Heading2"/>
    <w:rsid w:val="000A65DC"/>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0A65D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0A65DC"/>
    <w:rPr>
      <w:rFonts w:ascii="Times New Roman" w:eastAsia="Times New Roman" w:hAnsi="Times New Roman" w:cs="Times New Roman"/>
      <w:b/>
      <w:sz w:val="24"/>
      <w:szCs w:val="20"/>
    </w:rPr>
  </w:style>
  <w:style w:type="paragraph" w:styleId="Header">
    <w:name w:val="header"/>
    <w:basedOn w:val="Normal"/>
    <w:link w:val="HeaderChar"/>
    <w:rsid w:val="000A65DC"/>
    <w:pPr>
      <w:tabs>
        <w:tab w:val="center" w:pos="4320"/>
        <w:tab w:val="right" w:pos="8640"/>
      </w:tabs>
    </w:pPr>
  </w:style>
  <w:style w:type="character" w:customStyle="1" w:styleId="HeaderChar">
    <w:name w:val="Header Char"/>
    <w:basedOn w:val="DefaultParagraphFont"/>
    <w:link w:val="Header"/>
    <w:rsid w:val="000A65DC"/>
    <w:rPr>
      <w:rFonts w:ascii="Times New Roman" w:eastAsia="Times New Roman" w:hAnsi="Times New Roman" w:cs="Times New Roman"/>
      <w:sz w:val="24"/>
      <w:szCs w:val="24"/>
    </w:rPr>
  </w:style>
  <w:style w:type="paragraph" w:styleId="Footer">
    <w:name w:val="footer"/>
    <w:basedOn w:val="Normal"/>
    <w:link w:val="FooterChar"/>
    <w:uiPriority w:val="99"/>
    <w:rsid w:val="000A65DC"/>
    <w:pPr>
      <w:tabs>
        <w:tab w:val="center" w:pos="4320"/>
        <w:tab w:val="right" w:pos="8640"/>
      </w:tabs>
    </w:pPr>
  </w:style>
  <w:style w:type="character" w:customStyle="1" w:styleId="FooterChar">
    <w:name w:val="Footer Char"/>
    <w:basedOn w:val="DefaultParagraphFont"/>
    <w:link w:val="Footer"/>
    <w:uiPriority w:val="99"/>
    <w:rsid w:val="000A65DC"/>
    <w:rPr>
      <w:rFonts w:ascii="Times New Roman" w:eastAsia="Times New Roman" w:hAnsi="Times New Roman" w:cs="Times New Roman"/>
      <w:sz w:val="24"/>
      <w:szCs w:val="24"/>
    </w:rPr>
  </w:style>
  <w:style w:type="paragraph" w:styleId="NormalWeb">
    <w:name w:val="Normal (Web)"/>
    <w:basedOn w:val="Normal"/>
    <w:uiPriority w:val="99"/>
    <w:rsid w:val="000A65DC"/>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sid w:val="000A65DC"/>
    <w:rPr>
      <w:b/>
      <w:bCs/>
    </w:rPr>
  </w:style>
  <w:style w:type="character" w:styleId="Hyperlink">
    <w:name w:val="Hyperlink"/>
    <w:rsid w:val="000A65DC"/>
    <w:rPr>
      <w:color w:val="0000FF"/>
      <w:u w:val="single"/>
    </w:rPr>
  </w:style>
  <w:style w:type="paragraph" w:customStyle="1" w:styleId="PolicyMainHead">
    <w:name w:val="Policy Main Head"/>
    <w:basedOn w:val="Normal"/>
    <w:rsid w:val="000A65DC"/>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61"/>
    <w:rsid w:val="000A65D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b-contribution">
    <w:name w:val="sb-contribution"/>
    <w:rsid w:val="000A65DC"/>
  </w:style>
  <w:style w:type="character" w:customStyle="1" w:styleId="sb-authors">
    <w:name w:val="sb-authors"/>
    <w:rsid w:val="000A65DC"/>
  </w:style>
  <w:style w:type="character" w:customStyle="1" w:styleId="sb-issue">
    <w:name w:val="sb-issue"/>
    <w:rsid w:val="000A65DC"/>
  </w:style>
  <w:style w:type="character" w:styleId="Emphasis">
    <w:name w:val="Emphasis"/>
    <w:uiPriority w:val="20"/>
    <w:qFormat/>
    <w:rsid w:val="000A65DC"/>
    <w:rPr>
      <w:i/>
      <w:iCs/>
    </w:rPr>
  </w:style>
  <w:style w:type="character" w:customStyle="1" w:styleId="sb-date">
    <w:name w:val="sb-date"/>
    <w:rsid w:val="000A65DC"/>
  </w:style>
  <w:style w:type="character" w:customStyle="1" w:styleId="sb-volume-nr">
    <w:name w:val="sb-volume-nr"/>
    <w:rsid w:val="000A65DC"/>
  </w:style>
  <w:style w:type="character" w:customStyle="1" w:styleId="sb-pages">
    <w:name w:val="sb-pages"/>
    <w:rsid w:val="000A65DC"/>
  </w:style>
  <w:style w:type="character" w:styleId="CommentReference">
    <w:name w:val="annotation reference"/>
    <w:basedOn w:val="DefaultParagraphFont"/>
    <w:semiHidden/>
    <w:unhideWhenUsed/>
    <w:rsid w:val="000A65DC"/>
    <w:rPr>
      <w:sz w:val="16"/>
      <w:szCs w:val="16"/>
    </w:rPr>
  </w:style>
  <w:style w:type="paragraph" w:styleId="CommentText">
    <w:name w:val="annotation text"/>
    <w:basedOn w:val="Normal"/>
    <w:link w:val="CommentTextChar"/>
    <w:unhideWhenUsed/>
    <w:rsid w:val="000A65DC"/>
    <w:rPr>
      <w:sz w:val="20"/>
      <w:szCs w:val="20"/>
    </w:rPr>
  </w:style>
  <w:style w:type="character" w:customStyle="1" w:styleId="CommentTextChar">
    <w:name w:val="Comment Text Char"/>
    <w:basedOn w:val="DefaultParagraphFont"/>
    <w:link w:val="CommentText"/>
    <w:rsid w:val="000A65DC"/>
    <w:rPr>
      <w:rFonts w:ascii="Times New Roman" w:eastAsia="Times New Roman" w:hAnsi="Times New Roman" w:cs="Times New Roman"/>
      <w:sz w:val="20"/>
      <w:szCs w:val="20"/>
    </w:rPr>
  </w:style>
  <w:style w:type="paragraph" w:styleId="ListParagraph">
    <w:name w:val="List Paragraph"/>
    <w:basedOn w:val="Normal"/>
    <w:uiPriority w:val="34"/>
    <w:qFormat/>
    <w:rsid w:val="000A65DC"/>
    <w:pPr>
      <w:ind w:left="720"/>
      <w:contextualSpacing/>
    </w:pPr>
  </w:style>
  <w:style w:type="paragraph" w:styleId="BalloonText">
    <w:name w:val="Balloon Text"/>
    <w:basedOn w:val="Normal"/>
    <w:link w:val="BalloonTextChar"/>
    <w:uiPriority w:val="99"/>
    <w:semiHidden/>
    <w:unhideWhenUsed/>
    <w:rsid w:val="000A6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5D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62CE4"/>
    <w:rPr>
      <w:b/>
      <w:bCs/>
    </w:rPr>
  </w:style>
  <w:style w:type="character" w:customStyle="1" w:styleId="CommentSubjectChar">
    <w:name w:val="Comment Subject Char"/>
    <w:basedOn w:val="CommentTextChar"/>
    <w:link w:val="CommentSubject"/>
    <w:uiPriority w:val="99"/>
    <w:semiHidden/>
    <w:rsid w:val="00962CE4"/>
    <w:rPr>
      <w:rFonts w:ascii="Times New Roman" w:eastAsia="Times New Roman" w:hAnsi="Times New Roman" w:cs="Times New Roman"/>
      <w:b/>
      <w:bCs/>
      <w:sz w:val="20"/>
      <w:szCs w:val="20"/>
    </w:rPr>
  </w:style>
  <w:style w:type="paragraph" w:styleId="Revision">
    <w:name w:val="Revision"/>
    <w:hidden/>
    <w:uiPriority w:val="99"/>
    <w:semiHidden/>
    <w:rsid w:val="00EE22D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546F"/>
    <w:rPr>
      <w:color w:val="954F72" w:themeColor="followedHyperlink"/>
      <w:u w:val="single"/>
    </w:rPr>
  </w:style>
  <w:style w:type="character" w:styleId="UnresolvedMention">
    <w:name w:val="Unresolved Mention"/>
    <w:basedOn w:val="DefaultParagraphFont"/>
    <w:uiPriority w:val="99"/>
    <w:semiHidden/>
    <w:unhideWhenUsed/>
    <w:rsid w:val="009B4A67"/>
    <w:rPr>
      <w:color w:val="605E5C"/>
      <w:shd w:val="clear" w:color="auto" w:fill="E1DFDD"/>
    </w:rPr>
  </w:style>
  <w:style w:type="paragraph" w:styleId="BodyText2">
    <w:name w:val="Body Text 2"/>
    <w:basedOn w:val="Normal"/>
    <w:link w:val="BodyText2Char"/>
    <w:rsid w:val="00085561"/>
    <w:pPr>
      <w:jc w:val="both"/>
    </w:pPr>
    <w:rPr>
      <w:b/>
      <w:bCs/>
      <w:sz w:val="22"/>
    </w:rPr>
  </w:style>
  <w:style w:type="character" w:customStyle="1" w:styleId="BodyText2Char">
    <w:name w:val="Body Text 2 Char"/>
    <w:basedOn w:val="DefaultParagraphFont"/>
    <w:link w:val="BodyText2"/>
    <w:rsid w:val="00085561"/>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37">
      <w:bodyDiv w:val="1"/>
      <w:marLeft w:val="0"/>
      <w:marRight w:val="0"/>
      <w:marTop w:val="0"/>
      <w:marBottom w:val="0"/>
      <w:divBdr>
        <w:top w:val="none" w:sz="0" w:space="0" w:color="auto"/>
        <w:left w:val="none" w:sz="0" w:space="0" w:color="auto"/>
        <w:bottom w:val="none" w:sz="0" w:space="0" w:color="auto"/>
        <w:right w:val="none" w:sz="0" w:space="0" w:color="auto"/>
      </w:divBdr>
    </w:div>
    <w:div w:id="56899087">
      <w:bodyDiv w:val="1"/>
      <w:marLeft w:val="0"/>
      <w:marRight w:val="0"/>
      <w:marTop w:val="0"/>
      <w:marBottom w:val="0"/>
      <w:divBdr>
        <w:top w:val="none" w:sz="0" w:space="0" w:color="auto"/>
        <w:left w:val="none" w:sz="0" w:space="0" w:color="auto"/>
        <w:bottom w:val="none" w:sz="0" w:space="0" w:color="auto"/>
        <w:right w:val="none" w:sz="0" w:space="0" w:color="auto"/>
      </w:divBdr>
    </w:div>
    <w:div w:id="234247068">
      <w:bodyDiv w:val="1"/>
      <w:marLeft w:val="0"/>
      <w:marRight w:val="0"/>
      <w:marTop w:val="0"/>
      <w:marBottom w:val="0"/>
      <w:divBdr>
        <w:top w:val="none" w:sz="0" w:space="0" w:color="auto"/>
        <w:left w:val="none" w:sz="0" w:space="0" w:color="auto"/>
        <w:bottom w:val="none" w:sz="0" w:space="0" w:color="auto"/>
        <w:right w:val="none" w:sz="0" w:space="0" w:color="auto"/>
      </w:divBdr>
    </w:div>
    <w:div w:id="347751784">
      <w:bodyDiv w:val="1"/>
      <w:marLeft w:val="0"/>
      <w:marRight w:val="0"/>
      <w:marTop w:val="0"/>
      <w:marBottom w:val="0"/>
      <w:divBdr>
        <w:top w:val="none" w:sz="0" w:space="0" w:color="auto"/>
        <w:left w:val="none" w:sz="0" w:space="0" w:color="auto"/>
        <w:bottom w:val="none" w:sz="0" w:space="0" w:color="auto"/>
        <w:right w:val="none" w:sz="0" w:space="0" w:color="auto"/>
      </w:divBdr>
    </w:div>
    <w:div w:id="528838979">
      <w:bodyDiv w:val="1"/>
      <w:marLeft w:val="0"/>
      <w:marRight w:val="0"/>
      <w:marTop w:val="0"/>
      <w:marBottom w:val="0"/>
      <w:divBdr>
        <w:top w:val="none" w:sz="0" w:space="0" w:color="auto"/>
        <w:left w:val="none" w:sz="0" w:space="0" w:color="auto"/>
        <w:bottom w:val="none" w:sz="0" w:space="0" w:color="auto"/>
        <w:right w:val="none" w:sz="0" w:space="0" w:color="auto"/>
      </w:divBdr>
    </w:div>
    <w:div w:id="564990872">
      <w:bodyDiv w:val="1"/>
      <w:marLeft w:val="0"/>
      <w:marRight w:val="0"/>
      <w:marTop w:val="0"/>
      <w:marBottom w:val="0"/>
      <w:divBdr>
        <w:top w:val="none" w:sz="0" w:space="0" w:color="auto"/>
        <w:left w:val="none" w:sz="0" w:space="0" w:color="auto"/>
        <w:bottom w:val="none" w:sz="0" w:space="0" w:color="auto"/>
        <w:right w:val="none" w:sz="0" w:space="0" w:color="auto"/>
      </w:divBdr>
    </w:div>
    <w:div w:id="572273137">
      <w:bodyDiv w:val="1"/>
      <w:marLeft w:val="0"/>
      <w:marRight w:val="0"/>
      <w:marTop w:val="0"/>
      <w:marBottom w:val="0"/>
      <w:divBdr>
        <w:top w:val="none" w:sz="0" w:space="0" w:color="auto"/>
        <w:left w:val="none" w:sz="0" w:space="0" w:color="auto"/>
        <w:bottom w:val="none" w:sz="0" w:space="0" w:color="auto"/>
        <w:right w:val="none" w:sz="0" w:space="0" w:color="auto"/>
      </w:divBdr>
      <w:divsChild>
        <w:div w:id="164353474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47980204">
      <w:bodyDiv w:val="1"/>
      <w:marLeft w:val="0"/>
      <w:marRight w:val="0"/>
      <w:marTop w:val="0"/>
      <w:marBottom w:val="0"/>
      <w:divBdr>
        <w:top w:val="none" w:sz="0" w:space="0" w:color="auto"/>
        <w:left w:val="none" w:sz="0" w:space="0" w:color="auto"/>
        <w:bottom w:val="none" w:sz="0" w:space="0" w:color="auto"/>
        <w:right w:val="none" w:sz="0" w:space="0" w:color="auto"/>
      </w:divBdr>
      <w:divsChild>
        <w:div w:id="15993244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51131815">
      <w:bodyDiv w:val="1"/>
      <w:marLeft w:val="0"/>
      <w:marRight w:val="0"/>
      <w:marTop w:val="0"/>
      <w:marBottom w:val="0"/>
      <w:divBdr>
        <w:top w:val="none" w:sz="0" w:space="0" w:color="auto"/>
        <w:left w:val="none" w:sz="0" w:space="0" w:color="auto"/>
        <w:bottom w:val="none" w:sz="0" w:space="0" w:color="auto"/>
        <w:right w:val="none" w:sz="0" w:space="0" w:color="auto"/>
      </w:divBdr>
      <w:divsChild>
        <w:div w:id="174807300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77536441">
      <w:bodyDiv w:val="1"/>
      <w:marLeft w:val="0"/>
      <w:marRight w:val="0"/>
      <w:marTop w:val="0"/>
      <w:marBottom w:val="0"/>
      <w:divBdr>
        <w:top w:val="none" w:sz="0" w:space="0" w:color="auto"/>
        <w:left w:val="none" w:sz="0" w:space="0" w:color="auto"/>
        <w:bottom w:val="none" w:sz="0" w:space="0" w:color="auto"/>
        <w:right w:val="none" w:sz="0" w:space="0" w:color="auto"/>
      </w:divBdr>
    </w:div>
    <w:div w:id="954871212">
      <w:bodyDiv w:val="1"/>
      <w:marLeft w:val="0"/>
      <w:marRight w:val="0"/>
      <w:marTop w:val="0"/>
      <w:marBottom w:val="0"/>
      <w:divBdr>
        <w:top w:val="none" w:sz="0" w:space="0" w:color="auto"/>
        <w:left w:val="none" w:sz="0" w:space="0" w:color="auto"/>
        <w:bottom w:val="none" w:sz="0" w:space="0" w:color="auto"/>
        <w:right w:val="none" w:sz="0" w:space="0" w:color="auto"/>
      </w:divBdr>
    </w:div>
    <w:div w:id="1009017731">
      <w:bodyDiv w:val="1"/>
      <w:marLeft w:val="0"/>
      <w:marRight w:val="0"/>
      <w:marTop w:val="0"/>
      <w:marBottom w:val="0"/>
      <w:divBdr>
        <w:top w:val="none" w:sz="0" w:space="0" w:color="auto"/>
        <w:left w:val="none" w:sz="0" w:space="0" w:color="auto"/>
        <w:bottom w:val="none" w:sz="0" w:space="0" w:color="auto"/>
        <w:right w:val="none" w:sz="0" w:space="0" w:color="auto"/>
      </w:divBdr>
    </w:div>
    <w:div w:id="1075779881">
      <w:bodyDiv w:val="1"/>
      <w:marLeft w:val="0"/>
      <w:marRight w:val="0"/>
      <w:marTop w:val="0"/>
      <w:marBottom w:val="0"/>
      <w:divBdr>
        <w:top w:val="none" w:sz="0" w:space="0" w:color="auto"/>
        <w:left w:val="none" w:sz="0" w:space="0" w:color="auto"/>
        <w:bottom w:val="none" w:sz="0" w:space="0" w:color="auto"/>
        <w:right w:val="none" w:sz="0" w:space="0" w:color="auto"/>
      </w:divBdr>
    </w:div>
    <w:div w:id="1102646717">
      <w:bodyDiv w:val="1"/>
      <w:marLeft w:val="0"/>
      <w:marRight w:val="0"/>
      <w:marTop w:val="0"/>
      <w:marBottom w:val="0"/>
      <w:divBdr>
        <w:top w:val="none" w:sz="0" w:space="0" w:color="auto"/>
        <w:left w:val="none" w:sz="0" w:space="0" w:color="auto"/>
        <w:bottom w:val="none" w:sz="0" w:space="0" w:color="auto"/>
        <w:right w:val="none" w:sz="0" w:space="0" w:color="auto"/>
      </w:divBdr>
    </w:div>
    <w:div w:id="1201893416">
      <w:bodyDiv w:val="1"/>
      <w:marLeft w:val="0"/>
      <w:marRight w:val="0"/>
      <w:marTop w:val="0"/>
      <w:marBottom w:val="0"/>
      <w:divBdr>
        <w:top w:val="none" w:sz="0" w:space="0" w:color="auto"/>
        <w:left w:val="none" w:sz="0" w:space="0" w:color="auto"/>
        <w:bottom w:val="none" w:sz="0" w:space="0" w:color="auto"/>
        <w:right w:val="none" w:sz="0" w:space="0" w:color="auto"/>
      </w:divBdr>
    </w:div>
    <w:div w:id="1286231740">
      <w:bodyDiv w:val="1"/>
      <w:marLeft w:val="0"/>
      <w:marRight w:val="0"/>
      <w:marTop w:val="0"/>
      <w:marBottom w:val="0"/>
      <w:divBdr>
        <w:top w:val="none" w:sz="0" w:space="0" w:color="auto"/>
        <w:left w:val="none" w:sz="0" w:space="0" w:color="auto"/>
        <w:bottom w:val="none" w:sz="0" w:space="0" w:color="auto"/>
        <w:right w:val="none" w:sz="0" w:space="0" w:color="auto"/>
      </w:divBdr>
    </w:div>
    <w:div w:id="1292635677">
      <w:bodyDiv w:val="1"/>
      <w:marLeft w:val="0"/>
      <w:marRight w:val="0"/>
      <w:marTop w:val="0"/>
      <w:marBottom w:val="0"/>
      <w:divBdr>
        <w:top w:val="none" w:sz="0" w:space="0" w:color="auto"/>
        <w:left w:val="none" w:sz="0" w:space="0" w:color="auto"/>
        <w:bottom w:val="none" w:sz="0" w:space="0" w:color="auto"/>
        <w:right w:val="none" w:sz="0" w:space="0" w:color="auto"/>
      </w:divBdr>
    </w:div>
    <w:div w:id="1405834401">
      <w:bodyDiv w:val="1"/>
      <w:marLeft w:val="0"/>
      <w:marRight w:val="0"/>
      <w:marTop w:val="0"/>
      <w:marBottom w:val="0"/>
      <w:divBdr>
        <w:top w:val="none" w:sz="0" w:space="0" w:color="auto"/>
        <w:left w:val="none" w:sz="0" w:space="0" w:color="auto"/>
        <w:bottom w:val="none" w:sz="0" w:space="0" w:color="auto"/>
        <w:right w:val="none" w:sz="0" w:space="0" w:color="auto"/>
      </w:divBdr>
    </w:div>
    <w:div w:id="1416630152">
      <w:bodyDiv w:val="1"/>
      <w:marLeft w:val="0"/>
      <w:marRight w:val="0"/>
      <w:marTop w:val="0"/>
      <w:marBottom w:val="0"/>
      <w:divBdr>
        <w:top w:val="none" w:sz="0" w:space="0" w:color="auto"/>
        <w:left w:val="none" w:sz="0" w:space="0" w:color="auto"/>
        <w:bottom w:val="none" w:sz="0" w:space="0" w:color="auto"/>
        <w:right w:val="none" w:sz="0" w:space="0" w:color="auto"/>
      </w:divBdr>
      <w:divsChild>
        <w:div w:id="194885415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97184790">
      <w:bodyDiv w:val="1"/>
      <w:marLeft w:val="0"/>
      <w:marRight w:val="0"/>
      <w:marTop w:val="0"/>
      <w:marBottom w:val="0"/>
      <w:divBdr>
        <w:top w:val="none" w:sz="0" w:space="0" w:color="auto"/>
        <w:left w:val="none" w:sz="0" w:space="0" w:color="auto"/>
        <w:bottom w:val="none" w:sz="0" w:space="0" w:color="auto"/>
        <w:right w:val="none" w:sz="0" w:space="0" w:color="auto"/>
      </w:divBdr>
    </w:div>
    <w:div w:id="1595239014">
      <w:bodyDiv w:val="1"/>
      <w:marLeft w:val="0"/>
      <w:marRight w:val="0"/>
      <w:marTop w:val="0"/>
      <w:marBottom w:val="0"/>
      <w:divBdr>
        <w:top w:val="none" w:sz="0" w:space="0" w:color="auto"/>
        <w:left w:val="none" w:sz="0" w:space="0" w:color="auto"/>
        <w:bottom w:val="none" w:sz="0" w:space="0" w:color="auto"/>
        <w:right w:val="none" w:sz="0" w:space="0" w:color="auto"/>
      </w:divBdr>
      <w:divsChild>
        <w:div w:id="140930918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03414466">
      <w:bodyDiv w:val="1"/>
      <w:marLeft w:val="0"/>
      <w:marRight w:val="0"/>
      <w:marTop w:val="0"/>
      <w:marBottom w:val="0"/>
      <w:divBdr>
        <w:top w:val="none" w:sz="0" w:space="0" w:color="auto"/>
        <w:left w:val="none" w:sz="0" w:space="0" w:color="auto"/>
        <w:bottom w:val="none" w:sz="0" w:space="0" w:color="auto"/>
        <w:right w:val="none" w:sz="0" w:space="0" w:color="auto"/>
      </w:divBdr>
    </w:div>
    <w:div w:id="1710643547">
      <w:bodyDiv w:val="1"/>
      <w:marLeft w:val="0"/>
      <w:marRight w:val="0"/>
      <w:marTop w:val="0"/>
      <w:marBottom w:val="0"/>
      <w:divBdr>
        <w:top w:val="none" w:sz="0" w:space="0" w:color="auto"/>
        <w:left w:val="none" w:sz="0" w:space="0" w:color="auto"/>
        <w:bottom w:val="none" w:sz="0" w:space="0" w:color="auto"/>
        <w:right w:val="none" w:sz="0" w:space="0" w:color="auto"/>
      </w:divBdr>
    </w:div>
    <w:div w:id="1715958512">
      <w:bodyDiv w:val="1"/>
      <w:marLeft w:val="0"/>
      <w:marRight w:val="0"/>
      <w:marTop w:val="0"/>
      <w:marBottom w:val="0"/>
      <w:divBdr>
        <w:top w:val="none" w:sz="0" w:space="0" w:color="auto"/>
        <w:left w:val="none" w:sz="0" w:space="0" w:color="auto"/>
        <w:bottom w:val="none" w:sz="0" w:space="0" w:color="auto"/>
        <w:right w:val="none" w:sz="0" w:space="0" w:color="auto"/>
      </w:divBdr>
      <w:divsChild>
        <w:div w:id="94150023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33969385">
      <w:bodyDiv w:val="1"/>
      <w:marLeft w:val="0"/>
      <w:marRight w:val="0"/>
      <w:marTop w:val="0"/>
      <w:marBottom w:val="0"/>
      <w:divBdr>
        <w:top w:val="none" w:sz="0" w:space="0" w:color="auto"/>
        <w:left w:val="none" w:sz="0" w:space="0" w:color="auto"/>
        <w:bottom w:val="none" w:sz="0" w:space="0" w:color="auto"/>
        <w:right w:val="none" w:sz="0" w:space="0" w:color="auto"/>
      </w:divBdr>
    </w:div>
    <w:div w:id="1876842799">
      <w:bodyDiv w:val="1"/>
      <w:marLeft w:val="0"/>
      <w:marRight w:val="0"/>
      <w:marTop w:val="0"/>
      <w:marBottom w:val="0"/>
      <w:divBdr>
        <w:top w:val="none" w:sz="0" w:space="0" w:color="auto"/>
        <w:left w:val="none" w:sz="0" w:space="0" w:color="auto"/>
        <w:bottom w:val="none" w:sz="0" w:space="0" w:color="auto"/>
        <w:right w:val="none" w:sz="0" w:space="0" w:color="auto"/>
      </w:divBdr>
    </w:div>
    <w:div w:id="1927612243">
      <w:bodyDiv w:val="1"/>
      <w:marLeft w:val="0"/>
      <w:marRight w:val="0"/>
      <w:marTop w:val="0"/>
      <w:marBottom w:val="0"/>
      <w:divBdr>
        <w:top w:val="none" w:sz="0" w:space="0" w:color="auto"/>
        <w:left w:val="none" w:sz="0" w:space="0" w:color="auto"/>
        <w:bottom w:val="none" w:sz="0" w:space="0" w:color="auto"/>
        <w:right w:val="none" w:sz="0" w:space="0" w:color="auto"/>
      </w:divBdr>
    </w:div>
    <w:div w:id="1999308221">
      <w:bodyDiv w:val="1"/>
      <w:marLeft w:val="0"/>
      <w:marRight w:val="0"/>
      <w:marTop w:val="0"/>
      <w:marBottom w:val="0"/>
      <w:divBdr>
        <w:top w:val="none" w:sz="0" w:space="0" w:color="auto"/>
        <w:left w:val="none" w:sz="0" w:space="0" w:color="auto"/>
        <w:bottom w:val="none" w:sz="0" w:space="0" w:color="auto"/>
        <w:right w:val="none" w:sz="0" w:space="0" w:color="auto"/>
      </w:divBdr>
      <w:divsChild>
        <w:div w:id="74291968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02659158">
      <w:bodyDiv w:val="1"/>
      <w:marLeft w:val="0"/>
      <w:marRight w:val="0"/>
      <w:marTop w:val="0"/>
      <w:marBottom w:val="0"/>
      <w:divBdr>
        <w:top w:val="none" w:sz="0" w:space="0" w:color="auto"/>
        <w:left w:val="none" w:sz="0" w:space="0" w:color="auto"/>
        <w:bottom w:val="none" w:sz="0" w:space="0" w:color="auto"/>
        <w:right w:val="none" w:sz="0" w:space="0" w:color="auto"/>
      </w:divBdr>
      <w:divsChild>
        <w:div w:id="12489971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0713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cm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35FA3-40E3-4AE9-883B-8DFAAA657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AC567-84D3-4470-ACDF-669478E1C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A3269D-E36C-43CC-BD06-3574D913D32A}">
  <ds:schemaRefs>
    <ds:schemaRef ds:uri="http://schemas.openxmlformats.org/officeDocument/2006/bibliography"/>
  </ds:schemaRefs>
</ds:datastoreItem>
</file>

<file path=customXml/itemProps4.xml><?xml version="1.0" encoding="utf-8"?>
<ds:datastoreItem xmlns:ds="http://schemas.openxmlformats.org/officeDocument/2006/customXml" ds:itemID="{E9DB5BDF-84E5-4720-81DA-5405BE53C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Colbert-Fluchel</dc:creator>
  <cp:keywords/>
  <dc:description/>
  <cp:lastModifiedBy>Victoria T. Kostecki</cp:lastModifiedBy>
  <cp:revision>2</cp:revision>
  <cp:lastPrinted>2021-06-25T15:15:00Z</cp:lastPrinted>
  <dcterms:created xsi:type="dcterms:W3CDTF">2025-07-09T15:01:00Z</dcterms:created>
  <dcterms:modified xsi:type="dcterms:W3CDTF">2025-07-09T15:01:00Z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2022-05-06T17:47:13Z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79a0928c-1e05-461b-97f3-29bba80533b9</vt:lpwstr>
  </property>
  <property fmtid="{D5CDD505-2E9C-101B-9397-08002B2CF9AE}" pid="8" name="MSIP_Label_5a776955-85f6-4fec-9553-96dd3e0373c4_ContentBits">
    <vt:lpwstr>0</vt:lpwstr>
  </property>
</Properties>
</file>