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00EF5" w14:textId="57BE0B12" w:rsidR="00B777AF" w:rsidRPr="009D6060" w:rsidRDefault="00230FE4" w:rsidP="00D574CA">
      <w:pPr>
        <w:pStyle w:val="PolicyMainHead"/>
        <w:tabs>
          <w:tab w:val="left" w:pos="360"/>
        </w:tabs>
        <w:spacing w:after="0" w:line="240" w:lineRule="auto"/>
        <w:rPr>
          <w:rFonts w:ascii="Times New Roman" w:hAnsi="Times New Roman"/>
          <w:color w:val="00548C"/>
          <w:sz w:val="36"/>
        </w:rPr>
        <w:sectPr w:rsidR="00B777AF" w:rsidRPr="009D6060" w:rsidSect="00CB63DD">
          <w:headerReference w:type="default" r:id="rId7"/>
          <w:footerReference w:type="default" r:id="rId8"/>
          <w:headerReference w:type="first" r:id="rId9"/>
          <w:footerReference w:type="first" r:id="rId10"/>
          <w:pgSz w:w="12240" w:h="15840" w:code="1"/>
          <w:pgMar w:top="1440" w:right="907" w:bottom="1152" w:left="1440" w:header="576" w:footer="288" w:gutter="0"/>
          <w:cols w:space="720"/>
          <w:titlePg/>
          <w:docGrid w:linePitch="360"/>
        </w:sectPr>
      </w:pPr>
      <w:r>
        <w:rPr>
          <w:rFonts w:ascii="Times New Roman" w:hAnsi="Times New Roman"/>
          <w:color w:val="00548C"/>
          <w:sz w:val="36"/>
        </w:rPr>
        <w:t>Clinic</w:t>
      </w:r>
      <w:r w:rsidRPr="005D7B81">
        <w:rPr>
          <w:rFonts w:ascii="Times New Roman" w:hAnsi="Times New Roman"/>
          <w:color w:val="00548C"/>
          <w:sz w:val="36"/>
        </w:rPr>
        <w:t xml:space="preserve">al </w:t>
      </w:r>
      <w:r w:rsidR="00772335">
        <w:rPr>
          <w:rFonts w:ascii="Times New Roman" w:hAnsi="Times New Roman"/>
          <w:color w:val="00548C"/>
          <w:sz w:val="36"/>
        </w:rPr>
        <w:t xml:space="preserve">Policy: </w:t>
      </w:r>
      <w:r w:rsidR="00B81458" w:rsidRPr="00B81458">
        <w:rPr>
          <w:rFonts w:ascii="Times New Roman" w:hAnsi="Times New Roman"/>
          <w:color w:val="00548C"/>
          <w:sz w:val="36"/>
        </w:rPr>
        <w:t>IV Moderate Sedation, IV Deep Sedation, and General Anesthesia for Dental Procedures</w:t>
      </w:r>
    </w:p>
    <w:p w14:paraId="41AAA126" w14:textId="7F4C9665" w:rsidR="00480C09" w:rsidRPr="003D7BE7" w:rsidRDefault="00D574CA" w:rsidP="00CB63DD">
      <w:pPr>
        <w:pStyle w:val="PolicyMainHead"/>
        <w:spacing w:after="0" w:line="240" w:lineRule="auto"/>
        <w:rPr>
          <w:rFonts w:ascii="Times New Roman" w:hAnsi="Times New Roman"/>
          <w:color w:val="00548C"/>
          <w:sz w:val="24"/>
          <w:szCs w:val="24"/>
        </w:rPr>
        <w:sectPr w:rsidR="00480C09" w:rsidRPr="003D7BE7" w:rsidSect="00CB63DD">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sidR="00C96847">
        <w:rPr>
          <w:rFonts w:ascii="Times New Roman" w:hAnsi="Times New Roman"/>
          <w:color w:val="00548C"/>
          <w:sz w:val="24"/>
          <w:szCs w:val="24"/>
        </w:rPr>
        <w:t>MP.</w:t>
      </w:r>
      <w:r w:rsidR="00BB6FB6">
        <w:rPr>
          <w:rFonts w:ascii="Times New Roman" w:hAnsi="Times New Roman"/>
          <w:color w:val="00548C"/>
          <w:sz w:val="24"/>
          <w:szCs w:val="24"/>
        </w:rPr>
        <w:t>61</w:t>
      </w:r>
      <w:r w:rsidR="00CB63DD">
        <w:rPr>
          <w:rFonts w:ascii="Times New Roman" w:hAnsi="Times New Roman"/>
          <w:color w:val="00548C"/>
          <w:sz w:val="24"/>
          <w:szCs w:val="24"/>
        </w:rPr>
        <w:tab/>
      </w:r>
      <w:r w:rsidR="00CB63DD">
        <w:rPr>
          <w:rFonts w:ascii="Times New Roman" w:hAnsi="Times New Roman"/>
          <w:color w:val="00548C"/>
          <w:sz w:val="24"/>
          <w:szCs w:val="24"/>
        </w:rPr>
        <w:tab/>
        <w:t xml:space="preserve">  </w:t>
      </w:r>
      <w:r w:rsidR="00CB63DD">
        <w:rPr>
          <w:rFonts w:ascii="Times New Roman" w:hAnsi="Times New Roman"/>
          <w:color w:val="00548C"/>
          <w:sz w:val="24"/>
          <w:szCs w:val="24"/>
        </w:rPr>
        <w:tab/>
      </w:r>
      <w:r w:rsidR="00480C09" w:rsidRPr="003D7BE7">
        <w:rPr>
          <w:rFonts w:ascii="Times New Roman" w:hAnsi="Times New Roman"/>
          <w:color w:val="00548C"/>
          <w:sz w:val="24"/>
          <w:szCs w:val="24"/>
        </w:rPr>
        <w:tab/>
      </w:r>
      <w:r w:rsidR="00CB63DD">
        <w:rPr>
          <w:rFonts w:ascii="Times New Roman" w:hAnsi="Times New Roman"/>
          <w:color w:val="00548C"/>
          <w:sz w:val="24"/>
          <w:szCs w:val="24"/>
        </w:rPr>
        <w:tab/>
        <w:t xml:space="preserve">     </w:t>
      </w:r>
      <w:hyperlink w:anchor="Coding_Implications" w:history="1">
        <w:r w:rsidR="00772335">
          <w:rPr>
            <w:rStyle w:val="Hyperlink"/>
            <w:rFonts w:ascii="Times New Roman" w:hAnsi="Times New Roman"/>
            <w:sz w:val="24"/>
            <w:szCs w:val="24"/>
          </w:rPr>
          <w:t xml:space="preserve">Coding </w:t>
        </w:r>
        <w:r w:rsidR="007B50D0" w:rsidRPr="00875924">
          <w:rPr>
            <w:rStyle w:val="Hyperlink"/>
            <w:rFonts w:ascii="Times New Roman" w:hAnsi="Times New Roman"/>
            <w:sz w:val="24"/>
            <w:szCs w:val="24"/>
          </w:rPr>
          <w:t>Implications</w:t>
        </w:r>
      </w:hyperlink>
      <w:r w:rsidR="007B50D0" w:rsidRPr="003D7BE7">
        <w:rPr>
          <w:rFonts w:ascii="Times New Roman" w:hAnsi="Times New Roman"/>
          <w:color w:val="00548C"/>
          <w:sz w:val="24"/>
          <w:szCs w:val="24"/>
        </w:rPr>
        <w:t xml:space="preserve"> </w:t>
      </w:r>
    </w:p>
    <w:p w14:paraId="49F507F8" w14:textId="5D9486B8" w:rsidR="00875924" w:rsidRDefault="008D6CA9" w:rsidP="00CB63DD">
      <w:pPr>
        <w:pStyle w:val="PolicyMainHead"/>
        <w:spacing w:after="0" w:line="240" w:lineRule="auto"/>
        <w:rPr>
          <w:rFonts w:ascii="Times New Roman" w:hAnsi="Times New Roman"/>
          <w:color w:val="00548C"/>
          <w:sz w:val="24"/>
          <w:szCs w:val="24"/>
        </w:rPr>
      </w:pPr>
      <w:r>
        <w:rPr>
          <w:rFonts w:ascii="Times New Roman" w:hAnsi="Times New Roman"/>
          <w:color w:val="00548C"/>
          <w:sz w:val="24"/>
          <w:szCs w:val="24"/>
        </w:rPr>
        <w:t>Date of Last Revision</w:t>
      </w:r>
      <w:r w:rsidR="00D574CA" w:rsidRPr="003D7BE7">
        <w:rPr>
          <w:rFonts w:ascii="Times New Roman" w:hAnsi="Times New Roman"/>
          <w:color w:val="00548C"/>
          <w:sz w:val="24"/>
          <w:szCs w:val="24"/>
        </w:rPr>
        <w:t xml:space="preserve">: </w:t>
      </w:r>
      <w:r w:rsidR="003A3F87">
        <w:rPr>
          <w:rFonts w:ascii="Times New Roman" w:hAnsi="Times New Roman"/>
          <w:color w:val="00548C"/>
          <w:sz w:val="24"/>
          <w:szCs w:val="24"/>
        </w:rPr>
        <w:t>0</w:t>
      </w:r>
      <w:r w:rsidR="00162318">
        <w:rPr>
          <w:rFonts w:ascii="Times New Roman" w:hAnsi="Times New Roman"/>
          <w:color w:val="00548C"/>
          <w:sz w:val="24"/>
          <w:szCs w:val="24"/>
        </w:rPr>
        <w:t>9</w:t>
      </w:r>
      <w:r w:rsidR="003A3F87">
        <w:rPr>
          <w:rFonts w:ascii="Times New Roman" w:hAnsi="Times New Roman"/>
          <w:color w:val="00548C"/>
          <w:sz w:val="24"/>
          <w:szCs w:val="24"/>
        </w:rPr>
        <w:t>/25</w:t>
      </w:r>
    </w:p>
    <w:p w14:paraId="583F94C7" w14:textId="77777777" w:rsidR="00875924" w:rsidRDefault="007B50D0" w:rsidP="00875924">
      <w:pPr>
        <w:pStyle w:val="PolicyMainHead"/>
        <w:tabs>
          <w:tab w:val="left" w:pos="360"/>
        </w:tabs>
        <w:spacing w:after="0" w:line="240" w:lineRule="auto"/>
        <w:jc w:val="right"/>
        <w:rPr>
          <w:rStyle w:val="Strong"/>
          <w:rFonts w:ascii="Times New Roman" w:hAnsi="Times New Roman"/>
          <w:b w:val="0"/>
          <w:bCs w:val="0"/>
          <w:u w:val="single"/>
        </w:rPr>
        <w:sectPr w:rsidR="00875924" w:rsidSect="00CB63DD">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r w:rsidR="00875924">
        <w:rPr>
          <w:rFonts w:ascii="Times New Roman" w:hAnsi="Times New Roman"/>
          <w:color w:val="00548C"/>
          <w:sz w:val="24"/>
          <w:szCs w:val="24"/>
        </w:rPr>
        <w:t xml:space="preserve"> </w:t>
      </w:r>
    </w:p>
    <w:p w14:paraId="1A3B6E69" w14:textId="77777777" w:rsidR="005D7B81" w:rsidRDefault="00032D3F" w:rsidP="00032D3F">
      <w:pPr>
        <w:pStyle w:val="NormalWeb"/>
        <w:tabs>
          <w:tab w:val="left" w:pos="975"/>
        </w:tabs>
        <w:spacing w:before="0" w:beforeAutospacing="0" w:after="0" w:afterAutospacing="0"/>
        <w:rPr>
          <w:rFonts w:ascii="Times New Roman" w:hAnsi="Times New Roman" w:cs="Times New Roman"/>
        </w:rPr>
      </w:pPr>
      <w:r>
        <w:rPr>
          <w:rFonts w:ascii="Times New Roman" w:hAnsi="Times New Roman" w:cs="Times New Roman"/>
        </w:rPr>
        <w:tab/>
      </w:r>
    </w:p>
    <w:p w14:paraId="75077CFF" w14:textId="77777777" w:rsidR="00D574CA" w:rsidRPr="005D7B81" w:rsidRDefault="005D7B81" w:rsidP="00D574CA">
      <w:pPr>
        <w:pStyle w:val="NormalWeb"/>
        <w:spacing w:before="0" w:beforeAutospacing="0" w:after="0" w:afterAutospacing="0"/>
        <w:rPr>
          <w:rStyle w:val="Strong"/>
          <w:rFonts w:ascii="Times New Roman" w:hAnsi="Times New Roman" w:cs="Times New Roman"/>
          <w:b w:val="0"/>
          <w:bCs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sidR="00493710">
        <w:rPr>
          <w:rFonts w:ascii="Times New Roman" w:hAnsi="Times New Roman" w:cs="Times New Roman"/>
          <w:b/>
          <w:color w:val="00548C"/>
        </w:rPr>
        <w:t>is</w:t>
      </w:r>
      <w:r w:rsidRPr="005D7B81">
        <w:rPr>
          <w:rFonts w:ascii="Times New Roman" w:hAnsi="Times New Roman" w:cs="Times New Roman"/>
          <w:b/>
          <w:color w:val="00548C"/>
        </w:rPr>
        <w:t xml:space="preserve"> policy for</w:t>
      </w:r>
      <w:r w:rsidR="00493710">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sidR="00493710">
        <w:rPr>
          <w:rFonts w:ascii="Times New Roman" w:hAnsi="Times New Roman" w:cs="Times New Roman"/>
          <w:b/>
          <w:color w:val="00548C"/>
        </w:rPr>
        <w:t>.</w:t>
      </w:r>
    </w:p>
    <w:p w14:paraId="3B532E16" w14:textId="77777777" w:rsidR="00C73CF5" w:rsidRPr="00ED438A" w:rsidRDefault="00B8063A" w:rsidP="00B8063A">
      <w:pPr>
        <w:pStyle w:val="NormalWeb"/>
        <w:tabs>
          <w:tab w:val="left" w:pos="1425"/>
        </w:tabs>
        <w:spacing w:before="0" w:beforeAutospacing="0" w:after="0" w:afterAutospacing="0"/>
        <w:rPr>
          <w:rStyle w:val="Strong"/>
          <w:rFonts w:ascii="Times New Roman" w:hAnsi="Times New Roman" w:cs="Times New Roman"/>
          <w:b w:val="0"/>
          <w:bCs w:val="0"/>
        </w:rPr>
      </w:pPr>
      <w:r w:rsidRPr="00ED438A">
        <w:rPr>
          <w:rStyle w:val="Strong"/>
          <w:rFonts w:ascii="Times New Roman" w:hAnsi="Times New Roman" w:cs="Times New Roman"/>
          <w:b w:val="0"/>
          <w:bCs w:val="0"/>
        </w:rPr>
        <w:tab/>
      </w:r>
    </w:p>
    <w:p w14:paraId="011BC7C1" w14:textId="77777777" w:rsidR="00583376" w:rsidRPr="00B777AF" w:rsidRDefault="00583376">
      <w:pPr>
        <w:pStyle w:val="Heading2"/>
        <w:rPr>
          <w:u w:val="none"/>
        </w:rPr>
      </w:pPr>
      <w:r w:rsidRPr="00B777AF">
        <w:rPr>
          <w:u w:val="none"/>
        </w:rPr>
        <w:t xml:space="preserve">Description </w:t>
      </w:r>
    </w:p>
    <w:p w14:paraId="2C0D7940" w14:textId="735AF46D" w:rsidR="001C6C51" w:rsidRPr="001C6C51" w:rsidRDefault="001C6C51" w:rsidP="001C6C51">
      <w:r w:rsidRPr="001C6C51">
        <w:t xml:space="preserve">Medical necessity guidelines for dental anesthesia, including intravenous </w:t>
      </w:r>
      <w:r w:rsidR="00F7504B">
        <w:t xml:space="preserve">(IV) </w:t>
      </w:r>
      <w:r w:rsidRPr="001C6C51">
        <w:t>moderate sedation and intravenous deep sedation/general anesthesia.</w:t>
      </w:r>
    </w:p>
    <w:p w14:paraId="01348D6B" w14:textId="77777777" w:rsidR="005D7B81" w:rsidRPr="00B777AF" w:rsidRDefault="005D7B81" w:rsidP="00196935"/>
    <w:p w14:paraId="582203EB" w14:textId="77777777" w:rsidR="00583376" w:rsidRPr="00D654C8" w:rsidRDefault="00583376">
      <w:pPr>
        <w:pStyle w:val="Heading2"/>
        <w:rPr>
          <w:u w:val="none"/>
        </w:rPr>
      </w:pPr>
      <w:r w:rsidRPr="00D654C8">
        <w:rPr>
          <w:u w:val="none"/>
        </w:rPr>
        <w:t>Policy/Criteria</w:t>
      </w:r>
    </w:p>
    <w:p w14:paraId="781219A5" w14:textId="4818DE77" w:rsidR="005D3448" w:rsidRPr="00D654C8" w:rsidRDefault="00F74762" w:rsidP="00B32042">
      <w:pPr>
        <w:numPr>
          <w:ilvl w:val="0"/>
          <w:numId w:val="11"/>
        </w:numPr>
      </w:pPr>
      <w:r w:rsidRPr="00D654C8">
        <w:rPr>
          <w:bCs/>
        </w:rPr>
        <w:t>It is the policy of</w:t>
      </w:r>
      <w:r w:rsidR="00E97C17" w:rsidRPr="00D654C8">
        <w:rPr>
          <w:bCs/>
        </w:rPr>
        <w:t xml:space="preserve"> </w:t>
      </w:r>
      <w:r w:rsidR="00A83658" w:rsidRPr="00D654C8">
        <w:rPr>
          <w:bCs/>
        </w:rPr>
        <w:t>h</w:t>
      </w:r>
      <w:r w:rsidR="00E97C17" w:rsidRPr="00D654C8">
        <w:rPr>
          <w:bCs/>
        </w:rPr>
        <w:t xml:space="preserve">ealth </w:t>
      </w:r>
      <w:r w:rsidR="00A83658" w:rsidRPr="00D654C8">
        <w:rPr>
          <w:bCs/>
        </w:rPr>
        <w:t>p</w:t>
      </w:r>
      <w:r w:rsidR="00E97C17" w:rsidRPr="00D654C8">
        <w:rPr>
          <w:bCs/>
        </w:rPr>
        <w:t>lans affiliated with</w:t>
      </w:r>
      <w:r w:rsidRPr="00D654C8">
        <w:rPr>
          <w:bCs/>
        </w:rPr>
        <w:t xml:space="preserve"> Centene Corporation</w:t>
      </w:r>
      <w:r w:rsidR="00C75BD4" w:rsidRPr="00D654C8">
        <w:rPr>
          <w:bCs/>
          <w:vertAlign w:val="superscript"/>
        </w:rPr>
        <w:t>®</w:t>
      </w:r>
      <w:r w:rsidRPr="00D654C8">
        <w:rPr>
          <w:bCs/>
        </w:rPr>
        <w:t xml:space="preserve"> </w:t>
      </w:r>
      <w:r w:rsidR="00C96847" w:rsidRPr="00D654C8">
        <w:t>that</w:t>
      </w:r>
      <w:r w:rsidR="002968FB" w:rsidRPr="002968FB">
        <w:t xml:space="preserve"> requests for </w:t>
      </w:r>
      <w:r w:rsidR="002968FB" w:rsidRPr="002968FB">
        <w:rPr>
          <w:i/>
        </w:rPr>
        <w:t xml:space="preserve">general anesthesia or </w:t>
      </w:r>
      <w:r w:rsidR="00E35218">
        <w:rPr>
          <w:i/>
        </w:rPr>
        <w:t>intravenous (</w:t>
      </w:r>
      <w:r w:rsidR="002968FB" w:rsidRPr="002968FB">
        <w:rPr>
          <w:i/>
        </w:rPr>
        <w:t>IV</w:t>
      </w:r>
      <w:r w:rsidR="00E35218">
        <w:rPr>
          <w:i/>
        </w:rPr>
        <w:t>)</w:t>
      </w:r>
      <w:r w:rsidR="002968FB" w:rsidRPr="002968FB">
        <w:rPr>
          <w:i/>
        </w:rPr>
        <w:t xml:space="preserve"> sedation </w:t>
      </w:r>
      <w:r w:rsidR="002968FB" w:rsidRPr="002968FB">
        <w:t xml:space="preserve">are considered </w:t>
      </w:r>
      <w:r w:rsidR="002968FB" w:rsidRPr="002968FB">
        <w:rPr>
          <w:b/>
        </w:rPr>
        <w:t>medically necessary</w:t>
      </w:r>
      <w:r w:rsidR="002968FB" w:rsidRPr="002968FB">
        <w:t xml:space="preserve"> when any of the following </w:t>
      </w:r>
      <w:r w:rsidR="00F7504B">
        <w:t>is</w:t>
      </w:r>
      <w:r w:rsidR="002968FB" w:rsidRPr="002968FB">
        <w:t xml:space="preserve"> met:  </w:t>
      </w:r>
      <w:r w:rsidR="00DC77FC" w:rsidRPr="00D654C8">
        <w:t xml:space="preserve"> </w:t>
      </w:r>
    </w:p>
    <w:p w14:paraId="32F8B242" w14:textId="651D3D00" w:rsidR="00EA1BAA" w:rsidRPr="00D654C8" w:rsidRDefault="00FF43A2" w:rsidP="00D654C8">
      <w:pPr>
        <w:numPr>
          <w:ilvl w:val="1"/>
          <w:numId w:val="11"/>
        </w:numPr>
        <w:ind w:left="720"/>
      </w:pPr>
      <w:r>
        <w:t xml:space="preserve">Age </w:t>
      </w:r>
      <w:r w:rsidR="006A7D08">
        <w:t>younger</w:t>
      </w:r>
      <w:r>
        <w:t xml:space="preserve"> than</w:t>
      </w:r>
      <w:r w:rsidR="00E12B51">
        <w:t xml:space="preserve"> </w:t>
      </w:r>
      <w:r w:rsidR="0016798E">
        <w:t xml:space="preserve">six </w:t>
      </w:r>
      <w:r w:rsidR="003C08F5">
        <w:t>years</w:t>
      </w:r>
      <w:r w:rsidR="00E12B51" w:rsidRPr="00E12B51">
        <w:t xml:space="preserve"> with a dental condition that requires</w:t>
      </w:r>
      <w:r w:rsidR="00E35218">
        <w:t xml:space="preserve"> complex treatment</w:t>
      </w:r>
      <w:r w:rsidR="00E12B51" w:rsidRPr="00E12B51">
        <w:t xml:space="preserve"> (e.g., multiple amalgam and/or resin-based composite restorations, pulpal therapy, extractions, or any combination of these or other dental procedures);</w:t>
      </w:r>
    </w:p>
    <w:p w14:paraId="5A176A1A" w14:textId="3FA6FE5E" w:rsidR="00F72928" w:rsidRDefault="008736E4" w:rsidP="005147CC">
      <w:pPr>
        <w:numPr>
          <w:ilvl w:val="1"/>
          <w:numId w:val="11"/>
        </w:numPr>
        <w:ind w:left="720"/>
      </w:pPr>
      <w:r>
        <w:t>Has</w:t>
      </w:r>
      <w:r w:rsidR="00E6159B">
        <w:t xml:space="preserve"> physical, intellectual, or medical conditions that make dental treatment under local anesthesia</w:t>
      </w:r>
      <w:r w:rsidR="00E35218">
        <w:t xml:space="preserve"> unsafe and potentially ineffective</w:t>
      </w:r>
      <w:r w:rsidR="00F7504B">
        <w:t>;</w:t>
      </w:r>
      <w:r w:rsidR="00E6159B">
        <w:t xml:space="preserve">  </w:t>
      </w:r>
    </w:p>
    <w:p w14:paraId="74030C1D" w14:textId="2455477C" w:rsidR="007C53D4" w:rsidRDefault="008736E4" w:rsidP="005147CC">
      <w:pPr>
        <w:numPr>
          <w:ilvl w:val="1"/>
          <w:numId w:val="11"/>
        </w:numPr>
        <w:ind w:left="720"/>
      </w:pPr>
      <w:r>
        <w:t>Member/enrollee demonstrates</w:t>
      </w:r>
      <w:r w:rsidR="00AD763B" w:rsidRPr="00AD763B">
        <w:t xml:space="preserve"> uncooperativeness, fear, anxiety, or inability to communicate, with dental needs of such severity that postponing treatment would compromise the member/enrollee’s health</w:t>
      </w:r>
      <w:r w:rsidR="00AD763B">
        <w:t>;</w:t>
      </w:r>
    </w:p>
    <w:p w14:paraId="170D4462" w14:textId="4611BFBD" w:rsidR="007F5C44" w:rsidRPr="006C4150" w:rsidRDefault="007F5C44" w:rsidP="005147CC">
      <w:pPr>
        <w:numPr>
          <w:ilvl w:val="1"/>
          <w:numId w:val="11"/>
        </w:numPr>
        <w:ind w:left="720"/>
      </w:pPr>
      <w:r>
        <w:t xml:space="preserve">Has </w:t>
      </w:r>
      <w:r w:rsidRPr="007F5C44">
        <w:t>sustained oral-facial and/or dental trauma, for which treatment under local anesthesia would be ineffective or compromised</w:t>
      </w:r>
      <w:r>
        <w:t>.</w:t>
      </w:r>
      <w:r w:rsidR="008127E9">
        <w:t xml:space="preserve"> </w:t>
      </w:r>
    </w:p>
    <w:p w14:paraId="48DCBDEB" w14:textId="77777777" w:rsidR="00FB139B" w:rsidRPr="00F06327" w:rsidRDefault="00FB139B" w:rsidP="003840CC">
      <w:pPr>
        <w:rPr>
          <w:bCs/>
        </w:rPr>
      </w:pPr>
    </w:p>
    <w:p w14:paraId="576EC453" w14:textId="77777777" w:rsidR="00FB0592" w:rsidRPr="00943F23" w:rsidRDefault="00FB0592" w:rsidP="00FB0592">
      <w:pPr>
        <w:pStyle w:val="Heading2"/>
        <w:rPr>
          <w:u w:val="none"/>
        </w:rPr>
      </w:pPr>
      <w:r w:rsidRPr="00943F23">
        <w:rPr>
          <w:u w:val="none"/>
        </w:rPr>
        <w:t>Background</w:t>
      </w:r>
    </w:p>
    <w:p w14:paraId="6DA16BD0" w14:textId="1D765167" w:rsidR="00FF7D6C" w:rsidRDefault="00120A24" w:rsidP="00FF7D6C">
      <w:pPr>
        <w:rPr>
          <w:vertAlign w:val="superscript"/>
        </w:rPr>
      </w:pPr>
      <w:r w:rsidRPr="00120A24">
        <w:t>Sedation and anesthesia for dental procedures performed on patients in nontraditional settings, such as acute inpatient facility or ambulatory surgery center, have increased over the past several years. Providers must be qualified and appropriately trained individuals in accordance with state regulations and professional society guidelines.</w:t>
      </w:r>
      <w:r>
        <w:t xml:space="preserve"> </w:t>
      </w:r>
      <w:r w:rsidR="007D0640" w:rsidRPr="007D0640">
        <w:t>According to the American Dental Association (ADA), dentists must comply with their state laws, rules and/or regulations when providing sedation and anesthesia and follow the educational and training requirements for the level of sedation intended. The ADA maintains clinical guidelines and educational/training requirements for all levels of sedation. Providers are encouraged to embrace and utilize the American Academy of Pediatrics (AAP), American Academy of Pediatric Dentistry (AAPD), American Society of</w:t>
      </w:r>
      <w:r w:rsidR="00FF7D6C" w:rsidRPr="00FF7D6C">
        <w:rPr>
          <w:color w:val="000000"/>
          <w:kern w:val="2"/>
          <w14:ligatures w14:val="standardContextual"/>
        </w:rPr>
        <w:t xml:space="preserve"> </w:t>
      </w:r>
      <w:r w:rsidR="00FF7D6C" w:rsidRPr="00FF7D6C">
        <w:t>Anesthesiologists (ASA), Society for Pediatric Anesthesia, American Society of Dentist Anesthesiologists, and Society for Pediatric Sedation guidelines and/or recommendations.</w:t>
      </w:r>
      <w:r w:rsidR="00FF7D6C" w:rsidRPr="00FF7D6C">
        <w:rPr>
          <w:vertAlign w:val="superscript"/>
        </w:rPr>
        <w:t>1</w:t>
      </w:r>
    </w:p>
    <w:p w14:paraId="3699410B" w14:textId="77777777" w:rsidR="00B404A9" w:rsidRPr="00FF7D6C" w:rsidRDefault="00B404A9" w:rsidP="00FF7D6C"/>
    <w:p w14:paraId="2ED3052D" w14:textId="77777777" w:rsidR="00B404A9" w:rsidRDefault="00B404A9" w:rsidP="00B404A9">
      <w:pPr>
        <w:rPr>
          <w:vertAlign w:val="subscript"/>
        </w:rPr>
      </w:pPr>
      <w:r w:rsidRPr="00B404A9">
        <w:t xml:space="preserve">All locations that administer general anesthesia must be equipped with anesthesia emergency drugs, appropriate resuscitation equipment, and properly trained staff to skillfully respond to anesthetic emergencies. Locations covered under this policy are acute care inpatient facilities and ambulatory surgery centers. </w:t>
      </w:r>
      <w:r w:rsidRPr="00B404A9">
        <w:rPr>
          <w:vertAlign w:val="subscript"/>
        </w:rPr>
        <w:t xml:space="preserve"> </w:t>
      </w:r>
    </w:p>
    <w:p w14:paraId="0B30A6D6" w14:textId="77777777" w:rsidR="00B404A9" w:rsidRDefault="00B404A9" w:rsidP="00B404A9"/>
    <w:p w14:paraId="71273EDE" w14:textId="77777777" w:rsidR="004C4A85" w:rsidRPr="004C4A85" w:rsidRDefault="004C4A85" w:rsidP="004C4A85">
      <w:r w:rsidRPr="004C4A85">
        <w:lastRenderedPageBreak/>
        <w:t xml:space="preserve">General anesthesia allows for the safe and humane provision of dental diagnostic and surgically invasive procedures. General anesthesia is only necessary for a small subset of patients but is an effective, efficacious, and safe way to provide necessary treatment. Those included in this subset </w:t>
      </w:r>
    </w:p>
    <w:p w14:paraId="64B0E3FD" w14:textId="20D040CA" w:rsidR="004C4A85" w:rsidRDefault="00E83DFD" w:rsidP="00B404A9">
      <w:pPr>
        <w:rPr>
          <w:vertAlign w:val="superscript"/>
        </w:rPr>
      </w:pPr>
      <w:r w:rsidRPr="00E83DFD">
        <w:t>are children who may be cognitively immature, highly anxious or fearful, have special needs, or medically compromised and unable to receive treatment in a traditional office setting.</w:t>
      </w:r>
      <w:r>
        <w:rPr>
          <w:vertAlign w:val="superscript"/>
        </w:rPr>
        <w:t>3</w:t>
      </w:r>
    </w:p>
    <w:p w14:paraId="5F89FF28" w14:textId="77777777" w:rsidR="00E83DFD" w:rsidRDefault="00E83DFD" w:rsidP="00B404A9">
      <w:pPr>
        <w:rPr>
          <w:vertAlign w:val="superscript"/>
        </w:rPr>
      </w:pPr>
    </w:p>
    <w:p w14:paraId="5181CF56" w14:textId="43E28B27" w:rsidR="00E83DFD" w:rsidRPr="00A94848" w:rsidRDefault="008736E4" w:rsidP="00B404A9">
      <w:pPr>
        <w:rPr>
          <w:vertAlign w:val="superscript"/>
        </w:rPr>
      </w:pPr>
      <w:r>
        <w:t>Limiting access to</w:t>
      </w:r>
      <w:r w:rsidR="00A94848" w:rsidRPr="00A94848">
        <w:t xml:space="preserve"> general anesthesia can result in</w:t>
      </w:r>
      <w:r>
        <w:t xml:space="preserve"> reduced</w:t>
      </w:r>
      <w:r w:rsidR="00A94848" w:rsidRPr="00A94848">
        <w:t xml:space="preserve"> access to quality oral health care and </w:t>
      </w:r>
      <w:r w:rsidR="00F7504B" w:rsidRPr="00A94848">
        <w:t>long-term</w:t>
      </w:r>
      <w:r w:rsidR="00A94848" w:rsidRPr="00A94848">
        <w:t xml:space="preserve"> consequences. Less effective management may increase avoidance behaviors of oral health professionals in the future and increase care being sought in the emergency department. Improved diagnostic yield and greater quality of procedures improves the cost-effectiveness of general anesthesia over local anesthesia in some children.</w:t>
      </w:r>
      <w:r w:rsidR="00A94848">
        <w:rPr>
          <w:vertAlign w:val="superscript"/>
        </w:rPr>
        <w:t>3</w:t>
      </w:r>
    </w:p>
    <w:p w14:paraId="3969F2BB" w14:textId="77777777" w:rsidR="00120A24" w:rsidRPr="000465DE" w:rsidRDefault="00120A24">
      <w:pPr>
        <w:rPr>
          <w:b/>
          <w:bCs/>
        </w:rPr>
      </w:pPr>
    </w:p>
    <w:p w14:paraId="7F37A198" w14:textId="77777777" w:rsidR="00170B14" w:rsidRPr="00B777AF" w:rsidRDefault="00170B14" w:rsidP="00170B14">
      <w:pPr>
        <w:rPr>
          <w:b/>
        </w:rPr>
      </w:pPr>
      <w:bookmarkStart w:id="0" w:name="Coding_Implications"/>
      <w:r w:rsidRPr="00B777AF">
        <w:rPr>
          <w:b/>
        </w:rPr>
        <w:t>Coding Implications</w:t>
      </w:r>
    </w:p>
    <w:bookmarkEnd w:id="0"/>
    <w:p w14:paraId="78406D43" w14:textId="25B06E9B" w:rsidR="008732B5" w:rsidRDefault="00DD6ADB" w:rsidP="00AF5490">
      <w:r w:rsidRPr="00507DC0">
        <w:t xml:space="preserve">This </w:t>
      </w:r>
      <w:r>
        <w:t xml:space="preserve">clinical </w:t>
      </w:r>
      <w:r w:rsidRPr="00507DC0">
        <w:t>policy references Current Procedural Terminology (CPT</w:t>
      </w:r>
      <w:r w:rsidRPr="00DD6ADB">
        <w:rPr>
          <w:vertAlign w:val="superscript"/>
        </w:rPr>
        <w:t>®</w:t>
      </w:r>
      <w:r w:rsidRPr="00507DC0">
        <w:t>). CPT</w:t>
      </w:r>
      <w:r w:rsidRPr="00DD6ADB">
        <w:rPr>
          <w:vertAlign w:val="superscript"/>
        </w:rPr>
        <w:t>®</w:t>
      </w:r>
      <w:r w:rsidRPr="00507DC0">
        <w:t xml:space="preserve"> is a registered trademark of the Americ</w:t>
      </w:r>
      <w:r>
        <w:t>an Medical Association. All CPT</w:t>
      </w:r>
      <w:r w:rsidRPr="00507DC0">
        <w:t xml:space="preserve"> codes and descriptions are copyrighted 20</w:t>
      </w:r>
      <w:r w:rsidR="00821CFF">
        <w:t>2</w:t>
      </w:r>
      <w:r w:rsidR="00400A9C">
        <w:t>4</w:t>
      </w:r>
      <w:r w:rsidRPr="00507DC0">
        <w:t>, American Medical Association. All rights reserved. CPT</w:t>
      </w:r>
      <w:r>
        <w:t xml:space="preserve"> codes and CPT</w:t>
      </w:r>
      <w:r w:rsidRPr="00507DC0">
        <w:t xml:space="preserve"> descriptions are from </w:t>
      </w:r>
      <w:r>
        <w:t xml:space="preserve">the </w:t>
      </w:r>
      <w:r w:rsidRPr="00507DC0">
        <w:t xml:space="preserve">current manuals and those included herein are not intended to be all-inclusive and are included for informational purposes only. </w:t>
      </w:r>
      <w:r w:rsidRPr="00E7516C">
        <w:t xml:space="preserve"> </w:t>
      </w:r>
      <w:r w:rsidRPr="005E117C">
        <w:t>Codes</w:t>
      </w:r>
      <w:r>
        <w:t xml:space="preserve"> referenced in this c</w:t>
      </w:r>
      <w:r w:rsidRPr="005E117C">
        <w:t xml:space="preserve">linical </w:t>
      </w:r>
      <w:r>
        <w:t>p</w:t>
      </w:r>
      <w:r w:rsidRPr="005E117C">
        <w:t>olicy are for informational purposes only.  Inclusion or exclusion of any codes does not guarantee coverage.  Providers should reference the most up-to-date sources of professional coding guidance prior to the submission of claims for reimbursement of covered services.</w:t>
      </w:r>
    </w:p>
    <w:p w14:paraId="6FCC325D" w14:textId="77777777" w:rsidR="00170616" w:rsidRPr="00A85489" w:rsidRDefault="00170616" w:rsidP="00AF5490"/>
    <w:tbl>
      <w:tblPr>
        <w:tblStyle w:val="TableGrid"/>
        <w:tblW w:w="5000" w:type="pct"/>
        <w:tblLook w:val="0020" w:firstRow="1" w:lastRow="0" w:firstColumn="0" w:lastColumn="0" w:noHBand="0" w:noVBand="0"/>
      </w:tblPr>
      <w:tblGrid>
        <w:gridCol w:w="1109"/>
        <w:gridCol w:w="8241"/>
      </w:tblGrid>
      <w:tr w:rsidR="00B777AF" w:rsidRPr="00B777AF" w14:paraId="38C6756D" w14:textId="77777777" w:rsidTr="0080062A">
        <w:trPr>
          <w:tblHeader/>
        </w:trPr>
        <w:tc>
          <w:tcPr>
            <w:tcW w:w="1109" w:type="dxa"/>
            <w:shd w:val="clear" w:color="auto" w:fill="00548C"/>
          </w:tcPr>
          <w:p w14:paraId="07C32E54" w14:textId="77777777" w:rsidR="00D36448" w:rsidRPr="00B777AF" w:rsidRDefault="00D36448" w:rsidP="00C10DF0">
            <w:pPr>
              <w:rPr>
                <w:b/>
                <w:bCs/>
                <w:color w:val="FFFFFF" w:themeColor="background1"/>
              </w:rPr>
            </w:pPr>
            <w:r w:rsidRPr="00B777AF">
              <w:rPr>
                <w:b/>
                <w:color w:val="FFFFFF" w:themeColor="background1"/>
              </w:rPr>
              <w:t>CPT</w:t>
            </w:r>
            <w:r w:rsidR="005D7B81">
              <w:rPr>
                <w:b/>
                <w:color w:val="FFFFFF" w:themeColor="background1"/>
                <w:vertAlign w:val="superscript"/>
              </w:rPr>
              <w:t>®</w:t>
            </w:r>
            <w:r w:rsidRPr="00B777AF">
              <w:rPr>
                <w:b/>
                <w:color w:val="FFFFFF" w:themeColor="background1"/>
              </w:rPr>
              <w:t xml:space="preserve"> Codes </w:t>
            </w:r>
          </w:p>
        </w:tc>
        <w:tc>
          <w:tcPr>
            <w:tcW w:w="8606" w:type="dxa"/>
            <w:shd w:val="clear" w:color="auto" w:fill="00548C"/>
          </w:tcPr>
          <w:p w14:paraId="65D508FB" w14:textId="77777777" w:rsidR="00D36448" w:rsidRPr="00B777AF" w:rsidRDefault="00D36448" w:rsidP="00C10DF0">
            <w:pPr>
              <w:rPr>
                <w:b/>
                <w:bCs/>
                <w:color w:val="FFFFFF" w:themeColor="background1"/>
              </w:rPr>
            </w:pPr>
            <w:r w:rsidRPr="00B777AF">
              <w:rPr>
                <w:b/>
                <w:color w:val="FFFFFF" w:themeColor="background1"/>
              </w:rPr>
              <w:t>Description</w:t>
            </w:r>
          </w:p>
        </w:tc>
      </w:tr>
      <w:tr w:rsidR="00CE4DA5" w14:paraId="6AD01F05" w14:textId="77777777" w:rsidTr="0080062A">
        <w:tblPrEx>
          <w:tblLook w:val="04A0" w:firstRow="1" w:lastRow="0" w:firstColumn="1" w:lastColumn="0" w:noHBand="0" w:noVBand="1"/>
        </w:tblPrEx>
        <w:trPr>
          <w:trHeight w:val="369"/>
        </w:trPr>
        <w:tc>
          <w:tcPr>
            <w:tcW w:w="1109" w:type="dxa"/>
            <w:noWrap/>
            <w:hideMark/>
          </w:tcPr>
          <w:p w14:paraId="73631011" w14:textId="14AAEC85" w:rsidR="00CE4DA5" w:rsidRPr="00CE4DA5" w:rsidRDefault="00B37346" w:rsidP="00170616">
            <w:pPr>
              <w:rPr>
                <w:color w:val="000000"/>
              </w:rPr>
            </w:pPr>
            <w:r w:rsidRPr="00B37346">
              <w:rPr>
                <w:color w:val="000000"/>
              </w:rPr>
              <w:t>00170</w:t>
            </w:r>
          </w:p>
        </w:tc>
        <w:tc>
          <w:tcPr>
            <w:tcW w:w="8606" w:type="dxa"/>
            <w:hideMark/>
          </w:tcPr>
          <w:p w14:paraId="3A6C60F3" w14:textId="556FE298" w:rsidR="00CE4DA5" w:rsidRPr="00CE4DA5" w:rsidRDefault="00196CA6" w:rsidP="00170616">
            <w:pPr>
              <w:rPr>
                <w:color w:val="000000"/>
              </w:rPr>
            </w:pPr>
            <w:r w:rsidRPr="00196CA6">
              <w:rPr>
                <w:color w:val="000000"/>
              </w:rPr>
              <w:t>Anesthesia for intraoral procedures, including biopsy; not otherwise specified</w:t>
            </w:r>
          </w:p>
        </w:tc>
      </w:tr>
      <w:tr w:rsidR="00CE4DA5" w14:paraId="54EFD223" w14:textId="77777777" w:rsidTr="0080062A">
        <w:tblPrEx>
          <w:tblLook w:val="04A0" w:firstRow="1" w:lastRow="0" w:firstColumn="1" w:lastColumn="0" w:noHBand="0" w:noVBand="1"/>
        </w:tblPrEx>
        <w:trPr>
          <w:trHeight w:val="369"/>
        </w:trPr>
        <w:tc>
          <w:tcPr>
            <w:tcW w:w="1109" w:type="dxa"/>
            <w:noWrap/>
            <w:hideMark/>
          </w:tcPr>
          <w:p w14:paraId="4D42ED5D" w14:textId="0F4A4BCB" w:rsidR="00CE4DA5" w:rsidRPr="00DB648A" w:rsidRDefault="001447AA" w:rsidP="00170616">
            <w:pPr>
              <w:rPr>
                <w:color w:val="000000"/>
              </w:rPr>
            </w:pPr>
            <w:r w:rsidRPr="001447AA">
              <w:rPr>
                <w:color w:val="000000"/>
              </w:rPr>
              <w:t>00190</w:t>
            </w:r>
          </w:p>
        </w:tc>
        <w:tc>
          <w:tcPr>
            <w:tcW w:w="8606" w:type="dxa"/>
            <w:hideMark/>
          </w:tcPr>
          <w:p w14:paraId="1B98EE04" w14:textId="7EE093F6" w:rsidR="00CE4DA5" w:rsidRPr="00DB648A" w:rsidRDefault="003A40CF" w:rsidP="00170616">
            <w:pPr>
              <w:rPr>
                <w:color w:val="000000"/>
              </w:rPr>
            </w:pPr>
            <w:r w:rsidRPr="003A40CF">
              <w:rPr>
                <w:color w:val="000000"/>
              </w:rPr>
              <w:t>Anesthesia for procedures on facial bones or skull; not otherwise specified</w:t>
            </w:r>
          </w:p>
        </w:tc>
      </w:tr>
    </w:tbl>
    <w:p w14:paraId="7C1ED7EC" w14:textId="77777777" w:rsidR="00AF5490" w:rsidRDefault="00AF5490" w:rsidP="00AF5490"/>
    <w:p w14:paraId="2B43305E" w14:textId="77777777" w:rsidR="00350F22" w:rsidRDefault="00350F22" w:rsidP="00AF5490"/>
    <w:tbl>
      <w:tblPr>
        <w:tblStyle w:val="LightList-Accent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190"/>
        <w:gridCol w:w="1198"/>
        <w:gridCol w:w="1260"/>
      </w:tblGrid>
      <w:tr w:rsidR="00B777AF" w:rsidRPr="00B777AF" w14:paraId="215E0035" w14:textId="77777777" w:rsidTr="008D6CA9">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90" w:type="dxa"/>
            <w:tcBorders>
              <w:left w:val="none" w:sz="0" w:space="0" w:color="auto"/>
              <w:right w:val="none" w:sz="0" w:space="0" w:color="auto"/>
            </w:tcBorders>
            <w:shd w:val="clear" w:color="auto" w:fill="00548C"/>
          </w:tcPr>
          <w:p w14:paraId="4BA34131" w14:textId="77777777" w:rsidR="00B777AF" w:rsidRPr="00B777AF" w:rsidRDefault="00B777AF" w:rsidP="00B777AF">
            <w:pPr>
              <w:rPr>
                <w:bCs w:val="0"/>
              </w:rPr>
            </w:pPr>
            <w:bookmarkStart w:id="1" w:name="Revision_Log"/>
            <w:r w:rsidRPr="00B777AF">
              <w:rPr>
                <w:bCs w:val="0"/>
              </w:rPr>
              <w:t>Reviews</w:t>
            </w:r>
            <w:r>
              <w:rPr>
                <w:bCs w:val="0"/>
              </w:rPr>
              <w:t>, Revisions, and Approvals</w:t>
            </w:r>
            <w:bookmarkEnd w:id="1"/>
          </w:p>
        </w:tc>
        <w:tc>
          <w:tcPr>
            <w:tcW w:w="1198" w:type="dxa"/>
            <w:shd w:val="clear" w:color="auto" w:fill="00548C"/>
          </w:tcPr>
          <w:p w14:paraId="5108D3BC" w14:textId="77777777" w:rsidR="00B777AF" w:rsidRPr="00B777AF" w:rsidRDefault="008D6CA9" w:rsidP="005776FD">
            <w:pPr>
              <w:jc w:val="center"/>
              <w:cnfStyle w:val="100000000000" w:firstRow="1" w:lastRow="0" w:firstColumn="0" w:lastColumn="0" w:oddVBand="0" w:evenVBand="0" w:oddHBand="0" w:evenHBand="0" w:firstRowFirstColumn="0" w:firstRowLastColumn="0" w:lastRowFirstColumn="0" w:lastRowLastColumn="0"/>
              <w:rPr>
                <w:bCs w:val="0"/>
              </w:rPr>
            </w:pPr>
            <w:r>
              <w:rPr>
                <w:bCs w:val="0"/>
              </w:rPr>
              <w:t xml:space="preserve">Revision </w:t>
            </w:r>
            <w:r w:rsidR="00B777AF"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shd w:val="clear" w:color="auto" w:fill="00548C"/>
          </w:tcPr>
          <w:p w14:paraId="5AAFB274" w14:textId="77777777" w:rsidR="00B777AF" w:rsidRPr="00B777AF" w:rsidRDefault="001818D7" w:rsidP="00857C10">
            <w:pPr>
              <w:jc w:val="center"/>
              <w:rPr>
                <w:bCs w:val="0"/>
              </w:rPr>
            </w:pPr>
            <w:r>
              <w:rPr>
                <w:bCs w:val="0"/>
              </w:rPr>
              <w:t>Approval</w:t>
            </w:r>
            <w:r w:rsidR="00B777AF" w:rsidRPr="00B777AF">
              <w:rPr>
                <w:bCs w:val="0"/>
              </w:rPr>
              <w:t xml:space="preserve"> Date</w:t>
            </w:r>
          </w:p>
        </w:tc>
      </w:tr>
      <w:tr w:rsidR="00B02B14" w14:paraId="7A4B80C3" w14:textId="77777777" w:rsidTr="000964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Borders>
              <w:top w:val="none" w:sz="0" w:space="0" w:color="auto"/>
              <w:left w:val="none" w:sz="0" w:space="0" w:color="auto"/>
              <w:bottom w:val="none" w:sz="0" w:space="0" w:color="auto"/>
              <w:right w:val="none" w:sz="0" w:space="0" w:color="auto"/>
            </w:tcBorders>
          </w:tcPr>
          <w:p w14:paraId="2E3AB298" w14:textId="39E9253B" w:rsidR="00B02B14" w:rsidRDefault="00B02B14" w:rsidP="00B02B14">
            <w:pPr>
              <w:tabs>
                <w:tab w:val="num" w:pos="720"/>
              </w:tabs>
            </w:pPr>
            <w:r>
              <w:t xml:space="preserve">Policy developed. </w:t>
            </w:r>
          </w:p>
        </w:tc>
        <w:tc>
          <w:tcPr>
            <w:tcW w:w="1198" w:type="dxa"/>
            <w:tcBorders>
              <w:top w:val="none" w:sz="0" w:space="0" w:color="auto"/>
              <w:bottom w:val="none" w:sz="0" w:space="0" w:color="auto"/>
            </w:tcBorders>
          </w:tcPr>
          <w:p w14:paraId="1CE233AF" w14:textId="4C8D74CA" w:rsidR="00B02B14" w:rsidRDefault="00B02B14" w:rsidP="00B02B14">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60" w:type="dxa"/>
            <w:tcBorders>
              <w:top w:val="single" w:sz="8" w:space="0" w:color="000000"/>
              <w:left w:val="single" w:sz="8" w:space="0" w:color="000000"/>
              <w:bottom w:val="single" w:sz="8" w:space="0" w:color="000000"/>
              <w:right w:val="single" w:sz="8" w:space="0" w:color="4F81BC"/>
            </w:tcBorders>
          </w:tcPr>
          <w:p w14:paraId="2CE57879" w14:textId="7E773872" w:rsidR="00B02B14" w:rsidRDefault="00B02B14" w:rsidP="00B02B14">
            <w:pPr>
              <w:jc w:val="center"/>
            </w:pPr>
            <w:r>
              <w:t xml:space="preserve">06/13 </w:t>
            </w:r>
          </w:p>
        </w:tc>
      </w:tr>
      <w:tr w:rsidR="00DD4F3E" w14:paraId="0F7096FD" w14:textId="77777777" w:rsidTr="00B5256B">
        <w:tc>
          <w:tcPr>
            <w:cnfStyle w:val="000010000000" w:firstRow="0" w:lastRow="0" w:firstColumn="0" w:lastColumn="0" w:oddVBand="1" w:evenVBand="0" w:oddHBand="0" w:evenHBand="0" w:firstRowFirstColumn="0" w:firstRowLastColumn="0" w:lastRowFirstColumn="0" w:lastRowLastColumn="0"/>
            <w:tcW w:w="7190" w:type="dxa"/>
            <w:tcBorders>
              <w:top w:val="single" w:sz="8" w:space="0" w:color="000000"/>
              <w:left w:val="single" w:sz="8" w:space="0" w:color="4F81BC"/>
              <w:bottom w:val="single" w:sz="8" w:space="0" w:color="000000"/>
              <w:right w:val="single" w:sz="8" w:space="0" w:color="000000"/>
            </w:tcBorders>
          </w:tcPr>
          <w:p w14:paraId="58752C4E" w14:textId="24BBD5A1" w:rsidR="00DD4F3E" w:rsidRDefault="00DD4F3E" w:rsidP="00DD4F3E">
            <w:pPr>
              <w:tabs>
                <w:tab w:val="num" w:pos="720"/>
              </w:tabs>
            </w:pPr>
            <w:r>
              <w:t xml:space="preserve">Annual review. References reviewed and updated. Replaced all instances of member with member/enrollee. Specialist reviewed.  </w:t>
            </w:r>
          </w:p>
        </w:tc>
        <w:tc>
          <w:tcPr>
            <w:tcW w:w="1198" w:type="dxa"/>
            <w:tcBorders>
              <w:top w:val="single" w:sz="8" w:space="0" w:color="000000"/>
              <w:left w:val="single" w:sz="8" w:space="0" w:color="000000"/>
              <w:bottom w:val="single" w:sz="8" w:space="0" w:color="000000"/>
              <w:right w:val="single" w:sz="8" w:space="0" w:color="000000"/>
            </w:tcBorders>
          </w:tcPr>
          <w:p w14:paraId="22319DA1" w14:textId="224EBB29" w:rsidR="00DD4F3E" w:rsidRDefault="00DD4F3E" w:rsidP="00DD4F3E">
            <w:pPr>
              <w:jc w:val="center"/>
              <w:cnfStyle w:val="000000000000" w:firstRow="0" w:lastRow="0" w:firstColumn="0" w:lastColumn="0" w:oddVBand="0" w:evenVBand="0" w:oddHBand="0" w:evenHBand="0" w:firstRowFirstColumn="0" w:firstRowLastColumn="0" w:lastRowFirstColumn="0" w:lastRowLastColumn="0"/>
            </w:pPr>
            <w:r>
              <w:t xml:space="preserve">02/21 </w:t>
            </w:r>
          </w:p>
        </w:tc>
        <w:tc>
          <w:tcPr>
            <w:cnfStyle w:val="000010000000" w:firstRow="0" w:lastRow="0" w:firstColumn="0" w:lastColumn="0" w:oddVBand="1" w:evenVBand="0" w:oddHBand="0" w:evenHBand="0" w:firstRowFirstColumn="0" w:firstRowLastColumn="0" w:lastRowFirstColumn="0" w:lastRowLastColumn="0"/>
            <w:tcW w:w="1260" w:type="dxa"/>
            <w:tcBorders>
              <w:top w:val="single" w:sz="8" w:space="0" w:color="000000"/>
              <w:left w:val="single" w:sz="8" w:space="0" w:color="000000"/>
              <w:bottom w:val="single" w:sz="8" w:space="0" w:color="000000"/>
              <w:right w:val="single" w:sz="8" w:space="0" w:color="4F81BC"/>
            </w:tcBorders>
          </w:tcPr>
          <w:p w14:paraId="6478F58A" w14:textId="1EF866AA" w:rsidR="00DD4F3E" w:rsidRDefault="00DD4F3E" w:rsidP="00DD4F3E">
            <w:pPr>
              <w:jc w:val="center"/>
            </w:pPr>
            <w:r>
              <w:t xml:space="preserve">03/21 </w:t>
            </w:r>
          </w:p>
        </w:tc>
      </w:tr>
      <w:tr w:rsidR="00DD4F3E" w14:paraId="0A639175" w14:textId="77777777" w:rsidTr="00B525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Borders>
              <w:top w:val="single" w:sz="8" w:space="0" w:color="000000"/>
              <w:left w:val="single" w:sz="8" w:space="0" w:color="4F81BC"/>
              <w:bottom w:val="single" w:sz="8" w:space="0" w:color="000000"/>
              <w:right w:val="single" w:sz="8" w:space="0" w:color="000000"/>
            </w:tcBorders>
          </w:tcPr>
          <w:p w14:paraId="4D6DA2FC" w14:textId="54FF51CF" w:rsidR="00DD4F3E" w:rsidRDefault="00DD4F3E" w:rsidP="00DD4F3E">
            <w:pPr>
              <w:tabs>
                <w:tab w:val="num" w:pos="720"/>
              </w:tabs>
            </w:pPr>
            <w:r>
              <w:t xml:space="preserve">Annual review. References reviewed, updated, and reformatted. Changed “review date” in the header to “date of last revision” and “date” in the revision log header to “revision date.” </w:t>
            </w:r>
          </w:p>
        </w:tc>
        <w:tc>
          <w:tcPr>
            <w:tcW w:w="1198" w:type="dxa"/>
            <w:tcBorders>
              <w:top w:val="single" w:sz="8" w:space="0" w:color="000000"/>
              <w:left w:val="single" w:sz="8" w:space="0" w:color="000000"/>
              <w:bottom w:val="single" w:sz="8" w:space="0" w:color="000000"/>
              <w:right w:val="single" w:sz="8" w:space="0" w:color="000000"/>
            </w:tcBorders>
          </w:tcPr>
          <w:p w14:paraId="02127F08" w14:textId="416EE98A" w:rsidR="00DD4F3E" w:rsidRDefault="00DD4F3E" w:rsidP="00DD4F3E">
            <w:pPr>
              <w:jc w:val="center"/>
              <w:cnfStyle w:val="000000100000" w:firstRow="0" w:lastRow="0" w:firstColumn="0" w:lastColumn="0" w:oddVBand="0" w:evenVBand="0" w:oddHBand="1" w:evenHBand="0" w:firstRowFirstColumn="0" w:firstRowLastColumn="0" w:lastRowFirstColumn="0" w:lastRowLastColumn="0"/>
            </w:pPr>
            <w:r>
              <w:t xml:space="preserve">10/21 </w:t>
            </w:r>
          </w:p>
        </w:tc>
        <w:tc>
          <w:tcPr>
            <w:cnfStyle w:val="000010000000" w:firstRow="0" w:lastRow="0" w:firstColumn="0" w:lastColumn="0" w:oddVBand="1" w:evenVBand="0" w:oddHBand="0" w:evenHBand="0" w:firstRowFirstColumn="0" w:firstRowLastColumn="0" w:lastRowFirstColumn="0" w:lastRowLastColumn="0"/>
            <w:tcW w:w="1260" w:type="dxa"/>
            <w:tcBorders>
              <w:top w:val="single" w:sz="8" w:space="0" w:color="000000"/>
              <w:left w:val="single" w:sz="8" w:space="0" w:color="000000"/>
              <w:bottom w:val="single" w:sz="8" w:space="0" w:color="000000"/>
              <w:right w:val="single" w:sz="8" w:space="0" w:color="4F81BC"/>
            </w:tcBorders>
          </w:tcPr>
          <w:p w14:paraId="1AA01573" w14:textId="3A874978" w:rsidR="00DD4F3E" w:rsidRDefault="00DD4F3E" w:rsidP="00DD4F3E">
            <w:pPr>
              <w:jc w:val="center"/>
            </w:pPr>
            <w:r>
              <w:t xml:space="preserve">10/21 </w:t>
            </w:r>
          </w:p>
        </w:tc>
      </w:tr>
      <w:tr w:rsidR="001C2991" w14:paraId="5877BE5C" w14:textId="77777777" w:rsidTr="00B5256B">
        <w:tc>
          <w:tcPr>
            <w:cnfStyle w:val="000010000000" w:firstRow="0" w:lastRow="0" w:firstColumn="0" w:lastColumn="0" w:oddVBand="1" w:evenVBand="0" w:oddHBand="0" w:evenHBand="0" w:firstRowFirstColumn="0" w:firstRowLastColumn="0" w:lastRowFirstColumn="0" w:lastRowLastColumn="0"/>
            <w:tcW w:w="7190" w:type="dxa"/>
            <w:tcBorders>
              <w:top w:val="single" w:sz="8" w:space="0" w:color="000000"/>
              <w:left w:val="single" w:sz="8" w:space="0" w:color="4F81BC"/>
              <w:bottom w:val="single" w:sz="8" w:space="0" w:color="000000"/>
              <w:right w:val="single" w:sz="8" w:space="0" w:color="000000"/>
            </w:tcBorders>
          </w:tcPr>
          <w:p w14:paraId="04B69B11" w14:textId="5098C54F" w:rsidR="001C2991" w:rsidRDefault="001C2991" w:rsidP="001C2991">
            <w:pPr>
              <w:tabs>
                <w:tab w:val="num" w:pos="720"/>
              </w:tabs>
            </w:pPr>
            <w:r>
              <w:t xml:space="preserve">Changed title from “Dental Anesthesia” to “IV Moderate Sedation, IV Deep Sedation, and General Anesthesia for Dental Procedures” and adopted the Envolve Dental Policy criteria from ENVD.UM.CP.0009, approved 11/21. Removed HCPCS code D9230. Minor rewording without clinical significance. Specified that general criteria in I. must be met in addition to POS-specific criteria in II or III. Clarified in I. that A (indications), B (lack of contraindications), and C (documentation) must all be met. Specified in II that absence of comorbidities applies to all indications. Moved professional society guidelines/recommendations, </w:t>
            </w:r>
            <w:r>
              <w:lastRenderedPageBreak/>
              <w:t xml:space="preserve">list of sedation/anesthesia drugs, and definitions to the background.  References reviewed, updated, and reformatted.  </w:t>
            </w:r>
          </w:p>
        </w:tc>
        <w:tc>
          <w:tcPr>
            <w:tcW w:w="1198" w:type="dxa"/>
            <w:tcBorders>
              <w:top w:val="single" w:sz="8" w:space="0" w:color="000000"/>
              <w:left w:val="single" w:sz="8" w:space="0" w:color="000000"/>
              <w:bottom w:val="single" w:sz="8" w:space="0" w:color="000000"/>
              <w:right w:val="single" w:sz="8" w:space="0" w:color="000000"/>
            </w:tcBorders>
          </w:tcPr>
          <w:p w14:paraId="6C677EB0" w14:textId="1731C19A" w:rsidR="001C2991" w:rsidRDefault="001C2991" w:rsidP="00DD4F3E">
            <w:pPr>
              <w:jc w:val="center"/>
              <w:cnfStyle w:val="000000000000" w:firstRow="0" w:lastRow="0" w:firstColumn="0" w:lastColumn="0" w:oddVBand="0" w:evenVBand="0" w:oddHBand="0" w:evenHBand="0" w:firstRowFirstColumn="0" w:firstRowLastColumn="0" w:lastRowFirstColumn="0" w:lastRowLastColumn="0"/>
            </w:pPr>
            <w:r>
              <w:lastRenderedPageBreak/>
              <w:t>10/22</w:t>
            </w:r>
          </w:p>
        </w:tc>
        <w:tc>
          <w:tcPr>
            <w:cnfStyle w:val="000010000000" w:firstRow="0" w:lastRow="0" w:firstColumn="0" w:lastColumn="0" w:oddVBand="1" w:evenVBand="0" w:oddHBand="0" w:evenHBand="0" w:firstRowFirstColumn="0" w:firstRowLastColumn="0" w:lastRowFirstColumn="0" w:lastRowLastColumn="0"/>
            <w:tcW w:w="1260" w:type="dxa"/>
            <w:tcBorders>
              <w:top w:val="single" w:sz="8" w:space="0" w:color="000000"/>
              <w:left w:val="single" w:sz="8" w:space="0" w:color="000000"/>
              <w:bottom w:val="single" w:sz="8" w:space="0" w:color="000000"/>
              <w:right w:val="single" w:sz="8" w:space="0" w:color="4F81BC"/>
            </w:tcBorders>
          </w:tcPr>
          <w:p w14:paraId="597429E3" w14:textId="241990B8" w:rsidR="001C2991" w:rsidRDefault="001C2991" w:rsidP="00DD4F3E">
            <w:pPr>
              <w:jc w:val="center"/>
            </w:pPr>
            <w:r>
              <w:t>10/22</w:t>
            </w:r>
          </w:p>
        </w:tc>
      </w:tr>
      <w:tr w:rsidR="001C2991" w14:paraId="5F9B9085" w14:textId="77777777" w:rsidTr="00B525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Borders>
              <w:top w:val="single" w:sz="8" w:space="0" w:color="000000"/>
              <w:left w:val="single" w:sz="8" w:space="0" w:color="4F81BC"/>
              <w:bottom w:val="single" w:sz="8" w:space="0" w:color="000000"/>
              <w:right w:val="single" w:sz="8" w:space="0" w:color="000000"/>
            </w:tcBorders>
          </w:tcPr>
          <w:p w14:paraId="174F896D" w14:textId="43FB8D08" w:rsidR="001C2991" w:rsidRDefault="001C2991" w:rsidP="001C2991">
            <w:pPr>
              <w:tabs>
                <w:tab w:val="num" w:pos="720"/>
              </w:tabs>
            </w:pPr>
            <w:r>
              <w:t>Annual Review. In I.A. replaced “any” with “one or more” with no impact to criteria. Combined I.C.1. and I.C.2. Background: added “pre-operative preparation” and restructured wording with no impact to criteria. Added CDT disclaimer under coding implications. References reviewed and updated. Reviewed by internal specialist.</w:t>
            </w:r>
          </w:p>
        </w:tc>
        <w:tc>
          <w:tcPr>
            <w:tcW w:w="1198" w:type="dxa"/>
            <w:tcBorders>
              <w:top w:val="single" w:sz="8" w:space="0" w:color="000000"/>
              <w:left w:val="single" w:sz="8" w:space="0" w:color="000000"/>
              <w:bottom w:val="single" w:sz="8" w:space="0" w:color="000000"/>
              <w:right w:val="single" w:sz="8" w:space="0" w:color="000000"/>
            </w:tcBorders>
          </w:tcPr>
          <w:p w14:paraId="6157C767" w14:textId="5910C8D0" w:rsidR="001C2991" w:rsidRDefault="001C2991" w:rsidP="00DD4F3E">
            <w:pPr>
              <w:jc w:val="center"/>
              <w:cnfStyle w:val="000000100000" w:firstRow="0" w:lastRow="0" w:firstColumn="0" w:lastColumn="0" w:oddVBand="0" w:evenVBand="0" w:oddHBand="1" w:evenHBand="0" w:firstRowFirstColumn="0" w:firstRowLastColumn="0" w:lastRowFirstColumn="0" w:lastRowLastColumn="0"/>
            </w:pPr>
            <w:r>
              <w:t>10/23</w:t>
            </w:r>
          </w:p>
        </w:tc>
        <w:tc>
          <w:tcPr>
            <w:cnfStyle w:val="000010000000" w:firstRow="0" w:lastRow="0" w:firstColumn="0" w:lastColumn="0" w:oddVBand="1" w:evenVBand="0" w:oddHBand="0" w:evenHBand="0" w:firstRowFirstColumn="0" w:firstRowLastColumn="0" w:lastRowFirstColumn="0" w:lastRowLastColumn="0"/>
            <w:tcW w:w="1260" w:type="dxa"/>
            <w:tcBorders>
              <w:top w:val="single" w:sz="8" w:space="0" w:color="000000"/>
              <w:left w:val="single" w:sz="8" w:space="0" w:color="000000"/>
              <w:bottom w:val="single" w:sz="8" w:space="0" w:color="000000"/>
              <w:right w:val="single" w:sz="8" w:space="0" w:color="4F81BC"/>
            </w:tcBorders>
          </w:tcPr>
          <w:p w14:paraId="7F89AC15" w14:textId="5604CD31" w:rsidR="001C2991" w:rsidRDefault="001C2991" w:rsidP="00DD4F3E">
            <w:pPr>
              <w:jc w:val="center"/>
            </w:pPr>
            <w:r>
              <w:t>10/23</w:t>
            </w:r>
          </w:p>
        </w:tc>
      </w:tr>
      <w:tr w:rsidR="001C2991" w14:paraId="48C6C46B" w14:textId="77777777" w:rsidTr="00B5256B">
        <w:tc>
          <w:tcPr>
            <w:cnfStyle w:val="000010000000" w:firstRow="0" w:lastRow="0" w:firstColumn="0" w:lastColumn="0" w:oddVBand="1" w:evenVBand="0" w:oddHBand="0" w:evenHBand="0" w:firstRowFirstColumn="0" w:firstRowLastColumn="0" w:lastRowFirstColumn="0" w:lastRowLastColumn="0"/>
            <w:tcW w:w="7190" w:type="dxa"/>
            <w:tcBorders>
              <w:top w:val="single" w:sz="8" w:space="0" w:color="000000"/>
              <w:left w:val="single" w:sz="8" w:space="0" w:color="4F81BC"/>
              <w:bottom w:val="single" w:sz="8" w:space="0" w:color="000000"/>
              <w:right w:val="single" w:sz="8" w:space="0" w:color="000000"/>
            </w:tcBorders>
          </w:tcPr>
          <w:p w14:paraId="563AE0CA" w14:textId="78889F3A" w:rsidR="001C2991" w:rsidRDefault="001C2991" w:rsidP="00DD4F3E">
            <w:pPr>
              <w:tabs>
                <w:tab w:val="num" w:pos="720"/>
              </w:tabs>
            </w:pPr>
            <w:r>
              <w:t>Annual review. Background updated with no impact on criteria. References reviewed and updated. Reviewed by external specialist.</w:t>
            </w:r>
          </w:p>
        </w:tc>
        <w:tc>
          <w:tcPr>
            <w:tcW w:w="1198" w:type="dxa"/>
            <w:tcBorders>
              <w:top w:val="single" w:sz="8" w:space="0" w:color="000000"/>
              <w:left w:val="single" w:sz="8" w:space="0" w:color="000000"/>
              <w:bottom w:val="single" w:sz="8" w:space="0" w:color="000000"/>
              <w:right w:val="single" w:sz="8" w:space="0" w:color="000000"/>
            </w:tcBorders>
          </w:tcPr>
          <w:p w14:paraId="2BCE8DC2" w14:textId="4507C16D" w:rsidR="001C2991" w:rsidRDefault="001C2991" w:rsidP="00DD4F3E">
            <w:pPr>
              <w:jc w:val="center"/>
              <w:cnfStyle w:val="000000000000" w:firstRow="0" w:lastRow="0" w:firstColumn="0" w:lastColumn="0" w:oddVBand="0" w:evenVBand="0" w:oddHBand="0" w:evenHBand="0" w:firstRowFirstColumn="0" w:firstRowLastColumn="0" w:lastRowFirstColumn="0" w:lastRowLastColumn="0"/>
            </w:pPr>
            <w:r>
              <w:t>8/24</w:t>
            </w:r>
          </w:p>
        </w:tc>
        <w:tc>
          <w:tcPr>
            <w:cnfStyle w:val="000010000000" w:firstRow="0" w:lastRow="0" w:firstColumn="0" w:lastColumn="0" w:oddVBand="1" w:evenVBand="0" w:oddHBand="0" w:evenHBand="0" w:firstRowFirstColumn="0" w:firstRowLastColumn="0" w:lastRowFirstColumn="0" w:lastRowLastColumn="0"/>
            <w:tcW w:w="1260" w:type="dxa"/>
            <w:tcBorders>
              <w:top w:val="single" w:sz="8" w:space="0" w:color="000000"/>
              <w:left w:val="single" w:sz="8" w:space="0" w:color="000000"/>
              <w:bottom w:val="single" w:sz="8" w:space="0" w:color="000000"/>
              <w:right w:val="single" w:sz="8" w:space="0" w:color="4F81BC"/>
            </w:tcBorders>
          </w:tcPr>
          <w:p w14:paraId="2E21264B" w14:textId="5A1319FB" w:rsidR="001C2991" w:rsidRDefault="001C2991" w:rsidP="00DD4F3E">
            <w:pPr>
              <w:jc w:val="center"/>
            </w:pPr>
            <w:r>
              <w:t>8/24</w:t>
            </w:r>
          </w:p>
        </w:tc>
      </w:tr>
      <w:tr w:rsidR="00DD4F3E" w14:paraId="41FC4FED" w14:textId="77777777" w:rsidTr="008D6C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Pr>
          <w:p w14:paraId="49D8DEEB" w14:textId="5591A5E9" w:rsidR="00DD4F3E" w:rsidRDefault="002800C1" w:rsidP="00DD4F3E">
            <w:pPr>
              <w:tabs>
                <w:tab w:val="num" w:pos="720"/>
              </w:tabs>
            </w:pPr>
            <w:r w:rsidRPr="002800C1">
              <w:t xml:space="preserve">Annual review. </w:t>
            </w:r>
            <w:r w:rsidR="001C2991">
              <w:t>E</w:t>
            </w:r>
            <w:r w:rsidR="001C2991" w:rsidRPr="001C2991">
              <w:t>xtensive revisions made to all existing policy criteria</w:t>
            </w:r>
            <w:r w:rsidR="001C2991">
              <w:t xml:space="preserve">. </w:t>
            </w:r>
            <w:r w:rsidRPr="002800C1">
              <w:t>Background updated with no impact on criteria. Coding and descriptions reviewed. References reviewed and updated. Reviewed by external specialist.</w:t>
            </w:r>
          </w:p>
        </w:tc>
        <w:tc>
          <w:tcPr>
            <w:tcW w:w="1198" w:type="dxa"/>
          </w:tcPr>
          <w:p w14:paraId="1FECB1F8" w14:textId="7BE1BAD8" w:rsidR="00DD4F3E" w:rsidRDefault="00781605" w:rsidP="00DD4F3E">
            <w:pPr>
              <w:jc w:val="center"/>
              <w:cnfStyle w:val="000000100000" w:firstRow="0" w:lastRow="0" w:firstColumn="0" w:lastColumn="0" w:oddVBand="0" w:evenVBand="0" w:oddHBand="1" w:evenHBand="0" w:firstRowFirstColumn="0" w:firstRowLastColumn="0" w:lastRowFirstColumn="0" w:lastRowLastColumn="0"/>
            </w:pPr>
            <w:r>
              <w:t>9/25</w:t>
            </w:r>
          </w:p>
        </w:tc>
        <w:tc>
          <w:tcPr>
            <w:cnfStyle w:val="000010000000" w:firstRow="0" w:lastRow="0" w:firstColumn="0" w:lastColumn="0" w:oddVBand="1" w:evenVBand="0" w:oddHBand="0" w:evenHBand="0" w:firstRowFirstColumn="0" w:firstRowLastColumn="0" w:lastRowFirstColumn="0" w:lastRowLastColumn="0"/>
            <w:tcW w:w="1260" w:type="dxa"/>
          </w:tcPr>
          <w:p w14:paraId="56742D57" w14:textId="1DC9DE04" w:rsidR="00DD4F3E" w:rsidRDefault="00ED438A" w:rsidP="00DD4F3E">
            <w:pPr>
              <w:jc w:val="center"/>
            </w:pPr>
            <w:r>
              <w:t>9/25</w:t>
            </w:r>
          </w:p>
        </w:tc>
      </w:tr>
    </w:tbl>
    <w:p w14:paraId="79EE40E2" w14:textId="77777777" w:rsidR="00CC6F0C" w:rsidRDefault="00CC6F0C" w:rsidP="00963062">
      <w:pPr>
        <w:pStyle w:val="Heading3"/>
      </w:pPr>
    </w:p>
    <w:p w14:paraId="1C3C63B8" w14:textId="64570882" w:rsidR="00963062" w:rsidRPr="00DB0C89" w:rsidRDefault="003F3D44" w:rsidP="00963062">
      <w:pPr>
        <w:pStyle w:val="Heading3"/>
      </w:pPr>
      <w:r w:rsidRPr="00DB0C89">
        <w:t>References</w:t>
      </w:r>
    </w:p>
    <w:p w14:paraId="7299D2C0" w14:textId="5CBD1889" w:rsidR="00170616" w:rsidRPr="00DB0C89" w:rsidRDefault="00D802B1" w:rsidP="00D802B1">
      <w:pPr>
        <w:pStyle w:val="ListParagraph"/>
        <w:numPr>
          <w:ilvl w:val="0"/>
          <w:numId w:val="21"/>
        </w:numPr>
        <w:ind w:left="360"/>
      </w:pPr>
      <w:r w:rsidRPr="00D802B1">
        <w:t xml:space="preserve">American </w:t>
      </w:r>
      <w:r w:rsidRPr="00D802B1">
        <w:rPr>
          <w:bCs/>
        </w:rPr>
        <w:t xml:space="preserve">Dental Association. Guidelines for Use of Sedation and General Anesthesia by Dentists (2007). </w:t>
      </w:r>
      <w:hyperlink r:id="rId11" w:history="1">
        <w:r w:rsidRPr="00D802B1">
          <w:rPr>
            <w:rStyle w:val="Hyperlink"/>
            <w:bCs/>
          </w:rPr>
          <w:t>https://www.ada.org/-/media/project/ada-organization/ada/ada-org/files/publications/cdt/anesthesia_guidelines.pdf</w:t>
        </w:r>
      </w:hyperlink>
      <w:r w:rsidRPr="00D802B1">
        <w:rPr>
          <w:bCs/>
        </w:rPr>
        <w:t>. Accessed August 05, 2025</w:t>
      </w:r>
      <w:r>
        <w:rPr>
          <w:bCs/>
        </w:rPr>
        <w:t>.</w:t>
      </w:r>
      <w:r w:rsidRPr="00D802B1">
        <w:t xml:space="preserve">  </w:t>
      </w:r>
      <w:r w:rsidR="005C4A1A" w:rsidRPr="005C4A1A">
        <w:t xml:space="preserve">  </w:t>
      </w:r>
    </w:p>
    <w:p w14:paraId="0BEF22A5" w14:textId="779AEB0C" w:rsidR="002E3A38" w:rsidRPr="00DB0C89" w:rsidRDefault="009211C6" w:rsidP="007163E2">
      <w:pPr>
        <w:pStyle w:val="ListParagraph"/>
        <w:numPr>
          <w:ilvl w:val="0"/>
          <w:numId w:val="21"/>
        </w:numPr>
        <w:ind w:left="360"/>
      </w:pPr>
      <w:r w:rsidRPr="00DB0C89">
        <w:t>A</w:t>
      </w:r>
      <w:r w:rsidR="004073D0">
        <w:t xml:space="preserve">merican </w:t>
      </w:r>
      <w:r w:rsidR="004073D0" w:rsidRPr="004073D0">
        <w:t xml:space="preserve">Academy of Pediatric Dentistry. General Anesthesia Coverage. </w:t>
      </w:r>
      <w:r w:rsidR="00B27CA1">
        <w:t xml:space="preserve"> </w:t>
      </w:r>
      <w:hyperlink r:id="rId12" w:history="1">
        <w:r w:rsidR="00EA7529" w:rsidRPr="00EA7529">
          <w:rPr>
            <w:rStyle w:val="Hyperlink"/>
          </w:rPr>
          <w:t>https://www.aapd.org/advocacy/legislative-and-regulatory-issues/general-anesthesia-coverage/</w:t>
        </w:r>
      </w:hyperlink>
      <w:r w:rsidR="00EA7529">
        <w:t xml:space="preserve">. </w:t>
      </w:r>
      <w:r w:rsidR="00AB6116">
        <w:t xml:space="preserve">Accessed </w:t>
      </w:r>
      <w:r w:rsidR="00B27CA1">
        <w:t>July 25, 2025</w:t>
      </w:r>
      <w:r w:rsidR="00AB6116">
        <w:t xml:space="preserve">. </w:t>
      </w:r>
    </w:p>
    <w:p w14:paraId="1B6E56FF" w14:textId="77777777" w:rsidR="00541D38" w:rsidRPr="00541D38" w:rsidRDefault="0021698C" w:rsidP="00541D38">
      <w:pPr>
        <w:pStyle w:val="ListParagraph"/>
        <w:numPr>
          <w:ilvl w:val="0"/>
          <w:numId w:val="21"/>
        </w:numPr>
        <w:ind w:left="360"/>
      </w:pPr>
      <w:r w:rsidRPr="00DB0C89">
        <w:t xml:space="preserve">American </w:t>
      </w:r>
      <w:r w:rsidR="00541D38" w:rsidRPr="00541D38">
        <w:t xml:space="preserve">Academy of Pediatric Dentistry. Technical Report 2-2012: An essential health </w:t>
      </w:r>
    </w:p>
    <w:p w14:paraId="730C34B3" w14:textId="77777777" w:rsidR="00541D38" w:rsidRPr="00541D38" w:rsidRDefault="00541D38" w:rsidP="00541D38">
      <w:pPr>
        <w:pStyle w:val="ListParagraph"/>
        <w:ind w:left="360"/>
      </w:pPr>
      <w:r w:rsidRPr="00541D38">
        <w:t xml:space="preserve">benefit: general anesthesia for treatment of early childhood </w:t>
      </w:r>
      <w:proofErr w:type="gramStart"/>
      <w:r w:rsidRPr="00541D38">
        <w:t>caries</w:t>
      </w:r>
      <w:proofErr w:type="gramEnd"/>
      <w:r w:rsidRPr="00541D38">
        <w:t xml:space="preserve">. </w:t>
      </w:r>
    </w:p>
    <w:p w14:paraId="719109B1" w14:textId="1624C3A3" w:rsidR="0001567F" w:rsidRPr="00DB0C89" w:rsidRDefault="00541D38" w:rsidP="00541D38">
      <w:pPr>
        <w:pStyle w:val="ListParagraph"/>
        <w:ind w:left="360"/>
      </w:pPr>
      <w:hyperlink r:id="rId13" w:history="1">
        <w:r w:rsidRPr="002319A0">
          <w:rPr>
            <w:rStyle w:val="Hyperlink"/>
          </w:rPr>
          <w:t>http://www.aapd.org/assets/1/7/POHRPCTechBrief2.pdf</w:t>
        </w:r>
      </w:hyperlink>
      <w:r w:rsidR="00C7040F">
        <w:t xml:space="preserve">. </w:t>
      </w:r>
      <w:r w:rsidRPr="00541D38">
        <w:t>Published May 2012.</w:t>
      </w:r>
      <w:r w:rsidR="001C35C0">
        <w:t xml:space="preserve"> Accessed July 31, 2025. </w:t>
      </w:r>
    </w:p>
    <w:p w14:paraId="2C64879A" w14:textId="5D16F5E6" w:rsidR="000A036C" w:rsidRPr="00DB0C89" w:rsidRDefault="0021698C" w:rsidP="007163E2">
      <w:pPr>
        <w:pStyle w:val="ListParagraph"/>
        <w:numPr>
          <w:ilvl w:val="0"/>
          <w:numId w:val="21"/>
        </w:numPr>
        <w:ind w:left="360"/>
      </w:pPr>
      <w:r w:rsidRPr="00DB0C89">
        <w:t xml:space="preserve">American </w:t>
      </w:r>
      <w:r w:rsidR="00F96F2D" w:rsidRPr="00F96F2D">
        <w:t>Dental Association.</w:t>
      </w:r>
      <w:r w:rsidR="00F96F2D">
        <w:t xml:space="preserve"> </w:t>
      </w:r>
      <w:r w:rsidR="009F547E">
        <w:t>Policy Statement:</w:t>
      </w:r>
      <w:r w:rsidR="004A48A2">
        <w:t xml:space="preserve"> </w:t>
      </w:r>
      <w:r w:rsidR="009F547E">
        <w:t>T</w:t>
      </w:r>
      <w:r w:rsidR="004A48A2">
        <w:t xml:space="preserve">he </w:t>
      </w:r>
      <w:r w:rsidR="00A65742">
        <w:t>U</w:t>
      </w:r>
      <w:r w:rsidR="004A48A2">
        <w:t xml:space="preserve">se of </w:t>
      </w:r>
      <w:proofErr w:type="gramStart"/>
      <w:r w:rsidR="00A65742">
        <w:t>S</w:t>
      </w:r>
      <w:r w:rsidR="004A48A2">
        <w:t>edation</w:t>
      </w:r>
      <w:r w:rsidR="00856AB1">
        <w:t>,</w:t>
      </w:r>
      <w:proofErr w:type="gramEnd"/>
      <w:r w:rsidR="00856AB1">
        <w:t xml:space="preserve"> and </w:t>
      </w:r>
      <w:r w:rsidR="00A65742">
        <w:t>G</w:t>
      </w:r>
      <w:r w:rsidR="00856AB1">
        <w:t xml:space="preserve">eneral </w:t>
      </w:r>
      <w:r w:rsidR="00A65742">
        <w:t>A</w:t>
      </w:r>
      <w:r w:rsidR="00856AB1">
        <w:t xml:space="preserve">nesthesia </w:t>
      </w:r>
      <w:r w:rsidR="00420B81">
        <w:t xml:space="preserve">by </w:t>
      </w:r>
      <w:r w:rsidR="00A65742">
        <w:t>D</w:t>
      </w:r>
      <w:r w:rsidR="00420B81">
        <w:t xml:space="preserve">entists. </w:t>
      </w:r>
      <w:r w:rsidR="003B1591">
        <w:t>A</w:t>
      </w:r>
      <w:r w:rsidR="00341B80">
        <w:t>dopted by the</w:t>
      </w:r>
      <w:r w:rsidR="00BC6FB2">
        <w:t xml:space="preserve"> 2007 </w:t>
      </w:r>
      <w:r w:rsidR="0033421A">
        <w:t xml:space="preserve">ADA House of Delegates. </w:t>
      </w:r>
      <w:hyperlink r:id="rId14" w:history="1">
        <w:r w:rsidR="009F547E" w:rsidRPr="009F547E">
          <w:rPr>
            <w:rStyle w:val="Hyperlink"/>
          </w:rPr>
          <w:t>https://www.ada.org/-/media/project/ada-organization/ada/ada-org/files/resources/library/oral-health-topics/ada_sedation_policy_statement.pdf?rev=1ab2f02034fb418986f60247435a8fc1&amp;hash=BF2EEC59FDE784591231D7AFD553B6FB</w:t>
        </w:r>
      </w:hyperlink>
      <w:r w:rsidR="008C60A4">
        <w:t>.</w:t>
      </w:r>
      <w:r w:rsidR="00F200EE">
        <w:t xml:space="preserve"> </w:t>
      </w:r>
      <w:r w:rsidR="00590AFB">
        <w:t xml:space="preserve">Accessed </w:t>
      </w:r>
      <w:r w:rsidR="00C44115">
        <w:t>August 05, 2025</w:t>
      </w:r>
      <w:r w:rsidR="00590AFB">
        <w:t xml:space="preserve">. </w:t>
      </w:r>
    </w:p>
    <w:p w14:paraId="307F8616" w14:textId="115DFF48" w:rsidR="00A050C3" w:rsidRPr="00DB0C89" w:rsidRDefault="00754923" w:rsidP="007163E2">
      <w:pPr>
        <w:pStyle w:val="ListParagraph"/>
        <w:numPr>
          <w:ilvl w:val="0"/>
          <w:numId w:val="21"/>
        </w:numPr>
        <w:ind w:left="360"/>
      </w:pPr>
      <w:r w:rsidRPr="00DB0C89">
        <w:t xml:space="preserve">American </w:t>
      </w:r>
      <w:r w:rsidR="006744E8" w:rsidRPr="006744E8">
        <w:t>Academy of Pediatric Dentistry.</w:t>
      </w:r>
      <w:r w:rsidR="00034F47">
        <w:t xml:space="preserve"> </w:t>
      </w:r>
      <w:r w:rsidR="00AD0EEF">
        <w:t>Use</w:t>
      </w:r>
      <w:r w:rsidR="00034F47">
        <w:t xml:space="preserve"> of</w:t>
      </w:r>
      <w:r w:rsidR="00022A76" w:rsidRPr="00022A76">
        <w:t xml:space="preserve"> anesthesia providers in the administration of office-based deep sedation/general anesthesia to the pediatric dental patient</w:t>
      </w:r>
      <w:r w:rsidR="00AD0EEF">
        <w:t xml:space="preserve">.   </w:t>
      </w:r>
      <w:hyperlink r:id="rId15">
        <w:r w:rsidR="00646121" w:rsidRPr="00646121">
          <w:rPr>
            <w:rStyle w:val="Hyperlink"/>
          </w:rPr>
          <w:t>https://www.aapd.org/globalassets/media/policies_guidelines/bp_anesthesiapersonnel.pdf</w:t>
        </w:r>
      </w:hyperlink>
      <w:r w:rsidR="00646121">
        <w:t xml:space="preserve">. Accessed </w:t>
      </w:r>
      <w:r w:rsidR="003C77BF">
        <w:t>August 01, 2025</w:t>
      </w:r>
      <w:r w:rsidR="00646121">
        <w:t xml:space="preserve">. </w:t>
      </w:r>
    </w:p>
    <w:p w14:paraId="71ED6E4D" w14:textId="11FFD97E" w:rsidR="00FB434A" w:rsidRPr="00FB434A" w:rsidRDefault="00FB434A" w:rsidP="00FB434A">
      <w:pPr>
        <w:pStyle w:val="ListParagraph"/>
        <w:numPr>
          <w:ilvl w:val="0"/>
          <w:numId w:val="21"/>
        </w:numPr>
        <w:ind w:left="360"/>
      </w:pPr>
      <w:r>
        <w:t>Co</w:t>
      </w:r>
      <w:r w:rsidRPr="00FB434A">
        <w:t xml:space="preserve">té CJ, Wilson S; American Academy of Pediatrics; American Academy of Pediatric Dentistry. Guidelines for Monitoring and Management of Pediatric Patients Before, During, and After Sedation for Diagnostic and Therapeutic Procedures. </w:t>
      </w:r>
      <w:r w:rsidRPr="00FB434A">
        <w:rPr>
          <w:i/>
        </w:rPr>
        <w:t>Pediatrics</w:t>
      </w:r>
      <w:r w:rsidRPr="00FB434A">
        <w:t xml:space="preserve">. </w:t>
      </w:r>
    </w:p>
    <w:p w14:paraId="3CAD65CD" w14:textId="00AA2EAF" w:rsidR="00FB434A" w:rsidRPr="00FB434A" w:rsidRDefault="00FB434A" w:rsidP="00FB434A">
      <w:pPr>
        <w:pStyle w:val="ListParagraph"/>
        <w:ind w:left="360"/>
      </w:pPr>
      <w:r w:rsidRPr="00FB434A">
        <w:t>2019;143(6</w:t>
      </w:r>
      <w:proofErr w:type="gramStart"/>
      <w:r w:rsidRPr="00FB434A">
        <w:t>):e</w:t>
      </w:r>
      <w:proofErr w:type="gramEnd"/>
      <w:r w:rsidRPr="00FB434A">
        <w:t xml:space="preserve">20191000. doi:10.1542/peds.2019-1000  </w:t>
      </w:r>
    </w:p>
    <w:p w14:paraId="55FD4EC5" w14:textId="554DBE67" w:rsidR="00841E88" w:rsidRPr="00DB0C89" w:rsidRDefault="005F0437" w:rsidP="007163E2">
      <w:pPr>
        <w:pStyle w:val="ListParagraph"/>
        <w:numPr>
          <w:ilvl w:val="0"/>
          <w:numId w:val="21"/>
        </w:numPr>
        <w:ind w:left="360"/>
      </w:pPr>
      <w:r>
        <w:t xml:space="preserve">American </w:t>
      </w:r>
      <w:r w:rsidRPr="005F0437">
        <w:t>Dental Association. Guidelines for the Use of Sedation and General Anesthesia by Dentists. Adopted by the ADA House of Delegates, October 2016.</w:t>
      </w:r>
      <w:r w:rsidR="008867BE">
        <w:t xml:space="preserve"> </w:t>
      </w:r>
      <w:hyperlink r:id="rId16" w:history="1">
        <w:r w:rsidR="00737343" w:rsidRPr="00737343">
          <w:rPr>
            <w:rStyle w:val="Hyperlink"/>
          </w:rPr>
          <w:t>https://www.ada.org/-/media/project/ada-organization/ada/ada org/files/resources/research/ada_sedation_use_guidelines.pdf?rev=313932b4f5eb49e491926</w:t>
        </w:r>
        <w:r w:rsidR="00737343" w:rsidRPr="00737343">
          <w:rPr>
            <w:rStyle w:val="Hyperlink"/>
          </w:rPr>
          <w:lastRenderedPageBreak/>
          <w:t>d4feac00a14&amp;hash=C7C55D7182C639197569D4ED8EDCDDF6</w:t>
        </w:r>
      </w:hyperlink>
      <w:r w:rsidR="00C81899">
        <w:t xml:space="preserve">. Accessed </w:t>
      </w:r>
      <w:r w:rsidR="008867BE">
        <w:t>August 05, 2025</w:t>
      </w:r>
      <w:r w:rsidR="00C81899">
        <w:t xml:space="preserve">. </w:t>
      </w:r>
    </w:p>
    <w:p w14:paraId="24EDA50C" w14:textId="65435970" w:rsidR="00A30A92" w:rsidRPr="00DB0C89" w:rsidRDefault="00630E5B" w:rsidP="007163E2">
      <w:pPr>
        <w:pStyle w:val="ListParagraph"/>
        <w:numPr>
          <w:ilvl w:val="0"/>
          <w:numId w:val="21"/>
        </w:numPr>
        <w:ind w:left="360"/>
      </w:pPr>
      <w:r>
        <w:t xml:space="preserve">American </w:t>
      </w:r>
      <w:r w:rsidRPr="00630E5B">
        <w:t>Academy of Pediatric Dentistry. Behavior guidance for the pediatric dental patient. The Reference Manual of Pediatric Dentistry.</w:t>
      </w:r>
      <w:r w:rsidR="001C67BD">
        <w:t xml:space="preserve"> 202</w:t>
      </w:r>
      <w:r w:rsidR="00466EDF">
        <w:t>4</w:t>
      </w:r>
      <w:r w:rsidR="001C67BD">
        <w:t>:</w:t>
      </w:r>
      <w:r w:rsidR="00C83A9C">
        <w:t>358-78</w:t>
      </w:r>
      <w:r w:rsidR="00466EDF">
        <w:t xml:space="preserve">. </w:t>
      </w:r>
      <w:hyperlink r:id="rId17">
        <w:r w:rsidR="00466EDF" w:rsidRPr="00466EDF">
          <w:rPr>
            <w:rStyle w:val="Hyperlink"/>
          </w:rPr>
          <w:t>https://www.aapd.org/globalassets/media/policies_guidelines/bp_behavguide.pdf</w:t>
        </w:r>
      </w:hyperlink>
      <w:r w:rsidR="00466EDF">
        <w:t xml:space="preserve">. Accessed </w:t>
      </w:r>
      <w:r w:rsidR="00755C56">
        <w:t>August 05, 2025</w:t>
      </w:r>
      <w:r w:rsidR="00466EDF">
        <w:t xml:space="preserve">. </w:t>
      </w:r>
    </w:p>
    <w:p w14:paraId="0424414C" w14:textId="2F8C23A4" w:rsidR="001B110D" w:rsidRDefault="008F5A0F" w:rsidP="007163E2">
      <w:pPr>
        <w:pStyle w:val="ListParagraph"/>
        <w:numPr>
          <w:ilvl w:val="0"/>
          <w:numId w:val="21"/>
        </w:numPr>
        <w:ind w:left="360"/>
      </w:pPr>
      <w:r>
        <w:t xml:space="preserve">Gao </w:t>
      </w:r>
      <w:r w:rsidRPr="008F5A0F">
        <w:t>F, Wu Y. Procedural sedation in pediatric dentistry: a narrative review. </w:t>
      </w:r>
      <w:r w:rsidRPr="008F5A0F">
        <w:rPr>
          <w:i/>
          <w:iCs/>
        </w:rPr>
        <w:t>Front Med (Lausanne)</w:t>
      </w:r>
      <w:r w:rsidRPr="008F5A0F">
        <w:t xml:space="preserve">. </w:t>
      </w:r>
      <w:proofErr w:type="gramStart"/>
      <w:r w:rsidRPr="008F5A0F">
        <w:t>2023;10:1186823</w:t>
      </w:r>
      <w:proofErr w:type="gramEnd"/>
      <w:r w:rsidRPr="008F5A0F">
        <w:t>. Published 2023 Apr 26. doi:10.3389/fmed.2023.1186823</w:t>
      </w:r>
    </w:p>
    <w:p w14:paraId="1090C755" w14:textId="7C1533C2" w:rsidR="000D7065" w:rsidRDefault="00AA3060" w:rsidP="007163E2">
      <w:pPr>
        <w:pStyle w:val="ListParagraph"/>
        <w:numPr>
          <w:ilvl w:val="0"/>
          <w:numId w:val="21"/>
        </w:numPr>
        <w:ind w:left="360"/>
      </w:pPr>
      <w:r>
        <w:t xml:space="preserve">American </w:t>
      </w:r>
      <w:r w:rsidRPr="00AA3060">
        <w:t xml:space="preserve">Association of Oral and Maxillofacial Surgeons. Parameters of Care: Clinical Practice Guidelines for Oral and Maxillofacial Surgery (AAOMS </w:t>
      </w:r>
      <w:proofErr w:type="spellStart"/>
      <w:r w:rsidRPr="00AA3060">
        <w:t>ParCare</w:t>
      </w:r>
      <w:proofErr w:type="spellEnd"/>
      <w:r w:rsidRPr="00AA3060">
        <w:t xml:space="preserve"> 2023) -Anesthesia in outpatient facilities. </w:t>
      </w:r>
      <w:r w:rsidRPr="00AA3060">
        <w:rPr>
          <w:i/>
          <w:iCs/>
        </w:rPr>
        <w:t xml:space="preserve">J Oral </w:t>
      </w:r>
      <w:proofErr w:type="spellStart"/>
      <w:r w:rsidRPr="00AA3060">
        <w:rPr>
          <w:i/>
          <w:iCs/>
        </w:rPr>
        <w:t>Maxillofac</w:t>
      </w:r>
      <w:proofErr w:type="spellEnd"/>
      <w:r w:rsidRPr="00AA3060">
        <w:rPr>
          <w:i/>
          <w:iCs/>
        </w:rPr>
        <w:t xml:space="preserve"> Surg</w:t>
      </w:r>
      <w:r w:rsidRPr="00AA3060">
        <w:t>. 2023;</w:t>
      </w:r>
      <w:proofErr w:type="gramStart"/>
      <w:r w:rsidRPr="00AA3060">
        <w:t>81:e</w:t>
      </w:r>
      <w:proofErr w:type="gramEnd"/>
      <w:r w:rsidRPr="00AA3060">
        <w:t xml:space="preserve">35-e50. </w:t>
      </w:r>
      <w:hyperlink r:id="rId18" w:history="1">
        <w:r w:rsidRPr="00AA3060">
          <w:rPr>
            <w:rStyle w:val="Hyperlink"/>
          </w:rPr>
          <w:t>https://aaoms.org/wp-content/uploads/2024/08/parcare_anesthesia_in-outpatient.pdf</w:t>
        </w:r>
      </w:hyperlink>
      <w:r w:rsidRPr="00AA3060">
        <w:t>. Accessed August 20, 2025.</w:t>
      </w:r>
    </w:p>
    <w:p w14:paraId="09ADB19D" w14:textId="38D61CD5" w:rsidR="00A26BCD" w:rsidRPr="00DB0C89" w:rsidRDefault="00A26BCD" w:rsidP="007163E2">
      <w:pPr>
        <w:pStyle w:val="ListParagraph"/>
        <w:numPr>
          <w:ilvl w:val="0"/>
          <w:numId w:val="21"/>
        </w:numPr>
        <w:ind w:left="360"/>
      </w:pPr>
      <w:r>
        <w:t xml:space="preserve">Berry EJ. </w:t>
      </w:r>
      <w:r w:rsidR="00013D97">
        <w:t xml:space="preserve">A review </w:t>
      </w:r>
      <w:r w:rsidR="00EA69D2">
        <w:t xml:space="preserve">on moderate sedation in pediatric dentistry: a focus on indications, safety and the newest medications. </w:t>
      </w:r>
      <w:r w:rsidRPr="0080062A">
        <w:rPr>
          <w:i/>
          <w:iCs/>
        </w:rPr>
        <w:t>Journal of Oral and Maxillofacial Anesthesia</w:t>
      </w:r>
      <w:r>
        <w:t xml:space="preserve">. </w:t>
      </w:r>
      <w:r w:rsidR="00013D97">
        <w:t xml:space="preserve">Published June 25, 2025. Accessed August 22, 2025. </w:t>
      </w:r>
    </w:p>
    <w:p w14:paraId="30CF5D00" w14:textId="77777777" w:rsidR="00DD4F3E" w:rsidRDefault="00DD4F3E" w:rsidP="00146C6E">
      <w:pPr>
        <w:rPr>
          <w:rFonts w:eastAsiaTheme="minorHAnsi"/>
          <w:b/>
          <w:bCs/>
          <w:u w:val="single"/>
        </w:rPr>
      </w:pPr>
      <w:bookmarkStart w:id="2" w:name="Important_Reminder"/>
    </w:p>
    <w:p w14:paraId="61FB8087" w14:textId="5ECB1AC8" w:rsidR="00DD6ADB" w:rsidRPr="009A7882" w:rsidRDefault="00C06257" w:rsidP="00146C6E">
      <w:pPr>
        <w:rPr>
          <w:rFonts w:eastAsiaTheme="minorHAnsi"/>
          <w:b/>
          <w:u w:val="single"/>
        </w:rPr>
      </w:pPr>
      <w:r w:rsidRPr="009A7882">
        <w:rPr>
          <w:rFonts w:eastAsiaTheme="minorHAnsi"/>
          <w:b/>
          <w:bCs/>
          <w:u w:val="single"/>
        </w:rPr>
        <w:t>Important R</w:t>
      </w:r>
      <w:r w:rsidR="005D7B81" w:rsidRPr="009A7882">
        <w:rPr>
          <w:rFonts w:eastAsiaTheme="minorHAnsi"/>
          <w:b/>
          <w:bCs/>
          <w:u w:val="single"/>
        </w:rPr>
        <w:t>eminder</w:t>
      </w:r>
      <w:bookmarkEnd w:id="2"/>
    </w:p>
    <w:p w14:paraId="087EAC6A" w14:textId="77777777" w:rsidR="00DD6ADB" w:rsidRPr="00146C6E" w:rsidRDefault="00DD6ADB" w:rsidP="00146C6E">
      <w:pPr>
        <w:rPr>
          <w:rFonts w:eastAsiaTheme="minorHAnsi"/>
        </w:rPr>
      </w:pPr>
      <w:r w:rsidRPr="009A7882">
        <w:rPr>
          <w:rFonts w:eastAsiaTheme="minorHAnsi"/>
        </w:rPr>
        <w:t>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w:t>
      </w:r>
      <w:r w:rsidRPr="00146C6E">
        <w:rPr>
          <w:rFonts w:eastAsiaTheme="minorHAnsi"/>
        </w:rPr>
        <w:t xml:space="preserve">; views of physicians practicing in relevant clinical areas affected by this clinical policy; and other available clinical information. </w:t>
      </w:r>
      <w:r w:rsidRPr="00146C6E">
        <w:rPr>
          <w:rFonts w:eastAsiaTheme="minorHAnsi"/>
          <w:iCs/>
        </w:rPr>
        <w:t>The Health Plan</w:t>
      </w:r>
      <w:r w:rsidRPr="00146C6E">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7EA90B29" w14:textId="77777777" w:rsidR="00DD6ADB" w:rsidRPr="00146C6E" w:rsidRDefault="00DD6ADB" w:rsidP="00146C6E">
      <w:pPr>
        <w:rPr>
          <w:rFonts w:eastAsiaTheme="minorHAnsi"/>
        </w:rPr>
      </w:pPr>
    </w:p>
    <w:p w14:paraId="361E2DFD" w14:textId="77777777" w:rsidR="00DD6ADB" w:rsidRPr="00146C6E" w:rsidRDefault="00DD6ADB" w:rsidP="00146C6E">
      <w:pPr>
        <w:rPr>
          <w:rFonts w:eastAsiaTheme="minorHAnsi"/>
        </w:rPr>
      </w:pPr>
      <w:r w:rsidRPr="00146C6E">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3ED713C2" w14:textId="77777777" w:rsidR="00DD6ADB" w:rsidRPr="00146C6E" w:rsidRDefault="00DD6ADB" w:rsidP="00146C6E">
      <w:pPr>
        <w:rPr>
          <w:rFonts w:eastAsiaTheme="minorHAnsi"/>
        </w:rPr>
      </w:pPr>
    </w:p>
    <w:p w14:paraId="5C1DD2F1" w14:textId="77777777" w:rsidR="00DD6ADB" w:rsidRPr="00146C6E" w:rsidRDefault="00DD6ADB" w:rsidP="00146C6E">
      <w:pPr>
        <w:rPr>
          <w:color w:val="002868"/>
        </w:rPr>
      </w:pPr>
      <w:r w:rsidRPr="00146C6E">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7F323CBE" w14:textId="77777777" w:rsidR="00DD6ADB" w:rsidRPr="00146C6E" w:rsidRDefault="00DD6ADB" w:rsidP="00146C6E">
      <w:pPr>
        <w:rPr>
          <w:rFonts w:eastAsiaTheme="minorHAnsi"/>
        </w:rPr>
      </w:pPr>
    </w:p>
    <w:p w14:paraId="45513305" w14:textId="77777777" w:rsidR="00DD6ADB" w:rsidRPr="00146C6E" w:rsidRDefault="00DD6ADB" w:rsidP="00146C6E">
      <w:pPr>
        <w:rPr>
          <w:rFonts w:eastAsiaTheme="minorHAnsi"/>
        </w:rPr>
      </w:pPr>
      <w:r w:rsidRPr="00146C6E">
        <w:rPr>
          <w:rFonts w:eastAsiaTheme="minorHAnsi"/>
        </w:rPr>
        <w:lastRenderedPageBreak/>
        <w:t xml:space="preserve">This clinical policy does not constitute medical advice, medical treatment or medical care.  It is not intended to dictate to providers how to practice medicine. Providers are expected to exercise professional medical judgment in providing the most appropriate </w:t>
      </w:r>
      <w:proofErr w:type="gramStart"/>
      <w:r w:rsidRPr="00146C6E">
        <w:rPr>
          <w:rFonts w:eastAsiaTheme="minorHAnsi"/>
        </w:rPr>
        <w:t>care, and</w:t>
      </w:r>
      <w:proofErr w:type="gramEnd"/>
      <w:r w:rsidRPr="00146C6E">
        <w:rPr>
          <w:rFonts w:eastAsiaTheme="minorHAnsi"/>
        </w:rPr>
        <w:t xml:space="preserve"> are solely responsible for the medical advice and treatment of </w:t>
      </w:r>
      <w:r w:rsidR="008D6CA9">
        <w:rPr>
          <w:rFonts w:eastAsiaTheme="minorHAnsi"/>
        </w:rPr>
        <w:t>members/enrollees</w:t>
      </w:r>
      <w:r w:rsidRPr="00146C6E">
        <w:rPr>
          <w:rFonts w:eastAsiaTheme="minorHAnsi"/>
        </w:rPr>
        <w:t xml:space="preserve">.  This clinical policy is not intended to recommend treatment for </w:t>
      </w:r>
      <w:r w:rsidR="008D6CA9">
        <w:rPr>
          <w:rFonts w:eastAsiaTheme="minorHAnsi"/>
        </w:rPr>
        <w:t>members/enrollees</w:t>
      </w:r>
      <w:r w:rsidRPr="00146C6E">
        <w:rPr>
          <w:rFonts w:eastAsiaTheme="minorHAnsi"/>
        </w:rPr>
        <w:t xml:space="preserve">. </w:t>
      </w:r>
      <w:r w:rsidR="008D6CA9">
        <w:rPr>
          <w:rFonts w:eastAsiaTheme="minorHAnsi"/>
        </w:rPr>
        <w:t>Members/enrollees</w:t>
      </w:r>
      <w:r w:rsidRPr="00146C6E">
        <w:rPr>
          <w:rFonts w:eastAsiaTheme="minorHAnsi"/>
        </w:rPr>
        <w:t xml:space="preserve"> should consult with their treating physician in connection with diagnosis and treatment decisions. </w:t>
      </w:r>
    </w:p>
    <w:p w14:paraId="571F132B" w14:textId="77777777" w:rsidR="00DD6ADB" w:rsidRPr="00146C6E" w:rsidRDefault="00DD6ADB" w:rsidP="00146C6E">
      <w:pPr>
        <w:rPr>
          <w:rFonts w:eastAsiaTheme="minorHAnsi"/>
        </w:rPr>
      </w:pPr>
    </w:p>
    <w:p w14:paraId="5E2F35FB" w14:textId="77777777" w:rsidR="00DD6ADB" w:rsidRPr="00146C6E" w:rsidRDefault="00DD6ADB" w:rsidP="00146C6E">
      <w:pPr>
        <w:rPr>
          <w:rFonts w:eastAsiaTheme="minorHAnsi"/>
        </w:rPr>
      </w:pPr>
      <w:r w:rsidRPr="00146C6E">
        <w:rPr>
          <w:rFonts w:eastAsiaTheme="minorHAnsi"/>
        </w:rPr>
        <w:t>Providers referred to in this clinical policy are independent contractors who exercise independent judgment and over whom the Health Plan has no control or right of control.  Providers are not agents or employees of the Health Plan.</w:t>
      </w:r>
    </w:p>
    <w:p w14:paraId="5436C476" w14:textId="77777777" w:rsidR="00DD6ADB" w:rsidRPr="00146C6E" w:rsidRDefault="00DD6ADB" w:rsidP="00146C6E">
      <w:pPr>
        <w:rPr>
          <w:rFonts w:eastAsiaTheme="minorHAnsi"/>
        </w:rPr>
      </w:pPr>
    </w:p>
    <w:p w14:paraId="541BBA62" w14:textId="77777777" w:rsidR="00DD6ADB" w:rsidRPr="00146C6E" w:rsidRDefault="00DD6ADB" w:rsidP="00146C6E">
      <w:pPr>
        <w:rPr>
          <w:rFonts w:eastAsiaTheme="minorHAnsi"/>
        </w:rPr>
      </w:pPr>
      <w:r w:rsidRPr="00146C6E">
        <w:rPr>
          <w:rFonts w:eastAsiaTheme="minorHAnsi"/>
        </w:rPr>
        <w:t xml:space="preserve">This clinical policy is the property of </w:t>
      </w:r>
      <w:r w:rsidRPr="00146C6E">
        <w:rPr>
          <w:rFonts w:eastAsiaTheme="minorHAnsi"/>
          <w:iCs/>
        </w:rPr>
        <w:t>the Health Plan</w:t>
      </w:r>
      <w:r w:rsidRPr="00146C6E">
        <w:rPr>
          <w:rFonts w:eastAsiaTheme="minorHAnsi"/>
        </w:rPr>
        <w:t xml:space="preserve">. Unauthorized copying, use, and distribution of this clinical policy or any information contained herein are strictly prohibited.  Providers, </w:t>
      </w:r>
      <w:r w:rsidR="008D6CA9">
        <w:rPr>
          <w:rFonts w:eastAsiaTheme="minorHAnsi"/>
        </w:rPr>
        <w:t>members/enrollees</w:t>
      </w:r>
      <w:r w:rsidRPr="00146C6E">
        <w:rPr>
          <w:rFonts w:eastAsiaTheme="minorHAnsi"/>
        </w:rPr>
        <w:t xml:space="preserve"> and their representatives are bound </w:t>
      </w:r>
      <w:proofErr w:type="gramStart"/>
      <w:r w:rsidRPr="00146C6E">
        <w:rPr>
          <w:rFonts w:eastAsiaTheme="minorHAnsi"/>
        </w:rPr>
        <w:t>to</w:t>
      </w:r>
      <w:proofErr w:type="gramEnd"/>
      <w:r w:rsidRPr="00146C6E">
        <w:rPr>
          <w:rFonts w:eastAsiaTheme="minorHAnsi"/>
        </w:rPr>
        <w:t xml:space="preserve"> the terms and conditions expressed herein through the terms of their contracts.  Where no such contract exists, providers, </w:t>
      </w:r>
      <w:r w:rsidR="008D6CA9">
        <w:rPr>
          <w:rFonts w:eastAsiaTheme="minorHAnsi"/>
        </w:rPr>
        <w:t>members/enrollees</w:t>
      </w:r>
      <w:r w:rsidRPr="00146C6E">
        <w:rPr>
          <w:rFonts w:eastAsiaTheme="minorHAnsi"/>
        </w:rPr>
        <w:t xml:space="preserve"> and their representatives agree to be bound by such terms and conditions by providing services to </w:t>
      </w:r>
      <w:r w:rsidR="008D6CA9">
        <w:rPr>
          <w:rFonts w:eastAsiaTheme="minorHAnsi"/>
        </w:rPr>
        <w:t>members/enrollees</w:t>
      </w:r>
      <w:r w:rsidRPr="00146C6E">
        <w:rPr>
          <w:rFonts w:eastAsiaTheme="minorHAnsi"/>
        </w:rPr>
        <w:t xml:space="preserve"> and/or submitting claims for payment for such services.  </w:t>
      </w:r>
    </w:p>
    <w:p w14:paraId="46CA216F" w14:textId="77777777" w:rsidR="00DD6ADB" w:rsidRPr="00146C6E" w:rsidRDefault="00DD6ADB" w:rsidP="00146C6E">
      <w:pPr>
        <w:autoSpaceDE w:val="0"/>
        <w:autoSpaceDN w:val="0"/>
        <w:adjustRightInd w:val="0"/>
        <w:rPr>
          <w:rFonts w:eastAsiaTheme="minorHAnsi"/>
          <w:color w:val="000000"/>
        </w:rPr>
      </w:pPr>
    </w:p>
    <w:p w14:paraId="53718560" w14:textId="77777777" w:rsidR="00DD6ADB" w:rsidRPr="00146C6E" w:rsidRDefault="00DD6ADB" w:rsidP="00146C6E">
      <w:pPr>
        <w:autoSpaceDE w:val="0"/>
        <w:autoSpaceDN w:val="0"/>
        <w:adjustRightInd w:val="0"/>
        <w:rPr>
          <w:rFonts w:eastAsiaTheme="minorHAnsi"/>
          <w:color w:val="000000"/>
        </w:rPr>
      </w:pPr>
      <w:r w:rsidRPr="00146C6E">
        <w:rPr>
          <w:rFonts w:eastAsiaTheme="minorHAnsi"/>
          <w:b/>
          <w:color w:val="000000"/>
        </w:rPr>
        <w:t xml:space="preserve">Note: For Medicaid </w:t>
      </w:r>
      <w:r w:rsidR="008D6CA9">
        <w:rPr>
          <w:rFonts w:eastAsiaTheme="minorHAnsi"/>
          <w:b/>
          <w:color w:val="000000"/>
        </w:rPr>
        <w:t>members/enrollees</w:t>
      </w:r>
      <w:r w:rsidRPr="00146C6E">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45169CD9" w14:textId="77777777" w:rsidR="00DD6ADB" w:rsidRPr="00146C6E" w:rsidRDefault="00DD6ADB" w:rsidP="00146C6E">
      <w:pPr>
        <w:rPr>
          <w:rFonts w:eastAsiaTheme="minorHAnsi"/>
        </w:rPr>
      </w:pPr>
    </w:p>
    <w:p w14:paraId="0F8C1D08" w14:textId="3287D15E" w:rsidR="00DD6ADB" w:rsidRPr="00146C6E" w:rsidRDefault="00DD6ADB" w:rsidP="00146C6E">
      <w:pPr>
        <w:autoSpaceDE w:val="0"/>
        <w:autoSpaceDN w:val="0"/>
        <w:adjustRightInd w:val="0"/>
        <w:rPr>
          <w:color w:val="000000"/>
        </w:rPr>
      </w:pPr>
      <w:r w:rsidRPr="00146C6E">
        <w:rPr>
          <w:rFonts w:eastAsiaTheme="minorHAnsi"/>
          <w:b/>
          <w:bCs/>
          <w:color w:val="000000"/>
        </w:rPr>
        <w:t xml:space="preserve">Note: For Medicare </w:t>
      </w:r>
      <w:r w:rsidR="008D6CA9">
        <w:rPr>
          <w:rFonts w:eastAsiaTheme="minorHAnsi"/>
          <w:b/>
          <w:bCs/>
          <w:color w:val="000000"/>
        </w:rPr>
        <w:t>members/enrollees</w:t>
      </w:r>
      <w:r w:rsidRPr="00146C6E">
        <w:rPr>
          <w:rFonts w:eastAsiaTheme="minorHAnsi"/>
          <w:b/>
          <w:bCs/>
          <w:color w:val="000000"/>
        </w:rPr>
        <w:t xml:space="preserve">, </w:t>
      </w:r>
      <w:r w:rsidRPr="00146C6E">
        <w:rPr>
          <w:rFonts w:eastAsiaTheme="minorHAnsi"/>
          <w:color w:val="000000"/>
        </w:rPr>
        <w:t>to ensure consistency with the Medicare National Coverage Determinations (NCD) and Local Coverage Determinations (LCD), all applicable NCDs</w:t>
      </w:r>
      <w:r w:rsidR="002E5306">
        <w:rPr>
          <w:rFonts w:eastAsiaTheme="minorHAnsi"/>
          <w:color w:val="000000"/>
        </w:rPr>
        <w:t>,</w:t>
      </w:r>
      <w:r w:rsidRPr="00146C6E">
        <w:rPr>
          <w:rFonts w:eastAsiaTheme="minorHAnsi"/>
          <w:color w:val="000000"/>
        </w:rPr>
        <w:t xml:space="preserve"> LCDs</w:t>
      </w:r>
      <w:r w:rsidR="002E5306">
        <w:rPr>
          <w:rFonts w:eastAsiaTheme="minorHAnsi"/>
          <w:color w:val="000000"/>
        </w:rPr>
        <w:t xml:space="preserve">, and Medicare Coverage Articles </w:t>
      </w:r>
      <w:r w:rsidRPr="00146C6E">
        <w:rPr>
          <w:rFonts w:eastAsiaTheme="minorHAnsi"/>
          <w:color w:val="000000"/>
        </w:rPr>
        <w:t xml:space="preserve">should be reviewed </w:t>
      </w:r>
      <w:r w:rsidRPr="00146C6E">
        <w:rPr>
          <w:rFonts w:eastAsiaTheme="minorHAnsi"/>
          <w:color w:val="000000"/>
          <w:u w:val="single"/>
        </w:rPr>
        <w:t>prior to</w:t>
      </w:r>
      <w:r w:rsidRPr="00146C6E">
        <w:rPr>
          <w:rFonts w:eastAsiaTheme="minorHAnsi"/>
          <w:color w:val="000000"/>
        </w:rPr>
        <w:t xml:space="preserve"> applying the criteria set forth in this clinical policy. Refer to the CMS website at </w:t>
      </w:r>
      <w:hyperlink r:id="rId19" w:history="1">
        <w:r w:rsidR="00C7040F" w:rsidRPr="002319A0">
          <w:rPr>
            <w:rStyle w:val="Hyperlink"/>
            <w:rFonts w:eastAsiaTheme="minorHAnsi"/>
          </w:rPr>
          <w:t>http://www.cms.gov</w:t>
        </w:r>
      </w:hyperlink>
      <w:r w:rsidRPr="00146C6E">
        <w:rPr>
          <w:rFonts w:eastAsiaTheme="minorHAnsi"/>
          <w:color w:val="000000"/>
        </w:rPr>
        <w:t xml:space="preserve"> for additional information.</w:t>
      </w:r>
      <w:r w:rsidRPr="00146C6E">
        <w:rPr>
          <w:color w:val="000000"/>
        </w:rPr>
        <w:t xml:space="preserve"> </w:t>
      </w:r>
    </w:p>
    <w:p w14:paraId="0D427A7A" w14:textId="77777777" w:rsidR="00875924" w:rsidRPr="00146C6E" w:rsidRDefault="00875924" w:rsidP="00146C6E">
      <w:pPr>
        <w:rPr>
          <w:iCs/>
        </w:rPr>
      </w:pPr>
    </w:p>
    <w:p w14:paraId="4A614122" w14:textId="6398B272" w:rsidR="00C75BD4" w:rsidRPr="00146C6E" w:rsidRDefault="00CB63DD" w:rsidP="00146C6E">
      <w:pPr>
        <w:rPr>
          <w:iCs/>
        </w:rPr>
      </w:pPr>
      <w:r>
        <w:rPr>
          <w:iCs/>
        </w:rPr>
        <w:t>©20</w:t>
      </w:r>
      <w:r w:rsidR="00AA3060">
        <w:rPr>
          <w:iCs/>
        </w:rPr>
        <w:t>18</w:t>
      </w:r>
      <w:r w:rsidR="00C75BD4" w:rsidRPr="00146C6E">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00C75BD4" w:rsidRPr="00146C6E">
        <w:rPr>
          <w:iCs/>
          <w:vertAlign w:val="superscript"/>
        </w:rPr>
        <w:t>®</w:t>
      </w:r>
      <w:r w:rsidR="00C75BD4" w:rsidRPr="00146C6E">
        <w:rPr>
          <w:iCs/>
        </w:rPr>
        <w:t xml:space="preserve"> and Centene Corporation</w:t>
      </w:r>
      <w:r w:rsidR="00C75BD4" w:rsidRPr="00146C6E">
        <w:rPr>
          <w:iCs/>
          <w:vertAlign w:val="superscript"/>
        </w:rPr>
        <w:t>®</w:t>
      </w:r>
      <w:r w:rsidR="00C75BD4" w:rsidRPr="00146C6E">
        <w:rPr>
          <w:iCs/>
        </w:rPr>
        <w:t xml:space="preserve"> are registered trademarks exclusively owned by Centene Corporation.</w:t>
      </w:r>
    </w:p>
    <w:p w14:paraId="100C92A4" w14:textId="77777777" w:rsidR="00C75BD4" w:rsidRDefault="00C75BD4" w:rsidP="00AF5490"/>
    <w:sectPr w:rsidR="00C75BD4" w:rsidSect="00CB63DD">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F10BC" w14:textId="77777777" w:rsidR="00283873" w:rsidRDefault="00283873">
      <w:r>
        <w:separator/>
      </w:r>
    </w:p>
  </w:endnote>
  <w:endnote w:type="continuationSeparator" w:id="0">
    <w:p w14:paraId="5F7A3D25" w14:textId="77777777" w:rsidR="00283873" w:rsidRDefault="0028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7702" w14:textId="77777777" w:rsidR="00DD025A" w:rsidRPr="00D574CA" w:rsidRDefault="00D574CA" w:rsidP="00D574CA">
    <w:pPr>
      <w:pStyle w:val="Footer"/>
      <w:jc w:val="center"/>
    </w:pPr>
    <w:r>
      <w:t xml:space="preserve">Page </w:t>
    </w:r>
    <w:r>
      <w:rPr>
        <w:b/>
        <w:bCs/>
      </w:rPr>
      <w:fldChar w:fldCharType="begin"/>
    </w:r>
    <w:r>
      <w:rPr>
        <w:b/>
        <w:bCs/>
      </w:rPr>
      <w:instrText xml:space="preserve"> PAGE </w:instrText>
    </w:r>
    <w:r>
      <w:rPr>
        <w:b/>
        <w:bCs/>
      </w:rPr>
      <w:fldChar w:fldCharType="separate"/>
    </w:r>
    <w:r w:rsidR="00684B62">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684B62">
      <w:rPr>
        <w:b/>
        <w:bCs/>
        <w:noProof/>
      </w:rPr>
      <w:t>3</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36EA" w14:textId="77777777" w:rsidR="002C6AAB" w:rsidRDefault="002C6AAB" w:rsidP="002C6AAB">
    <w:pPr>
      <w:pStyle w:val="Footer"/>
      <w:jc w:val="center"/>
    </w:pPr>
    <w:r>
      <w:t xml:space="preserve">Page </w:t>
    </w:r>
    <w:r>
      <w:fldChar w:fldCharType="begin"/>
    </w:r>
    <w:r>
      <w:instrText xml:space="preserve"> PAGE   \* MERGEFORMAT </w:instrText>
    </w:r>
    <w:r>
      <w:fldChar w:fldCharType="separate"/>
    </w:r>
    <w:r w:rsidR="00684B62">
      <w:rPr>
        <w:noProof/>
      </w:rPr>
      <w:t>1</w:t>
    </w:r>
    <w:r>
      <w:fldChar w:fldCharType="end"/>
    </w:r>
    <w:r>
      <w:t xml:space="preserve"> of </w:t>
    </w:r>
    <w:r w:rsidR="009D6060">
      <w:rPr>
        <w:noProof/>
      </w:rPr>
      <w:fldChar w:fldCharType="begin"/>
    </w:r>
    <w:r w:rsidR="009D6060">
      <w:rPr>
        <w:noProof/>
      </w:rPr>
      <w:instrText xml:space="preserve"> NUMPAGES   \* MERGEFORMAT </w:instrText>
    </w:r>
    <w:r w:rsidR="009D6060">
      <w:rPr>
        <w:noProof/>
      </w:rPr>
      <w:fldChar w:fldCharType="separate"/>
    </w:r>
    <w:r w:rsidR="00684B62">
      <w:rPr>
        <w:noProof/>
      </w:rPr>
      <w:t>3</w:t>
    </w:r>
    <w:r w:rsidR="009D606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83D7C" w14:textId="77777777" w:rsidR="00283873" w:rsidRDefault="00283873">
      <w:r>
        <w:separator/>
      </w:r>
    </w:p>
  </w:footnote>
  <w:footnote w:type="continuationSeparator" w:id="0">
    <w:p w14:paraId="51D2434C" w14:textId="77777777" w:rsidR="00283873" w:rsidRDefault="00283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DE31" w14:textId="77777777" w:rsidR="00D574CA" w:rsidRPr="00B777AF" w:rsidRDefault="00D574CA"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00B777AF" w:rsidRPr="00B777AF">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A20F73">
      <w:rPr>
        <w:noProof/>
        <w:color w:val="00548C"/>
      </w:rPr>
      <w:drawing>
        <wp:inline distT="0" distB="0" distL="0" distR="0" wp14:anchorId="2CC17C00" wp14:editId="15BEE697">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495EC2CF" w14:textId="76CACC42" w:rsidR="00DD025A" w:rsidRPr="00B777AF" w:rsidRDefault="00482132" w:rsidP="00B777AF">
    <w:pPr>
      <w:rPr>
        <w:color w:val="00548C"/>
      </w:rPr>
    </w:pPr>
    <w:r>
      <w:rPr>
        <w:rFonts w:ascii="Times New Roman Bold" w:hAnsi="Times New Roman Bold"/>
        <w:b/>
        <w:bCs/>
        <w:color w:val="00548C"/>
      </w:rPr>
      <w:t>IV Moderate Sedation, IV Deep Sedation, and General Anesthesia for Dental Procedures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AC52" w14:textId="77777777" w:rsidR="009135E0" w:rsidRDefault="00A20F73" w:rsidP="00B777AF">
    <w:pPr>
      <w:pStyle w:val="Header"/>
      <w:jc w:val="right"/>
    </w:pPr>
    <w:r>
      <w:rPr>
        <w:noProof/>
      </w:rPr>
      <w:drawing>
        <wp:inline distT="0" distB="0" distL="0" distR="0" wp14:anchorId="57A0F97C" wp14:editId="558FE097">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53E2"/>
    <w:multiLevelType w:val="hybridMultilevel"/>
    <w:tmpl w:val="976A60A6"/>
    <w:lvl w:ilvl="0" w:tplc="3E4C6EA6">
      <w:start w:val="1"/>
      <w:numFmt w:val="lowerLetter"/>
      <w:lvlText w:val="%1."/>
      <w:lvlJc w:val="left"/>
      <w:pPr>
        <w:ind w:left="2160" w:hanging="360"/>
      </w:pPr>
    </w:lvl>
    <w:lvl w:ilvl="1" w:tplc="3AAE8A82">
      <w:start w:val="1"/>
      <w:numFmt w:val="lowerLetter"/>
      <w:lvlText w:val="%2."/>
      <w:lvlJc w:val="left"/>
      <w:pPr>
        <w:ind w:left="2160" w:hanging="360"/>
      </w:pPr>
    </w:lvl>
    <w:lvl w:ilvl="2" w:tplc="01D0C4C0">
      <w:start w:val="1"/>
      <w:numFmt w:val="lowerLetter"/>
      <w:lvlText w:val="%3."/>
      <w:lvlJc w:val="left"/>
      <w:pPr>
        <w:ind w:left="2160" w:hanging="360"/>
      </w:pPr>
    </w:lvl>
    <w:lvl w:ilvl="3" w:tplc="B0A2C65C">
      <w:start w:val="1"/>
      <w:numFmt w:val="lowerLetter"/>
      <w:lvlText w:val="%4."/>
      <w:lvlJc w:val="left"/>
      <w:pPr>
        <w:ind w:left="2160" w:hanging="360"/>
      </w:pPr>
    </w:lvl>
    <w:lvl w:ilvl="4" w:tplc="37865B78">
      <w:start w:val="1"/>
      <w:numFmt w:val="lowerLetter"/>
      <w:lvlText w:val="%5."/>
      <w:lvlJc w:val="left"/>
      <w:pPr>
        <w:ind w:left="2160" w:hanging="360"/>
      </w:pPr>
    </w:lvl>
    <w:lvl w:ilvl="5" w:tplc="A06029F0">
      <w:start w:val="1"/>
      <w:numFmt w:val="lowerLetter"/>
      <w:lvlText w:val="%6."/>
      <w:lvlJc w:val="left"/>
      <w:pPr>
        <w:ind w:left="2160" w:hanging="360"/>
      </w:pPr>
    </w:lvl>
    <w:lvl w:ilvl="6" w:tplc="29D8C97A">
      <w:start w:val="1"/>
      <w:numFmt w:val="lowerLetter"/>
      <w:lvlText w:val="%7."/>
      <w:lvlJc w:val="left"/>
      <w:pPr>
        <w:ind w:left="2160" w:hanging="360"/>
      </w:pPr>
    </w:lvl>
    <w:lvl w:ilvl="7" w:tplc="DEAA9F22">
      <w:start w:val="1"/>
      <w:numFmt w:val="lowerLetter"/>
      <w:lvlText w:val="%8."/>
      <w:lvlJc w:val="left"/>
      <w:pPr>
        <w:ind w:left="2160" w:hanging="360"/>
      </w:pPr>
    </w:lvl>
    <w:lvl w:ilvl="8" w:tplc="632ADB54">
      <w:start w:val="1"/>
      <w:numFmt w:val="lowerLetter"/>
      <w:lvlText w:val="%9."/>
      <w:lvlJc w:val="left"/>
      <w:pPr>
        <w:ind w:left="2160" w:hanging="360"/>
      </w:pPr>
    </w:lvl>
  </w:abstractNum>
  <w:abstractNum w:abstractNumId="1"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C1C98"/>
    <w:multiLevelType w:val="hybridMultilevel"/>
    <w:tmpl w:val="31EC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14200"/>
    <w:multiLevelType w:val="hybridMultilevel"/>
    <w:tmpl w:val="8384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0E99"/>
    <w:multiLevelType w:val="hybridMultilevel"/>
    <w:tmpl w:val="5FFA82B8"/>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0E512D"/>
    <w:multiLevelType w:val="hybridMultilevel"/>
    <w:tmpl w:val="0442D688"/>
    <w:lvl w:ilvl="0" w:tplc="B85A0820">
      <w:start w:val="1"/>
      <w:numFmt w:val="lowerLetter"/>
      <w:lvlText w:val="%1."/>
      <w:lvlJc w:val="left"/>
      <w:pPr>
        <w:ind w:left="2160" w:hanging="360"/>
      </w:pPr>
    </w:lvl>
    <w:lvl w:ilvl="1" w:tplc="2A38EF40">
      <w:start w:val="1"/>
      <w:numFmt w:val="lowerLetter"/>
      <w:lvlText w:val="%2."/>
      <w:lvlJc w:val="left"/>
      <w:pPr>
        <w:ind w:left="2160" w:hanging="360"/>
      </w:pPr>
    </w:lvl>
    <w:lvl w:ilvl="2" w:tplc="FE34A940">
      <w:start w:val="1"/>
      <w:numFmt w:val="lowerLetter"/>
      <w:lvlText w:val="%3."/>
      <w:lvlJc w:val="left"/>
      <w:pPr>
        <w:ind w:left="2160" w:hanging="360"/>
      </w:pPr>
    </w:lvl>
    <w:lvl w:ilvl="3" w:tplc="771034D6">
      <w:start w:val="1"/>
      <w:numFmt w:val="lowerLetter"/>
      <w:lvlText w:val="%4."/>
      <w:lvlJc w:val="left"/>
      <w:pPr>
        <w:ind w:left="2160" w:hanging="360"/>
      </w:pPr>
    </w:lvl>
    <w:lvl w:ilvl="4" w:tplc="6EAC57C2">
      <w:start w:val="1"/>
      <w:numFmt w:val="lowerLetter"/>
      <w:lvlText w:val="%5."/>
      <w:lvlJc w:val="left"/>
      <w:pPr>
        <w:ind w:left="2160" w:hanging="360"/>
      </w:pPr>
    </w:lvl>
    <w:lvl w:ilvl="5" w:tplc="0408E616">
      <w:start w:val="1"/>
      <w:numFmt w:val="lowerLetter"/>
      <w:lvlText w:val="%6."/>
      <w:lvlJc w:val="left"/>
      <w:pPr>
        <w:ind w:left="2160" w:hanging="360"/>
      </w:pPr>
    </w:lvl>
    <w:lvl w:ilvl="6" w:tplc="8CAE64E2">
      <w:start w:val="1"/>
      <w:numFmt w:val="lowerLetter"/>
      <w:lvlText w:val="%7."/>
      <w:lvlJc w:val="left"/>
      <w:pPr>
        <w:ind w:left="2160" w:hanging="360"/>
      </w:pPr>
    </w:lvl>
    <w:lvl w:ilvl="7" w:tplc="9456391A">
      <w:start w:val="1"/>
      <w:numFmt w:val="lowerLetter"/>
      <w:lvlText w:val="%8."/>
      <w:lvlJc w:val="left"/>
      <w:pPr>
        <w:ind w:left="2160" w:hanging="360"/>
      </w:pPr>
    </w:lvl>
    <w:lvl w:ilvl="8" w:tplc="1F44E568">
      <w:start w:val="1"/>
      <w:numFmt w:val="lowerLetter"/>
      <w:lvlText w:val="%9."/>
      <w:lvlJc w:val="left"/>
      <w:pPr>
        <w:ind w:left="2160" w:hanging="360"/>
      </w:pPr>
    </w:lvl>
  </w:abstractNum>
  <w:abstractNum w:abstractNumId="7" w15:restartNumberingAfterBreak="0">
    <w:nsid w:val="1E7A6984"/>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B5225"/>
    <w:multiLevelType w:val="multilevel"/>
    <w:tmpl w:val="1FA2F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D2A83"/>
    <w:multiLevelType w:val="hybridMultilevel"/>
    <w:tmpl w:val="D00A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500B2"/>
    <w:multiLevelType w:val="hybridMultilevel"/>
    <w:tmpl w:val="CB5AF886"/>
    <w:lvl w:ilvl="0" w:tplc="6CC06064">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01436"/>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75F0A"/>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97053"/>
    <w:multiLevelType w:val="hybridMultilevel"/>
    <w:tmpl w:val="BE262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656AF0"/>
    <w:multiLevelType w:val="multilevel"/>
    <w:tmpl w:val="9DCC0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6063C"/>
    <w:multiLevelType w:val="hybridMultilevel"/>
    <w:tmpl w:val="04382478"/>
    <w:lvl w:ilvl="0" w:tplc="5C220D9E">
      <w:start w:val="1"/>
      <w:numFmt w:val="decimal"/>
      <w:lvlText w:val="%1."/>
      <w:lvlJc w:val="left"/>
      <w:pPr>
        <w:ind w:left="720" w:hanging="360"/>
      </w:pPr>
      <w:rPr>
        <w:rFonts w:hint="default"/>
        <w:b w:val="0"/>
      </w:rPr>
    </w:lvl>
    <w:lvl w:ilvl="1" w:tplc="6CC06064">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15:restartNumberingAfterBreak="0">
    <w:nsid w:val="372376DF"/>
    <w:multiLevelType w:val="hybridMultilevel"/>
    <w:tmpl w:val="4044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EBE345C"/>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85481"/>
    <w:multiLevelType w:val="hybridMultilevel"/>
    <w:tmpl w:val="40DA6878"/>
    <w:lvl w:ilvl="0" w:tplc="5D0C2668">
      <w:start w:val="1"/>
      <w:numFmt w:val="lowerLetter"/>
      <w:lvlText w:val="%1."/>
      <w:lvlJc w:val="left"/>
      <w:pPr>
        <w:ind w:left="2160" w:hanging="360"/>
      </w:pPr>
    </w:lvl>
    <w:lvl w:ilvl="1" w:tplc="D9E6E17E">
      <w:start w:val="1"/>
      <w:numFmt w:val="lowerLetter"/>
      <w:lvlText w:val="%2."/>
      <w:lvlJc w:val="left"/>
      <w:pPr>
        <w:ind w:left="2160" w:hanging="360"/>
      </w:pPr>
    </w:lvl>
    <w:lvl w:ilvl="2" w:tplc="2EEC8B78">
      <w:start w:val="1"/>
      <w:numFmt w:val="lowerLetter"/>
      <w:lvlText w:val="%3."/>
      <w:lvlJc w:val="left"/>
      <w:pPr>
        <w:ind w:left="2160" w:hanging="360"/>
      </w:pPr>
    </w:lvl>
    <w:lvl w:ilvl="3" w:tplc="158C0C12">
      <w:start w:val="1"/>
      <w:numFmt w:val="lowerLetter"/>
      <w:lvlText w:val="%4."/>
      <w:lvlJc w:val="left"/>
      <w:pPr>
        <w:ind w:left="2160" w:hanging="360"/>
      </w:pPr>
    </w:lvl>
    <w:lvl w:ilvl="4" w:tplc="6F6034BA">
      <w:start w:val="1"/>
      <w:numFmt w:val="lowerLetter"/>
      <w:lvlText w:val="%5."/>
      <w:lvlJc w:val="left"/>
      <w:pPr>
        <w:ind w:left="2160" w:hanging="360"/>
      </w:pPr>
    </w:lvl>
    <w:lvl w:ilvl="5" w:tplc="2C10E574">
      <w:start w:val="1"/>
      <w:numFmt w:val="lowerLetter"/>
      <w:lvlText w:val="%6."/>
      <w:lvlJc w:val="left"/>
      <w:pPr>
        <w:ind w:left="2160" w:hanging="360"/>
      </w:pPr>
    </w:lvl>
    <w:lvl w:ilvl="6" w:tplc="5526FF86">
      <w:start w:val="1"/>
      <w:numFmt w:val="lowerLetter"/>
      <w:lvlText w:val="%7."/>
      <w:lvlJc w:val="left"/>
      <w:pPr>
        <w:ind w:left="2160" w:hanging="360"/>
      </w:pPr>
    </w:lvl>
    <w:lvl w:ilvl="7" w:tplc="6B366E88">
      <w:start w:val="1"/>
      <w:numFmt w:val="lowerLetter"/>
      <w:lvlText w:val="%8."/>
      <w:lvlJc w:val="left"/>
      <w:pPr>
        <w:ind w:left="2160" w:hanging="360"/>
      </w:pPr>
    </w:lvl>
    <w:lvl w:ilvl="8" w:tplc="F9247C1E">
      <w:start w:val="1"/>
      <w:numFmt w:val="lowerLetter"/>
      <w:lvlText w:val="%9."/>
      <w:lvlJc w:val="left"/>
      <w:pPr>
        <w:ind w:left="2160" w:hanging="360"/>
      </w:pPr>
    </w:lvl>
  </w:abstractNum>
  <w:abstractNum w:abstractNumId="22" w15:restartNumberingAfterBreak="0">
    <w:nsid w:val="4E9D2CB9"/>
    <w:multiLevelType w:val="hybridMultilevel"/>
    <w:tmpl w:val="D66C9F18"/>
    <w:lvl w:ilvl="0" w:tplc="E52418AA">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B68D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A055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52DE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32D1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58D7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C0DE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7498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7EB5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4D365D0"/>
    <w:multiLevelType w:val="hybridMultilevel"/>
    <w:tmpl w:val="D55A7940"/>
    <w:lvl w:ilvl="0" w:tplc="F85C9D9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0746AA"/>
    <w:multiLevelType w:val="hybridMultilevel"/>
    <w:tmpl w:val="7B9A47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C8B1A41"/>
    <w:multiLevelType w:val="hybridMultilevel"/>
    <w:tmpl w:val="C08E9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9C1206"/>
    <w:multiLevelType w:val="hybridMultilevel"/>
    <w:tmpl w:val="6F50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160BFA"/>
    <w:multiLevelType w:val="hybridMultilevel"/>
    <w:tmpl w:val="52F86386"/>
    <w:lvl w:ilvl="0" w:tplc="2F1C95C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E75F09"/>
    <w:multiLevelType w:val="multilevel"/>
    <w:tmpl w:val="35DED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D655CF"/>
    <w:multiLevelType w:val="hybridMultilevel"/>
    <w:tmpl w:val="C51C67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F600535"/>
    <w:multiLevelType w:val="hybridMultilevel"/>
    <w:tmpl w:val="0A5819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D1E3D0A"/>
    <w:multiLevelType w:val="hybridMultilevel"/>
    <w:tmpl w:val="D85E3DA2"/>
    <w:lvl w:ilvl="0" w:tplc="5A700A40">
      <w:start w:val="1"/>
      <w:numFmt w:val="upperRoman"/>
      <w:lvlText w:val="%1."/>
      <w:lvlJc w:val="left"/>
      <w:pPr>
        <w:ind w:left="360" w:hanging="360"/>
      </w:pPr>
      <w:rPr>
        <w:rFonts w:hint="default"/>
        <w:b/>
        <w:i w:val="0"/>
        <w:color w:val="auto"/>
      </w:rPr>
    </w:lvl>
    <w:lvl w:ilvl="1" w:tplc="04090015">
      <w:start w:val="1"/>
      <w:numFmt w:val="upperLetter"/>
      <w:lvlText w:val="%2."/>
      <w:lvlJc w:val="left"/>
      <w:pPr>
        <w:ind w:left="1080" w:hanging="360"/>
      </w:pPr>
    </w:lvl>
    <w:lvl w:ilvl="2" w:tplc="0409000F">
      <w:start w:val="1"/>
      <w:numFmt w:val="decimal"/>
      <w:lvlText w:val="%3."/>
      <w:lvlJc w:val="left"/>
      <w:pPr>
        <w:ind w:left="540" w:hanging="180"/>
      </w:pPr>
    </w:lvl>
    <w:lvl w:ilvl="3" w:tplc="04090019">
      <w:start w:val="1"/>
      <w:numFmt w:val="lowerLetter"/>
      <w:lvlText w:val="%4."/>
      <w:lvlJc w:val="left"/>
      <w:pPr>
        <w:ind w:left="2520" w:hanging="360"/>
      </w:pPr>
    </w:lvl>
    <w:lvl w:ilvl="4" w:tplc="58AADE0C">
      <w:start w:val="1"/>
      <w:numFmt w:val="lowerRoman"/>
      <w:lvlText w:val="%5."/>
      <w:lvlJc w:val="left"/>
      <w:pPr>
        <w:ind w:left="3240" w:hanging="360"/>
      </w:pPr>
      <w:rPr>
        <w:rFonts w:hint="default"/>
        <w:sz w:val="20"/>
      </w:rPr>
    </w:lvl>
    <w:lvl w:ilvl="5" w:tplc="04090017">
      <w:start w:val="1"/>
      <w:numFmt w:val="lowerLetter"/>
      <w:lvlText w:val="%6)"/>
      <w:lvlJc w:val="left"/>
      <w:pPr>
        <w:ind w:left="3960" w:hanging="180"/>
      </w:pPr>
    </w:lvl>
    <w:lvl w:ilvl="6" w:tplc="8C4E29C6">
      <w:start w:val="1"/>
      <w:numFmt w:val="lowerRoman"/>
      <w:lvlText w:val="%7.)"/>
      <w:lvlJc w:val="left"/>
      <w:pPr>
        <w:ind w:left="5040" w:hanging="720"/>
      </w:pPr>
      <w:rPr>
        <w:rFonts w:hint="default"/>
      </w:rPr>
    </w:lvl>
    <w:lvl w:ilvl="7" w:tplc="F0CA3C82">
      <w:start w:val="1"/>
      <w:numFmt w:val="lowerLetter"/>
      <w:lvlText w:val="%8)"/>
      <w:lvlJc w:val="left"/>
      <w:pPr>
        <w:ind w:left="5400" w:hanging="360"/>
      </w:pPr>
      <w:rPr>
        <w:rFonts w:ascii="Times New Roman" w:eastAsia="Times New Roman" w:hAnsi="Times New Roman" w:cs="Times New Roman"/>
      </w:rPr>
    </w:lvl>
    <w:lvl w:ilvl="8" w:tplc="0409001B" w:tentative="1">
      <w:start w:val="1"/>
      <w:numFmt w:val="lowerRoman"/>
      <w:lvlText w:val="%9."/>
      <w:lvlJc w:val="right"/>
      <w:pPr>
        <w:ind w:left="6120" w:hanging="180"/>
      </w:pPr>
    </w:lvl>
  </w:abstractNum>
  <w:abstractNum w:abstractNumId="33"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1406412152">
    <w:abstractNumId w:val="33"/>
  </w:num>
  <w:num w:numId="2" w16cid:durableId="1650136950">
    <w:abstractNumId w:val="1"/>
  </w:num>
  <w:num w:numId="3" w16cid:durableId="1943494074">
    <w:abstractNumId w:val="13"/>
  </w:num>
  <w:num w:numId="4" w16cid:durableId="1427843350">
    <w:abstractNumId w:val="17"/>
  </w:num>
  <w:num w:numId="5" w16cid:durableId="2098790470">
    <w:abstractNumId w:val="19"/>
  </w:num>
  <w:num w:numId="6" w16cid:durableId="1071544413">
    <w:abstractNumId w:val="26"/>
  </w:num>
  <w:num w:numId="7" w16cid:durableId="910509753">
    <w:abstractNumId w:val="29"/>
  </w:num>
  <w:num w:numId="8" w16cid:durableId="651444669">
    <w:abstractNumId w:val="3"/>
  </w:num>
  <w:num w:numId="9" w16cid:durableId="1227108189">
    <w:abstractNumId w:val="23"/>
  </w:num>
  <w:num w:numId="10" w16cid:durableId="2044555422">
    <w:abstractNumId w:val="11"/>
  </w:num>
  <w:num w:numId="11" w16cid:durableId="1881628821">
    <w:abstractNumId w:val="32"/>
  </w:num>
  <w:num w:numId="12" w16cid:durableId="1624966257">
    <w:abstractNumId w:val="16"/>
  </w:num>
  <w:num w:numId="13" w16cid:durableId="1436822392">
    <w:abstractNumId w:val="14"/>
  </w:num>
  <w:num w:numId="14" w16cid:durableId="95444565">
    <w:abstractNumId w:val="7"/>
  </w:num>
  <w:num w:numId="15" w16cid:durableId="2003510727">
    <w:abstractNumId w:val="12"/>
  </w:num>
  <w:num w:numId="16" w16cid:durableId="563637954">
    <w:abstractNumId w:val="31"/>
  </w:num>
  <w:num w:numId="17" w16cid:durableId="1363049897">
    <w:abstractNumId w:val="24"/>
  </w:num>
  <w:num w:numId="18" w16cid:durableId="911618751">
    <w:abstractNumId w:val="20"/>
  </w:num>
  <w:num w:numId="19" w16cid:durableId="781000511">
    <w:abstractNumId w:val="10"/>
  </w:num>
  <w:num w:numId="20" w16cid:durableId="1015109364">
    <w:abstractNumId w:val="5"/>
  </w:num>
  <w:num w:numId="21" w16cid:durableId="717634068">
    <w:abstractNumId w:val="25"/>
  </w:num>
  <w:num w:numId="22" w16cid:durableId="780608605">
    <w:abstractNumId w:val="15"/>
  </w:num>
  <w:num w:numId="23" w16cid:durableId="554857979">
    <w:abstractNumId w:val="8"/>
  </w:num>
  <w:num w:numId="24" w16cid:durableId="1512917200">
    <w:abstractNumId w:val="28"/>
  </w:num>
  <w:num w:numId="25" w16cid:durableId="1588996679">
    <w:abstractNumId w:val="27"/>
  </w:num>
  <w:num w:numId="26" w16cid:durableId="950862194">
    <w:abstractNumId w:val="6"/>
  </w:num>
  <w:num w:numId="27" w16cid:durableId="1863467735">
    <w:abstractNumId w:val="0"/>
  </w:num>
  <w:num w:numId="28" w16cid:durableId="2115903581">
    <w:abstractNumId w:val="21"/>
  </w:num>
  <w:num w:numId="29" w16cid:durableId="1876192687">
    <w:abstractNumId w:val="9"/>
  </w:num>
  <w:num w:numId="30" w16cid:durableId="1494297310">
    <w:abstractNumId w:val="18"/>
  </w:num>
  <w:num w:numId="31" w16cid:durableId="679820255">
    <w:abstractNumId w:val="2"/>
  </w:num>
  <w:num w:numId="32" w16cid:durableId="579295504">
    <w:abstractNumId w:val="4"/>
  </w:num>
  <w:num w:numId="33" w16cid:durableId="241646491">
    <w:abstractNumId w:val="30"/>
  </w:num>
  <w:num w:numId="34" w16cid:durableId="1519870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1FE0"/>
    <w:rsid w:val="00002EBF"/>
    <w:rsid w:val="00004CDA"/>
    <w:rsid w:val="00007A54"/>
    <w:rsid w:val="00011FF6"/>
    <w:rsid w:val="00013D97"/>
    <w:rsid w:val="000145FF"/>
    <w:rsid w:val="0001466B"/>
    <w:rsid w:val="000148B6"/>
    <w:rsid w:val="0001567F"/>
    <w:rsid w:val="00016D26"/>
    <w:rsid w:val="0002016E"/>
    <w:rsid w:val="000214E3"/>
    <w:rsid w:val="00022A76"/>
    <w:rsid w:val="00023741"/>
    <w:rsid w:val="00025B0F"/>
    <w:rsid w:val="00026BD7"/>
    <w:rsid w:val="00026C1E"/>
    <w:rsid w:val="00030C0B"/>
    <w:rsid w:val="000318E1"/>
    <w:rsid w:val="00032647"/>
    <w:rsid w:val="00032692"/>
    <w:rsid w:val="00032D3F"/>
    <w:rsid w:val="0003406B"/>
    <w:rsid w:val="00034F47"/>
    <w:rsid w:val="0003527F"/>
    <w:rsid w:val="0003548B"/>
    <w:rsid w:val="00036165"/>
    <w:rsid w:val="00041451"/>
    <w:rsid w:val="00041C8C"/>
    <w:rsid w:val="000440B9"/>
    <w:rsid w:val="000465DE"/>
    <w:rsid w:val="00046878"/>
    <w:rsid w:val="0004733E"/>
    <w:rsid w:val="00050337"/>
    <w:rsid w:val="00050922"/>
    <w:rsid w:val="00051B9A"/>
    <w:rsid w:val="00057B28"/>
    <w:rsid w:val="00060509"/>
    <w:rsid w:val="00062CE2"/>
    <w:rsid w:val="0006400B"/>
    <w:rsid w:val="0006555F"/>
    <w:rsid w:val="000661C1"/>
    <w:rsid w:val="00066EC2"/>
    <w:rsid w:val="00067366"/>
    <w:rsid w:val="00070AD8"/>
    <w:rsid w:val="000736A6"/>
    <w:rsid w:val="00074508"/>
    <w:rsid w:val="00076CEF"/>
    <w:rsid w:val="00077F45"/>
    <w:rsid w:val="0008154A"/>
    <w:rsid w:val="00083740"/>
    <w:rsid w:val="000837A1"/>
    <w:rsid w:val="00083D37"/>
    <w:rsid w:val="00087D84"/>
    <w:rsid w:val="00087F0B"/>
    <w:rsid w:val="0009318B"/>
    <w:rsid w:val="00094136"/>
    <w:rsid w:val="00094D54"/>
    <w:rsid w:val="00095CC9"/>
    <w:rsid w:val="000A036C"/>
    <w:rsid w:val="000A15C9"/>
    <w:rsid w:val="000A1B46"/>
    <w:rsid w:val="000A3146"/>
    <w:rsid w:val="000A33B1"/>
    <w:rsid w:val="000A4AD0"/>
    <w:rsid w:val="000B2F28"/>
    <w:rsid w:val="000B34CF"/>
    <w:rsid w:val="000B35E5"/>
    <w:rsid w:val="000B5C9E"/>
    <w:rsid w:val="000C52F7"/>
    <w:rsid w:val="000C7402"/>
    <w:rsid w:val="000D14B1"/>
    <w:rsid w:val="000D2262"/>
    <w:rsid w:val="000D6006"/>
    <w:rsid w:val="000D6873"/>
    <w:rsid w:val="000D7065"/>
    <w:rsid w:val="000D7724"/>
    <w:rsid w:val="000E0904"/>
    <w:rsid w:val="000E2ACE"/>
    <w:rsid w:val="000E2F23"/>
    <w:rsid w:val="000E41A2"/>
    <w:rsid w:val="000E4DCE"/>
    <w:rsid w:val="000E5DF1"/>
    <w:rsid w:val="000E7741"/>
    <w:rsid w:val="000F10C2"/>
    <w:rsid w:val="000F1F8B"/>
    <w:rsid w:val="000F5A79"/>
    <w:rsid w:val="000F68EC"/>
    <w:rsid w:val="000F6B44"/>
    <w:rsid w:val="00100ADC"/>
    <w:rsid w:val="001015D9"/>
    <w:rsid w:val="00104FFF"/>
    <w:rsid w:val="0010618C"/>
    <w:rsid w:val="00110109"/>
    <w:rsid w:val="001102D4"/>
    <w:rsid w:val="0011055A"/>
    <w:rsid w:val="00111632"/>
    <w:rsid w:val="001148A8"/>
    <w:rsid w:val="00115AB8"/>
    <w:rsid w:val="00120A24"/>
    <w:rsid w:val="00120CD4"/>
    <w:rsid w:val="001212EC"/>
    <w:rsid w:val="0012652F"/>
    <w:rsid w:val="00131184"/>
    <w:rsid w:val="00131E6A"/>
    <w:rsid w:val="001329CD"/>
    <w:rsid w:val="001344CD"/>
    <w:rsid w:val="00134F97"/>
    <w:rsid w:val="0013556E"/>
    <w:rsid w:val="001370A1"/>
    <w:rsid w:val="0013737D"/>
    <w:rsid w:val="001403E5"/>
    <w:rsid w:val="00140F3C"/>
    <w:rsid w:val="00141430"/>
    <w:rsid w:val="001418FD"/>
    <w:rsid w:val="0014276F"/>
    <w:rsid w:val="0014316D"/>
    <w:rsid w:val="00143D20"/>
    <w:rsid w:val="001447AA"/>
    <w:rsid w:val="00146C6E"/>
    <w:rsid w:val="00147D16"/>
    <w:rsid w:val="00150BA8"/>
    <w:rsid w:val="00153660"/>
    <w:rsid w:val="00156508"/>
    <w:rsid w:val="00156B0F"/>
    <w:rsid w:val="00157774"/>
    <w:rsid w:val="001603F5"/>
    <w:rsid w:val="00160B9D"/>
    <w:rsid w:val="00160E85"/>
    <w:rsid w:val="00162318"/>
    <w:rsid w:val="00165088"/>
    <w:rsid w:val="00165C2A"/>
    <w:rsid w:val="001670A2"/>
    <w:rsid w:val="0016798E"/>
    <w:rsid w:val="001705BE"/>
    <w:rsid w:val="00170616"/>
    <w:rsid w:val="00170B14"/>
    <w:rsid w:val="00171367"/>
    <w:rsid w:val="00172A7D"/>
    <w:rsid w:val="00174E8C"/>
    <w:rsid w:val="00180882"/>
    <w:rsid w:val="001818D7"/>
    <w:rsid w:val="001837FA"/>
    <w:rsid w:val="001841E1"/>
    <w:rsid w:val="001846A9"/>
    <w:rsid w:val="00185104"/>
    <w:rsid w:val="00186320"/>
    <w:rsid w:val="001865F1"/>
    <w:rsid w:val="00192345"/>
    <w:rsid w:val="001924D2"/>
    <w:rsid w:val="001962BE"/>
    <w:rsid w:val="00196689"/>
    <w:rsid w:val="00196935"/>
    <w:rsid w:val="00196BB4"/>
    <w:rsid w:val="00196CA6"/>
    <w:rsid w:val="0019746F"/>
    <w:rsid w:val="00197B30"/>
    <w:rsid w:val="001A084A"/>
    <w:rsid w:val="001A3832"/>
    <w:rsid w:val="001A7853"/>
    <w:rsid w:val="001B0A60"/>
    <w:rsid w:val="001B110D"/>
    <w:rsid w:val="001B1278"/>
    <w:rsid w:val="001B15F0"/>
    <w:rsid w:val="001B4C74"/>
    <w:rsid w:val="001B6940"/>
    <w:rsid w:val="001C24E2"/>
    <w:rsid w:val="001C2991"/>
    <w:rsid w:val="001C35C0"/>
    <w:rsid w:val="001C609D"/>
    <w:rsid w:val="001C67BD"/>
    <w:rsid w:val="001C6C51"/>
    <w:rsid w:val="001D0D34"/>
    <w:rsid w:val="001D20E7"/>
    <w:rsid w:val="001D5CCD"/>
    <w:rsid w:val="001D70D4"/>
    <w:rsid w:val="001D726A"/>
    <w:rsid w:val="001E0882"/>
    <w:rsid w:val="001E37AC"/>
    <w:rsid w:val="001E5102"/>
    <w:rsid w:val="001E6976"/>
    <w:rsid w:val="001E71E2"/>
    <w:rsid w:val="001E739B"/>
    <w:rsid w:val="001E7D12"/>
    <w:rsid w:val="001F2BB8"/>
    <w:rsid w:val="001F3CC5"/>
    <w:rsid w:val="001F50A9"/>
    <w:rsid w:val="001F5E5F"/>
    <w:rsid w:val="001F5F07"/>
    <w:rsid w:val="002019CB"/>
    <w:rsid w:val="00201D36"/>
    <w:rsid w:val="00203312"/>
    <w:rsid w:val="002038E6"/>
    <w:rsid w:val="0020675F"/>
    <w:rsid w:val="0020689A"/>
    <w:rsid w:val="00206CBD"/>
    <w:rsid w:val="00207399"/>
    <w:rsid w:val="0020752D"/>
    <w:rsid w:val="00207C4B"/>
    <w:rsid w:val="002127D2"/>
    <w:rsid w:val="002129E2"/>
    <w:rsid w:val="00212C69"/>
    <w:rsid w:val="00213453"/>
    <w:rsid w:val="00213591"/>
    <w:rsid w:val="00213D9B"/>
    <w:rsid w:val="00213E83"/>
    <w:rsid w:val="002165F4"/>
    <w:rsid w:val="0021698C"/>
    <w:rsid w:val="00217C62"/>
    <w:rsid w:val="00220237"/>
    <w:rsid w:val="00220736"/>
    <w:rsid w:val="0022218E"/>
    <w:rsid w:val="00230FE4"/>
    <w:rsid w:val="002317C0"/>
    <w:rsid w:val="00231C0B"/>
    <w:rsid w:val="00233651"/>
    <w:rsid w:val="002340CD"/>
    <w:rsid w:val="00243E6F"/>
    <w:rsid w:val="0024472E"/>
    <w:rsid w:val="00245F25"/>
    <w:rsid w:val="0024687D"/>
    <w:rsid w:val="00247EBB"/>
    <w:rsid w:val="0025033A"/>
    <w:rsid w:val="0025135A"/>
    <w:rsid w:val="00254020"/>
    <w:rsid w:val="00254453"/>
    <w:rsid w:val="0025452A"/>
    <w:rsid w:val="002562F7"/>
    <w:rsid w:val="0025720D"/>
    <w:rsid w:val="00257DB5"/>
    <w:rsid w:val="0026196F"/>
    <w:rsid w:val="0026200C"/>
    <w:rsid w:val="00264161"/>
    <w:rsid w:val="00265A97"/>
    <w:rsid w:val="00266C65"/>
    <w:rsid w:val="00266C98"/>
    <w:rsid w:val="00267A1F"/>
    <w:rsid w:val="00267AE8"/>
    <w:rsid w:val="00267D99"/>
    <w:rsid w:val="00272AAF"/>
    <w:rsid w:val="00274324"/>
    <w:rsid w:val="00274393"/>
    <w:rsid w:val="002757F2"/>
    <w:rsid w:val="002800C1"/>
    <w:rsid w:val="00283873"/>
    <w:rsid w:val="00285997"/>
    <w:rsid w:val="002913B4"/>
    <w:rsid w:val="00291BC7"/>
    <w:rsid w:val="00292065"/>
    <w:rsid w:val="002921F2"/>
    <w:rsid w:val="00292BCA"/>
    <w:rsid w:val="002934E5"/>
    <w:rsid w:val="00293C14"/>
    <w:rsid w:val="00295D04"/>
    <w:rsid w:val="00296179"/>
    <w:rsid w:val="002968FB"/>
    <w:rsid w:val="002A2B3F"/>
    <w:rsid w:val="002A39EE"/>
    <w:rsid w:val="002A452F"/>
    <w:rsid w:val="002A47A9"/>
    <w:rsid w:val="002B0582"/>
    <w:rsid w:val="002B3469"/>
    <w:rsid w:val="002B4D3E"/>
    <w:rsid w:val="002B5A25"/>
    <w:rsid w:val="002B6877"/>
    <w:rsid w:val="002C0F75"/>
    <w:rsid w:val="002C10B3"/>
    <w:rsid w:val="002C33AD"/>
    <w:rsid w:val="002C3BE3"/>
    <w:rsid w:val="002C6056"/>
    <w:rsid w:val="002C6AAB"/>
    <w:rsid w:val="002C6C59"/>
    <w:rsid w:val="002C74EA"/>
    <w:rsid w:val="002C768E"/>
    <w:rsid w:val="002D019A"/>
    <w:rsid w:val="002D4A12"/>
    <w:rsid w:val="002D5438"/>
    <w:rsid w:val="002D58E3"/>
    <w:rsid w:val="002D6E99"/>
    <w:rsid w:val="002D7037"/>
    <w:rsid w:val="002E1310"/>
    <w:rsid w:val="002E35DC"/>
    <w:rsid w:val="002E3A38"/>
    <w:rsid w:val="002E40DF"/>
    <w:rsid w:val="002E48E7"/>
    <w:rsid w:val="002E5306"/>
    <w:rsid w:val="002E542E"/>
    <w:rsid w:val="002E5FE9"/>
    <w:rsid w:val="002F4ED5"/>
    <w:rsid w:val="00301113"/>
    <w:rsid w:val="003011ED"/>
    <w:rsid w:val="00306F8D"/>
    <w:rsid w:val="003072A5"/>
    <w:rsid w:val="003073AF"/>
    <w:rsid w:val="00310AF4"/>
    <w:rsid w:val="00313BC2"/>
    <w:rsid w:val="00313CB3"/>
    <w:rsid w:val="003140D6"/>
    <w:rsid w:val="00315AB9"/>
    <w:rsid w:val="00320AE1"/>
    <w:rsid w:val="00321312"/>
    <w:rsid w:val="0032217F"/>
    <w:rsid w:val="00322749"/>
    <w:rsid w:val="003261A4"/>
    <w:rsid w:val="00331DA6"/>
    <w:rsid w:val="0033286D"/>
    <w:rsid w:val="00332C30"/>
    <w:rsid w:val="00333ECF"/>
    <w:rsid w:val="0033421A"/>
    <w:rsid w:val="00336E37"/>
    <w:rsid w:val="00341761"/>
    <w:rsid w:val="00341A63"/>
    <w:rsid w:val="00341B80"/>
    <w:rsid w:val="0034306A"/>
    <w:rsid w:val="00344F19"/>
    <w:rsid w:val="003503F5"/>
    <w:rsid w:val="0035077F"/>
    <w:rsid w:val="00350D15"/>
    <w:rsid w:val="00350F22"/>
    <w:rsid w:val="00352B4A"/>
    <w:rsid w:val="0035304F"/>
    <w:rsid w:val="003541B7"/>
    <w:rsid w:val="00354980"/>
    <w:rsid w:val="003551FB"/>
    <w:rsid w:val="00360420"/>
    <w:rsid w:val="00361834"/>
    <w:rsid w:val="00364D84"/>
    <w:rsid w:val="0036554D"/>
    <w:rsid w:val="003655B3"/>
    <w:rsid w:val="00374735"/>
    <w:rsid w:val="00375C55"/>
    <w:rsid w:val="003817E0"/>
    <w:rsid w:val="003818B9"/>
    <w:rsid w:val="00383455"/>
    <w:rsid w:val="003838EE"/>
    <w:rsid w:val="003840CC"/>
    <w:rsid w:val="00384D22"/>
    <w:rsid w:val="003878B1"/>
    <w:rsid w:val="003916D7"/>
    <w:rsid w:val="00393272"/>
    <w:rsid w:val="00395BF0"/>
    <w:rsid w:val="0039680E"/>
    <w:rsid w:val="003A1726"/>
    <w:rsid w:val="003A1F38"/>
    <w:rsid w:val="003A2570"/>
    <w:rsid w:val="003A2CC3"/>
    <w:rsid w:val="003A3F87"/>
    <w:rsid w:val="003A40CF"/>
    <w:rsid w:val="003A6D00"/>
    <w:rsid w:val="003A74D7"/>
    <w:rsid w:val="003B1591"/>
    <w:rsid w:val="003B3237"/>
    <w:rsid w:val="003B557A"/>
    <w:rsid w:val="003B6153"/>
    <w:rsid w:val="003C08F5"/>
    <w:rsid w:val="003C09B0"/>
    <w:rsid w:val="003C281F"/>
    <w:rsid w:val="003C5EC0"/>
    <w:rsid w:val="003C77BF"/>
    <w:rsid w:val="003D3596"/>
    <w:rsid w:val="003D4187"/>
    <w:rsid w:val="003D61F8"/>
    <w:rsid w:val="003D7983"/>
    <w:rsid w:val="003D7BE7"/>
    <w:rsid w:val="003E0C16"/>
    <w:rsid w:val="003E232C"/>
    <w:rsid w:val="003E37F8"/>
    <w:rsid w:val="003E3E7E"/>
    <w:rsid w:val="003E3FE5"/>
    <w:rsid w:val="003E53C5"/>
    <w:rsid w:val="003E5429"/>
    <w:rsid w:val="003E5579"/>
    <w:rsid w:val="003E7E1C"/>
    <w:rsid w:val="003F0E65"/>
    <w:rsid w:val="003F1085"/>
    <w:rsid w:val="003F3D44"/>
    <w:rsid w:val="003F48C8"/>
    <w:rsid w:val="003F53CD"/>
    <w:rsid w:val="003F6848"/>
    <w:rsid w:val="004000E9"/>
    <w:rsid w:val="00400871"/>
    <w:rsid w:val="00400A64"/>
    <w:rsid w:val="00400A9C"/>
    <w:rsid w:val="00400F98"/>
    <w:rsid w:val="0040421A"/>
    <w:rsid w:val="0040660F"/>
    <w:rsid w:val="004070E6"/>
    <w:rsid w:val="004073D0"/>
    <w:rsid w:val="00411DC8"/>
    <w:rsid w:val="00415479"/>
    <w:rsid w:val="0041684C"/>
    <w:rsid w:val="00420B81"/>
    <w:rsid w:val="00422208"/>
    <w:rsid w:val="00427757"/>
    <w:rsid w:val="00431007"/>
    <w:rsid w:val="00432682"/>
    <w:rsid w:val="00436B29"/>
    <w:rsid w:val="004420CD"/>
    <w:rsid w:val="00443DDF"/>
    <w:rsid w:val="00445AB3"/>
    <w:rsid w:val="00445E07"/>
    <w:rsid w:val="00445E51"/>
    <w:rsid w:val="00447B42"/>
    <w:rsid w:val="0045192E"/>
    <w:rsid w:val="00451E1E"/>
    <w:rsid w:val="00454322"/>
    <w:rsid w:val="00454430"/>
    <w:rsid w:val="00456715"/>
    <w:rsid w:val="00456A83"/>
    <w:rsid w:val="00464BA3"/>
    <w:rsid w:val="00466A7E"/>
    <w:rsid w:val="00466EDF"/>
    <w:rsid w:val="004673ED"/>
    <w:rsid w:val="00472318"/>
    <w:rsid w:val="00472A89"/>
    <w:rsid w:val="00472B51"/>
    <w:rsid w:val="00472C6C"/>
    <w:rsid w:val="00472F66"/>
    <w:rsid w:val="00473960"/>
    <w:rsid w:val="00473976"/>
    <w:rsid w:val="00473D08"/>
    <w:rsid w:val="00475383"/>
    <w:rsid w:val="00475D1A"/>
    <w:rsid w:val="00476329"/>
    <w:rsid w:val="00477252"/>
    <w:rsid w:val="00480C09"/>
    <w:rsid w:val="00481658"/>
    <w:rsid w:val="00481F29"/>
    <w:rsid w:val="00482132"/>
    <w:rsid w:val="00485C45"/>
    <w:rsid w:val="00491321"/>
    <w:rsid w:val="00492DF7"/>
    <w:rsid w:val="00493710"/>
    <w:rsid w:val="004941C9"/>
    <w:rsid w:val="004960FF"/>
    <w:rsid w:val="00496BCF"/>
    <w:rsid w:val="00497AED"/>
    <w:rsid w:val="00497FF8"/>
    <w:rsid w:val="004A0503"/>
    <w:rsid w:val="004A2DC3"/>
    <w:rsid w:val="004A48A2"/>
    <w:rsid w:val="004A5AA9"/>
    <w:rsid w:val="004A77F1"/>
    <w:rsid w:val="004B2567"/>
    <w:rsid w:val="004B324E"/>
    <w:rsid w:val="004B7798"/>
    <w:rsid w:val="004C2DD5"/>
    <w:rsid w:val="004C486B"/>
    <w:rsid w:val="004C4A85"/>
    <w:rsid w:val="004C7108"/>
    <w:rsid w:val="004C7ECB"/>
    <w:rsid w:val="004D0391"/>
    <w:rsid w:val="004D0D1C"/>
    <w:rsid w:val="004D2738"/>
    <w:rsid w:val="004D52E1"/>
    <w:rsid w:val="004E0B99"/>
    <w:rsid w:val="004E0E09"/>
    <w:rsid w:val="004E2D92"/>
    <w:rsid w:val="004E348D"/>
    <w:rsid w:val="004E4283"/>
    <w:rsid w:val="004E4EF1"/>
    <w:rsid w:val="004E74CA"/>
    <w:rsid w:val="004E7B47"/>
    <w:rsid w:val="004F00B6"/>
    <w:rsid w:val="004F071C"/>
    <w:rsid w:val="004F0DB0"/>
    <w:rsid w:val="004F1E34"/>
    <w:rsid w:val="004F4AC2"/>
    <w:rsid w:val="004F4BF5"/>
    <w:rsid w:val="004F4CB0"/>
    <w:rsid w:val="004F50B2"/>
    <w:rsid w:val="004F5B9D"/>
    <w:rsid w:val="004F6180"/>
    <w:rsid w:val="004F6394"/>
    <w:rsid w:val="004F6723"/>
    <w:rsid w:val="00501DE9"/>
    <w:rsid w:val="00502CB8"/>
    <w:rsid w:val="00505830"/>
    <w:rsid w:val="00506278"/>
    <w:rsid w:val="00506F71"/>
    <w:rsid w:val="005103B8"/>
    <w:rsid w:val="005147CC"/>
    <w:rsid w:val="00520EFD"/>
    <w:rsid w:val="005220A6"/>
    <w:rsid w:val="00523DFC"/>
    <w:rsid w:val="00525566"/>
    <w:rsid w:val="0052623C"/>
    <w:rsid w:val="005301CB"/>
    <w:rsid w:val="00532902"/>
    <w:rsid w:val="005337BC"/>
    <w:rsid w:val="0053532C"/>
    <w:rsid w:val="0053569B"/>
    <w:rsid w:val="00537DA7"/>
    <w:rsid w:val="00541D38"/>
    <w:rsid w:val="005423D4"/>
    <w:rsid w:val="00543299"/>
    <w:rsid w:val="00547052"/>
    <w:rsid w:val="0054767F"/>
    <w:rsid w:val="0054789D"/>
    <w:rsid w:val="00550D8D"/>
    <w:rsid w:val="00551189"/>
    <w:rsid w:val="00553639"/>
    <w:rsid w:val="005537B0"/>
    <w:rsid w:val="005538BD"/>
    <w:rsid w:val="0055488F"/>
    <w:rsid w:val="0055510A"/>
    <w:rsid w:val="00555DB8"/>
    <w:rsid w:val="005631C0"/>
    <w:rsid w:val="00564427"/>
    <w:rsid w:val="00566A03"/>
    <w:rsid w:val="00567F6F"/>
    <w:rsid w:val="0057261E"/>
    <w:rsid w:val="005762BF"/>
    <w:rsid w:val="00576575"/>
    <w:rsid w:val="0057691E"/>
    <w:rsid w:val="0057700C"/>
    <w:rsid w:val="005776FD"/>
    <w:rsid w:val="0058067D"/>
    <w:rsid w:val="00580F01"/>
    <w:rsid w:val="00583376"/>
    <w:rsid w:val="00590AFB"/>
    <w:rsid w:val="00590E58"/>
    <w:rsid w:val="00593338"/>
    <w:rsid w:val="005944E7"/>
    <w:rsid w:val="00594926"/>
    <w:rsid w:val="00594C52"/>
    <w:rsid w:val="00597F08"/>
    <w:rsid w:val="005A284D"/>
    <w:rsid w:val="005A3CFA"/>
    <w:rsid w:val="005B1EF2"/>
    <w:rsid w:val="005B35E1"/>
    <w:rsid w:val="005B3F30"/>
    <w:rsid w:val="005B6431"/>
    <w:rsid w:val="005B6EC9"/>
    <w:rsid w:val="005B76B5"/>
    <w:rsid w:val="005C0251"/>
    <w:rsid w:val="005C0949"/>
    <w:rsid w:val="005C17DF"/>
    <w:rsid w:val="005C3607"/>
    <w:rsid w:val="005C4A1A"/>
    <w:rsid w:val="005C4F5C"/>
    <w:rsid w:val="005D009F"/>
    <w:rsid w:val="005D0B24"/>
    <w:rsid w:val="005D11E4"/>
    <w:rsid w:val="005D2FA6"/>
    <w:rsid w:val="005D3448"/>
    <w:rsid w:val="005D4876"/>
    <w:rsid w:val="005D5146"/>
    <w:rsid w:val="005D7B81"/>
    <w:rsid w:val="005E12D7"/>
    <w:rsid w:val="005E2B46"/>
    <w:rsid w:val="005E411E"/>
    <w:rsid w:val="005E4522"/>
    <w:rsid w:val="005E7AA0"/>
    <w:rsid w:val="005F0437"/>
    <w:rsid w:val="005F051C"/>
    <w:rsid w:val="005F0828"/>
    <w:rsid w:val="005F1707"/>
    <w:rsid w:val="005F2B2B"/>
    <w:rsid w:val="005F2D6D"/>
    <w:rsid w:val="005F633A"/>
    <w:rsid w:val="005F6A50"/>
    <w:rsid w:val="005F7028"/>
    <w:rsid w:val="00601C96"/>
    <w:rsid w:val="00605659"/>
    <w:rsid w:val="00607447"/>
    <w:rsid w:val="00607B7B"/>
    <w:rsid w:val="00614101"/>
    <w:rsid w:val="006167B5"/>
    <w:rsid w:val="00621530"/>
    <w:rsid w:val="00621ACD"/>
    <w:rsid w:val="00624415"/>
    <w:rsid w:val="00625DE2"/>
    <w:rsid w:val="0062630D"/>
    <w:rsid w:val="006300AA"/>
    <w:rsid w:val="00630E5B"/>
    <w:rsid w:val="006310E0"/>
    <w:rsid w:val="00631D73"/>
    <w:rsid w:val="006323EA"/>
    <w:rsid w:val="006330B5"/>
    <w:rsid w:val="00637066"/>
    <w:rsid w:val="00637796"/>
    <w:rsid w:val="006378A9"/>
    <w:rsid w:val="00640107"/>
    <w:rsid w:val="00640C5B"/>
    <w:rsid w:val="006455C2"/>
    <w:rsid w:val="00646121"/>
    <w:rsid w:val="006474BB"/>
    <w:rsid w:val="0065305F"/>
    <w:rsid w:val="00654249"/>
    <w:rsid w:val="00654B5E"/>
    <w:rsid w:val="00657A3A"/>
    <w:rsid w:val="006605BC"/>
    <w:rsid w:val="006611BB"/>
    <w:rsid w:val="006632EA"/>
    <w:rsid w:val="0066575B"/>
    <w:rsid w:val="006664E9"/>
    <w:rsid w:val="006668AF"/>
    <w:rsid w:val="006709A7"/>
    <w:rsid w:val="00672221"/>
    <w:rsid w:val="006744E8"/>
    <w:rsid w:val="00676965"/>
    <w:rsid w:val="00680AA7"/>
    <w:rsid w:val="00681231"/>
    <w:rsid w:val="00684673"/>
    <w:rsid w:val="00684B62"/>
    <w:rsid w:val="0068756A"/>
    <w:rsid w:val="006903DB"/>
    <w:rsid w:val="00691C98"/>
    <w:rsid w:val="006941E9"/>
    <w:rsid w:val="00694F16"/>
    <w:rsid w:val="0069562F"/>
    <w:rsid w:val="006A0D37"/>
    <w:rsid w:val="006A0E8F"/>
    <w:rsid w:val="006A3E12"/>
    <w:rsid w:val="006A7D08"/>
    <w:rsid w:val="006B4E2A"/>
    <w:rsid w:val="006B7F2A"/>
    <w:rsid w:val="006C4150"/>
    <w:rsid w:val="006C42C7"/>
    <w:rsid w:val="006C74DF"/>
    <w:rsid w:val="006D57DF"/>
    <w:rsid w:val="006E0B0D"/>
    <w:rsid w:val="006E117D"/>
    <w:rsid w:val="006E5509"/>
    <w:rsid w:val="006E5BE1"/>
    <w:rsid w:val="006F05F6"/>
    <w:rsid w:val="006F31DD"/>
    <w:rsid w:val="006F468C"/>
    <w:rsid w:val="006F4D70"/>
    <w:rsid w:val="006F5693"/>
    <w:rsid w:val="006F66AC"/>
    <w:rsid w:val="006F6E6E"/>
    <w:rsid w:val="00701B12"/>
    <w:rsid w:val="0070315D"/>
    <w:rsid w:val="0070685B"/>
    <w:rsid w:val="00707C23"/>
    <w:rsid w:val="00707C8B"/>
    <w:rsid w:val="00710F55"/>
    <w:rsid w:val="00711DC3"/>
    <w:rsid w:val="007163E2"/>
    <w:rsid w:val="007200C0"/>
    <w:rsid w:val="007219BC"/>
    <w:rsid w:val="00721DFD"/>
    <w:rsid w:val="00724C30"/>
    <w:rsid w:val="007265BF"/>
    <w:rsid w:val="00731AA4"/>
    <w:rsid w:val="00736551"/>
    <w:rsid w:val="00737343"/>
    <w:rsid w:val="00737B71"/>
    <w:rsid w:val="00743CE0"/>
    <w:rsid w:val="00744250"/>
    <w:rsid w:val="007442AD"/>
    <w:rsid w:val="0074611B"/>
    <w:rsid w:val="00751D0D"/>
    <w:rsid w:val="0075264E"/>
    <w:rsid w:val="00753A8B"/>
    <w:rsid w:val="00754923"/>
    <w:rsid w:val="00755C56"/>
    <w:rsid w:val="00761D2E"/>
    <w:rsid w:val="00762BB9"/>
    <w:rsid w:val="00762F87"/>
    <w:rsid w:val="00763631"/>
    <w:rsid w:val="00767221"/>
    <w:rsid w:val="007718E2"/>
    <w:rsid w:val="00772335"/>
    <w:rsid w:val="007764CE"/>
    <w:rsid w:val="00777D29"/>
    <w:rsid w:val="00780EC4"/>
    <w:rsid w:val="00781605"/>
    <w:rsid w:val="00783E45"/>
    <w:rsid w:val="007859E9"/>
    <w:rsid w:val="00785D90"/>
    <w:rsid w:val="00786D27"/>
    <w:rsid w:val="00787A84"/>
    <w:rsid w:val="007927A3"/>
    <w:rsid w:val="00792EDA"/>
    <w:rsid w:val="007933A3"/>
    <w:rsid w:val="00795A02"/>
    <w:rsid w:val="007964D2"/>
    <w:rsid w:val="007A0BCC"/>
    <w:rsid w:val="007A1050"/>
    <w:rsid w:val="007A2A05"/>
    <w:rsid w:val="007A7C22"/>
    <w:rsid w:val="007B07AE"/>
    <w:rsid w:val="007B0D81"/>
    <w:rsid w:val="007B50D0"/>
    <w:rsid w:val="007B5309"/>
    <w:rsid w:val="007B65E5"/>
    <w:rsid w:val="007B725B"/>
    <w:rsid w:val="007C01B3"/>
    <w:rsid w:val="007C2E82"/>
    <w:rsid w:val="007C4524"/>
    <w:rsid w:val="007C53D4"/>
    <w:rsid w:val="007D0640"/>
    <w:rsid w:val="007D4801"/>
    <w:rsid w:val="007D4926"/>
    <w:rsid w:val="007D4EB4"/>
    <w:rsid w:val="007E091E"/>
    <w:rsid w:val="007E0EAE"/>
    <w:rsid w:val="007E10D6"/>
    <w:rsid w:val="007E3DFA"/>
    <w:rsid w:val="007E42BB"/>
    <w:rsid w:val="007E444B"/>
    <w:rsid w:val="007E516B"/>
    <w:rsid w:val="007E6656"/>
    <w:rsid w:val="007F1CDD"/>
    <w:rsid w:val="007F1F19"/>
    <w:rsid w:val="007F4FDE"/>
    <w:rsid w:val="007F5C44"/>
    <w:rsid w:val="007F63A1"/>
    <w:rsid w:val="00800216"/>
    <w:rsid w:val="0080062A"/>
    <w:rsid w:val="00802151"/>
    <w:rsid w:val="008033F2"/>
    <w:rsid w:val="00803D94"/>
    <w:rsid w:val="008062D5"/>
    <w:rsid w:val="0080772E"/>
    <w:rsid w:val="00807E51"/>
    <w:rsid w:val="00807F91"/>
    <w:rsid w:val="0081041D"/>
    <w:rsid w:val="008127E9"/>
    <w:rsid w:val="008128F5"/>
    <w:rsid w:val="00820EFD"/>
    <w:rsid w:val="00821CFF"/>
    <w:rsid w:val="00823F12"/>
    <w:rsid w:val="0082480E"/>
    <w:rsid w:val="00825125"/>
    <w:rsid w:val="00825629"/>
    <w:rsid w:val="008263D3"/>
    <w:rsid w:val="00827DCC"/>
    <w:rsid w:val="00827F77"/>
    <w:rsid w:val="008309AF"/>
    <w:rsid w:val="00830F01"/>
    <w:rsid w:val="00832808"/>
    <w:rsid w:val="00832EBA"/>
    <w:rsid w:val="00835581"/>
    <w:rsid w:val="00836994"/>
    <w:rsid w:val="00841E88"/>
    <w:rsid w:val="00842B34"/>
    <w:rsid w:val="008439AE"/>
    <w:rsid w:val="00850E75"/>
    <w:rsid w:val="008516B3"/>
    <w:rsid w:val="00852183"/>
    <w:rsid w:val="00856464"/>
    <w:rsid w:val="008566E9"/>
    <w:rsid w:val="00856AB1"/>
    <w:rsid w:val="00856B96"/>
    <w:rsid w:val="00857C10"/>
    <w:rsid w:val="00857E19"/>
    <w:rsid w:val="00860C3B"/>
    <w:rsid w:val="00861188"/>
    <w:rsid w:val="00862211"/>
    <w:rsid w:val="00863D70"/>
    <w:rsid w:val="00865E0C"/>
    <w:rsid w:val="008661B6"/>
    <w:rsid w:val="00872AE5"/>
    <w:rsid w:val="00873204"/>
    <w:rsid w:val="008732B5"/>
    <w:rsid w:val="008736E4"/>
    <w:rsid w:val="00873C22"/>
    <w:rsid w:val="008748E8"/>
    <w:rsid w:val="0087530E"/>
    <w:rsid w:val="00875924"/>
    <w:rsid w:val="00875D79"/>
    <w:rsid w:val="00877EC7"/>
    <w:rsid w:val="00882882"/>
    <w:rsid w:val="00882AB8"/>
    <w:rsid w:val="00883C65"/>
    <w:rsid w:val="00883FF3"/>
    <w:rsid w:val="00884968"/>
    <w:rsid w:val="008867BE"/>
    <w:rsid w:val="0089188E"/>
    <w:rsid w:val="00892021"/>
    <w:rsid w:val="00895935"/>
    <w:rsid w:val="00895A0C"/>
    <w:rsid w:val="00895F13"/>
    <w:rsid w:val="00896142"/>
    <w:rsid w:val="00896E94"/>
    <w:rsid w:val="008A1B46"/>
    <w:rsid w:val="008A5CAA"/>
    <w:rsid w:val="008A7684"/>
    <w:rsid w:val="008B0252"/>
    <w:rsid w:val="008B0564"/>
    <w:rsid w:val="008B0705"/>
    <w:rsid w:val="008B0C0F"/>
    <w:rsid w:val="008B1254"/>
    <w:rsid w:val="008B66E5"/>
    <w:rsid w:val="008B7015"/>
    <w:rsid w:val="008B72EE"/>
    <w:rsid w:val="008B781C"/>
    <w:rsid w:val="008C2237"/>
    <w:rsid w:val="008C364B"/>
    <w:rsid w:val="008C5247"/>
    <w:rsid w:val="008C5765"/>
    <w:rsid w:val="008C60A4"/>
    <w:rsid w:val="008C6B3A"/>
    <w:rsid w:val="008C71B0"/>
    <w:rsid w:val="008C73E3"/>
    <w:rsid w:val="008D402B"/>
    <w:rsid w:val="008D4A73"/>
    <w:rsid w:val="008D5117"/>
    <w:rsid w:val="008D6CA9"/>
    <w:rsid w:val="008E0B96"/>
    <w:rsid w:val="008E3CC0"/>
    <w:rsid w:val="008E6DD7"/>
    <w:rsid w:val="008E791A"/>
    <w:rsid w:val="008F1F94"/>
    <w:rsid w:val="008F567E"/>
    <w:rsid w:val="008F5A0F"/>
    <w:rsid w:val="008F5B09"/>
    <w:rsid w:val="008F7096"/>
    <w:rsid w:val="0090060B"/>
    <w:rsid w:val="00902C75"/>
    <w:rsid w:val="00902C9B"/>
    <w:rsid w:val="00903A1C"/>
    <w:rsid w:val="00903AB3"/>
    <w:rsid w:val="009060D9"/>
    <w:rsid w:val="00906315"/>
    <w:rsid w:val="009079E4"/>
    <w:rsid w:val="009121A5"/>
    <w:rsid w:val="009135E0"/>
    <w:rsid w:val="00914CF6"/>
    <w:rsid w:val="00915BCD"/>
    <w:rsid w:val="00915CA4"/>
    <w:rsid w:val="009211B9"/>
    <w:rsid w:val="009211C6"/>
    <w:rsid w:val="0092180B"/>
    <w:rsid w:val="009238B6"/>
    <w:rsid w:val="0092449E"/>
    <w:rsid w:val="00924825"/>
    <w:rsid w:val="00924EBC"/>
    <w:rsid w:val="00931DCD"/>
    <w:rsid w:val="00931F11"/>
    <w:rsid w:val="009338BD"/>
    <w:rsid w:val="00940BFC"/>
    <w:rsid w:val="00940D78"/>
    <w:rsid w:val="00940DBF"/>
    <w:rsid w:val="0094114B"/>
    <w:rsid w:val="00941B2B"/>
    <w:rsid w:val="009438F9"/>
    <w:rsid w:val="00943F23"/>
    <w:rsid w:val="00944360"/>
    <w:rsid w:val="00945F05"/>
    <w:rsid w:val="00946D69"/>
    <w:rsid w:val="00946E48"/>
    <w:rsid w:val="00950820"/>
    <w:rsid w:val="0095302A"/>
    <w:rsid w:val="00953254"/>
    <w:rsid w:val="00953E5A"/>
    <w:rsid w:val="00953F8B"/>
    <w:rsid w:val="00954AE5"/>
    <w:rsid w:val="00954F2B"/>
    <w:rsid w:val="00955716"/>
    <w:rsid w:val="009606EA"/>
    <w:rsid w:val="00961071"/>
    <w:rsid w:val="00961E61"/>
    <w:rsid w:val="00963062"/>
    <w:rsid w:val="00964FB9"/>
    <w:rsid w:val="009653A3"/>
    <w:rsid w:val="00971472"/>
    <w:rsid w:val="009735FA"/>
    <w:rsid w:val="0097573F"/>
    <w:rsid w:val="00976E64"/>
    <w:rsid w:val="00977ECA"/>
    <w:rsid w:val="0098076A"/>
    <w:rsid w:val="00980C9F"/>
    <w:rsid w:val="00980D85"/>
    <w:rsid w:val="00982180"/>
    <w:rsid w:val="00983177"/>
    <w:rsid w:val="009831DE"/>
    <w:rsid w:val="009923DE"/>
    <w:rsid w:val="009928B2"/>
    <w:rsid w:val="009932BF"/>
    <w:rsid w:val="009938F9"/>
    <w:rsid w:val="00995782"/>
    <w:rsid w:val="009958B3"/>
    <w:rsid w:val="0099646A"/>
    <w:rsid w:val="009A0903"/>
    <w:rsid w:val="009A3D7B"/>
    <w:rsid w:val="009A4F94"/>
    <w:rsid w:val="009A521E"/>
    <w:rsid w:val="009A6F02"/>
    <w:rsid w:val="009A7882"/>
    <w:rsid w:val="009B2744"/>
    <w:rsid w:val="009B340F"/>
    <w:rsid w:val="009B534E"/>
    <w:rsid w:val="009B5875"/>
    <w:rsid w:val="009B5B3F"/>
    <w:rsid w:val="009C0089"/>
    <w:rsid w:val="009C4B27"/>
    <w:rsid w:val="009C4E28"/>
    <w:rsid w:val="009C61B2"/>
    <w:rsid w:val="009D1275"/>
    <w:rsid w:val="009D2D91"/>
    <w:rsid w:val="009D55F6"/>
    <w:rsid w:val="009D5928"/>
    <w:rsid w:val="009D6060"/>
    <w:rsid w:val="009E21BD"/>
    <w:rsid w:val="009E4D3C"/>
    <w:rsid w:val="009E62B6"/>
    <w:rsid w:val="009E6F29"/>
    <w:rsid w:val="009E7C8C"/>
    <w:rsid w:val="009F06C9"/>
    <w:rsid w:val="009F1671"/>
    <w:rsid w:val="009F1E49"/>
    <w:rsid w:val="009F243A"/>
    <w:rsid w:val="009F2CF6"/>
    <w:rsid w:val="009F547E"/>
    <w:rsid w:val="00A01F81"/>
    <w:rsid w:val="00A02B57"/>
    <w:rsid w:val="00A04A44"/>
    <w:rsid w:val="00A050C3"/>
    <w:rsid w:val="00A12221"/>
    <w:rsid w:val="00A13D2D"/>
    <w:rsid w:val="00A14AA4"/>
    <w:rsid w:val="00A16206"/>
    <w:rsid w:val="00A1643A"/>
    <w:rsid w:val="00A20F73"/>
    <w:rsid w:val="00A23FD3"/>
    <w:rsid w:val="00A24669"/>
    <w:rsid w:val="00A252DF"/>
    <w:rsid w:val="00A26BCD"/>
    <w:rsid w:val="00A30A92"/>
    <w:rsid w:val="00A331DB"/>
    <w:rsid w:val="00A34E40"/>
    <w:rsid w:val="00A40F41"/>
    <w:rsid w:val="00A41969"/>
    <w:rsid w:val="00A42DFF"/>
    <w:rsid w:val="00A42F8F"/>
    <w:rsid w:val="00A458BE"/>
    <w:rsid w:val="00A479EB"/>
    <w:rsid w:val="00A60413"/>
    <w:rsid w:val="00A63E47"/>
    <w:rsid w:val="00A642FF"/>
    <w:rsid w:val="00A65742"/>
    <w:rsid w:val="00A66F12"/>
    <w:rsid w:val="00A75624"/>
    <w:rsid w:val="00A77CCD"/>
    <w:rsid w:val="00A81820"/>
    <w:rsid w:val="00A83658"/>
    <w:rsid w:val="00A8534A"/>
    <w:rsid w:val="00A85489"/>
    <w:rsid w:val="00A87B1F"/>
    <w:rsid w:val="00A90CD0"/>
    <w:rsid w:val="00A90E58"/>
    <w:rsid w:val="00A92138"/>
    <w:rsid w:val="00A94848"/>
    <w:rsid w:val="00AA2553"/>
    <w:rsid w:val="00AA2B0C"/>
    <w:rsid w:val="00AA3060"/>
    <w:rsid w:val="00AA336E"/>
    <w:rsid w:val="00AA41AF"/>
    <w:rsid w:val="00AA428E"/>
    <w:rsid w:val="00AA5D51"/>
    <w:rsid w:val="00AA653D"/>
    <w:rsid w:val="00AB1A30"/>
    <w:rsid w:val="00AB6116"/>
    <w:rsid w:val="00AC0067"/>
    <w:rsid w:val="00AC246C"/>
    <w:rsid w:val="00AC249E"/>
    <w:rsid w:val="00AC52BA"/>
    <w:rsid w:val="00AC6A4B"/>
    <w:rsid w:val="00AD0A10"/>
    <w:rsid w:val="00AD0DAB"/>
    <w:rsid w:val="00AD0EEF"/>
    <w:rsid w:val="00AD1AA6"/>
    <w:rsid w:val="00AD218E"/>
    <w:rsid w:val="00AD46C1"/>
    <w:rsid w:val="00AD763B"/>
    <w:rsid w:val="00AD7D9A"/>
    <w:rsid w:val="00AE2268"/>
    <w:rsid w:val="00AE4F92"/>
    <w:rsid w:val="00AE564C"/>
    <w:rsid w:val="00AE6F3E"/>
    <w:rsid w:val="00AE72DC"/>
    <w:rsid w:val="00AF0116"/>
    <w:rsid w:val="00AF1F2A"/>
    <w:rsid w:val="00AF30EF"/>
    <w:rsid w:val="00AF5490"/>
    <w:rsid w:val="00AF6235"/>
    <w:rsid w:val="00AF6421"/>
    <w:rsid w:val="00AF69B8"/>
    <w:rsid w:val="00B00A91"/>
    <w:rsid w:val="00B00B61"/>
    <w:rsid w:val="00B024F5"/>
    <w:rsid w:val="00B02B14"/>
    <w:rsid w:val="00B03E56"/>
    <w:rsid w:val="00B12295"/>
    <w:rsid w:val="00B12DE9"/>
    <w:rsid w:val="00B13F10"/>
    <w:rsid w:val="00B14078"/>
    <w:rsid w:val="00B1529B"/>
    <w:rsid w:val="00B15969"/>
    <w:rsid w:val="00B15A97"/>
    <w:rsid w:val="00B24B67"/>
    <w:rsid w:val="00B267AF"/>
    <w:rsid w:val="00B277B5"/>
    <w:rsid w:val="00B27CA1"/>
    <w:rsid w:val="00B31096"/>
    <w:rsid w:val="00B32042"/>
    <w:rsid w:val="00B32790"/>
    <w:rsid w:val="00B37346"/>
    <w:rsid w:val="00B404A9"/>
    <w:rsid w:val="00B417AE"/>
    <w:rsid w:val="00B426BA"/>
    <w:rsid w:val="00B44CE4"/>
    <w:rsid w:val="00B4633B"/>
    <w:rsid w:val="00B464A9"/>
    <w:rsid w:val="00B577C6"/>
    <w:rsid w:val="00B61F32"/>
    <w:rsid w:val="00B65A00"/>
    <w:rsid w:val="00B66B19"/>
    <w:rsid w:val="00B704D7"/>
    <w:rsid w:val="00B70CFC"/>
    <w:rsid w:val="00B718C7"/>
    <w:rsid w:val="00B71DD4"/>
    <w:rsid w:val="00B71EBF"/>
    <w:rsid w:val="00B74149"/>
    <w:rsid w:val="00B754CB"/>
    <w:rsid w:val="00B75B32"/>
    <w:rsid w:val="00B76531"/>
    <w:rsid w:val="00B777AF"/>
    <w:rsid w:val="00B80425"/>
    <w:rsid w:val="00B8063A"/>
    <w:rsid w:val="00B806FC"/>
    <w:rsid w:val="00B81458"/>
    <w:rsid w:val="00B81789"/>
    <w:rsid w:val="00B81D19"/>
    <w:rsid w:val="00B8382F"/>
    <w:rsid w:val="00B84E89"/>
    <w:rsid w:val="00B850B3"/>
    <w:rsid w:val="00B915AC"/>
    <w:rsid w:val="00B92DF1"/>
    <w:rsid w:val="00B92E9A"/>
    <w:rsid w:val="00BA0220"/>
    <w:rsid w:val="00BA131D"/>
    <w:rsid w:val="00BA1C8B"/>
    <w:rsid w:val="00BA27DB"/>
    <w:rsid w:val="00BA4298"/>
    <w:rsid w:val="00BA4900"/>
    <w:rsid w:val="00BA735A"/>
    <w:rsid w:val="00BA74D9"/>
    <w:rsid w:val="00BA7BE0"/>
    <w:rsid w:val="00BB3069"/>
    <w:rsid w:val="00BB34F1"/>
    <w:rsid w:val="00BB3584"/>
    <w:rsid w:val="00BB6FB6"/>
    <w:rsid w:val="00BC1096"/>
    <w:rsid w:val="00BC6FB2"/>
    <w:rsid w:val="00BC7CF7"/>
    <w:rsid w:val="00BD0190"/>
    <w:rsid w:val="00BD5E77"/>
    <w:rsid w:val="00BD62A1"/>
    <w:rsid w:val="00BD7C4B"/>
    <w:rsid w:val="00BE01E3"/>
    <w:rsid w:val="00BE0840"/>
    <w:rsid w:val="00BE2115"/>
    <w:rsid w:val="00BE598E"/>
    <w:rsid w:val="00BE5D65"/>
    <w:rsid w:val="00BE7A1B"/>
    <w:rsid w:val="00BF081D"/>
    <w:rsid w:val="00BF127D"/>
    <w:rsid w:val="00BF19D5"/>
    <w:rsid w:val="00BF24DC"/>
    <w:rsid w:val="00BF266E"/>
    <w:rsid w:val="00BF2E9F"/>
    <w:rsid w:val="00BF300B"/>
    <w:rsid w:val="00BF4150"/>
    <w:rsid w:val="00BF7749"/>
    <w:rsid w:val="00C014CF"/>
    <w:rsid w:val="00C01AA6"/>
    <w:rsid w:val="00C040DA"/>
    <w:rsid w:val="00C04448"/>
    <w:rsid w:val="00C0453A"/>
    <w:rsid w:val="00C06257"/>
    <w:rsid w:val="00C06F29"/>
    <w:rsid w:val="00C079B0"/>
    <w:rsid w:val="00C07E68"/>
    <w:rsid w:val="00C12B2B"/>
    <w:rsid w:val="00C13329"/>
    <w:rsid w:val="00C135CB"/>
    <w:rsid w:val="00C1378A"/>
    <w:rsid w:val="00C14166"/>
    <w:rsid w:val="00C14250"/>
    <w:rsid w:val="00C14A04"/>
    <w:rsid w:val="00C158F2"/>
    <w:rsid w:val="00C15B71"/>
    <w:rsid w:val="00C15FA2"/>
    <w:rsid w:val="00C16982"/>
    <w:rsid w:val="00C2297C"/>
    <w:rsid w:val="00C27569"/>
    <w:rsid w:val="00C27691"/>
    <w:rsid w:val="00C31F6F"/>
    <w:rsid w:val="00C34594"/>
    <w:rsid w:val="00C34E9A"/>
    <w:rsid w:val="00C35840"/>
    <w:rsid w:val="00C35C2B"/>
    <w:rsid w:val="00C36253"/>
    <w:rsid w:val="00C43A05"/>
    <w:rsid w:val="00C44115"/>
    <w:rsid w:val="00C45B0C"/>
    <w:rsid w:val="00C47213"/>
    <w:rsid w:val="00C52173"/>
    <w:rsid w:val="00C53057"/>
    <w:rsid w:val="00C5321C"/>
    <w:rsid w:val="00C57309"/>
    <w:rsid w:val="00C57A05"/>
    <w:rsid w:val="00C60ECE"/>
    <w:rsid w:val="00C6259D"/>
    <w:rsid w:val="00C62784"/>
    <w:rsid w:val="00C643AC"/>
    <w:rsid w:val="00C64BB4"/>
    <w:rsid w:val="00C7040F"/>
    <w:rsid w:val="00C711D0"/>
    <w:rsid w:val="00C72140"/>
    <w:rsid w:val="00C72C59"/>
    <w:rsid w:val="00C72CC4"/>
    <w:rsid w:val="00C73CF5"/>
    <w:rsid w:val="00C749E4"/>
    <w:rsid w:val="00C75BD4"/>
    <w:rsid w:val="00C8153F"/>
    <w:rsid w:val="00C81899"/>
    <w:rsid w:val="00C83A9C"/>
    <w:rsid w:val="00C84A69"/>
    <w:rsid w:val="00C854A9"/>
    <w:rsid w:val="00C85669"/>
    <w:rsid w:val="00C85B3B"/>
    <w:rsid w:val="00C85C5E"/>
    <w:rsid w:val="00C8610D"/>
    <w:rsid w:val="00C8761D"/>
    <w:rsid w:val="00C91A4A"/>
    <w:rsid w:val="00C93E3A"/>
    <w:rsid w:val="00C94CAC"/>
    <w:rsid w:val="00C95279"/>
    <w:rsid w:val="00C95504"/>
    <w:rsid w:val="00C9608C"/>
    <w:rsid w:val="00C96847"/>
    <w:rsid w:val="00C97142"/>
    <w:rsid w:val="00CA16D4"/>
    <w:rsid w:val="00CA53B9"/>
    <w:rsid w:val="00CA5C08"/>
    <w:rsid w:val="00CA7DEB"/>
    <w:rsid w:val="00CB2F55"/>
    <w:rsid w:val="00CB3335"/>
    <w:rsid w:val="00CB4E44"/>
    <w:rsid w:val="00CB6068"/>
    <w:rsid w:val="00CB63DD"/>
    <w:rsid w:val="00CC0E26"/>
    <w:rsid w:val="00CC1077"/>
    <w:rsid w:val="00CC363C"/>
    <w:rsid w:val="00CC5B0D"/>
    <w:rsid w:val="00CC6F0C"/>
    <w:rsid w:val="00CD1309"/>
    <w:rsid w:val="00CD47DA"/>
    <w:rsid w:val="00CD759E"/>
    <w:rsid w:val="00CD7957"/>
    <w:rsid w:val="00CD79B7"/>
    <w:rsid w:val="00CE4DA5"/>
    <w:rsid w:val="00CE7271"/>
    <w:rsid w:val="00CF0B95"/>
    <w:rsid w:val="00CF0C15"/>
    <w:rsid w:val="00CF0E41"/>
    <w:rsid w:val="00CF2624"/>
    <w:rsid w:val="00CF7254"/>
    <w:rsid w:val="00CF73AF"/>
    <w:rsid w:val="00D02A34"/>
    <w:rsid w:val="00D02E44"/>
    <w:rsid w:val="00D07A44"/>
    <w:rsid w:val="00D11180"/>
    <w:rsid w:val="00D13664"/>
    <w:rsid w:val="00D14944"/>
    <w:rsid w:val="00D20AB5"/>
    <w:rsid w:val="00D21BE5"/>
    <w:rsid w:val="00D30650"/>
    <w:rsid w:val="00D31312"/>
    <w:rsid w:val="00D3269F"/>
    <w:rsid w:val="00D329C1"/>
    <w:rsid w:val="00D33ACE"/>
    <w:rsid w:val="00D33E65"/>
    <w:rsid w:val="00D36448"/>
    <w:rsid w:val="00D4328D"/>
    <w:rsid w:val="00D443EA"/>
    <w:rsid w:val="00D46EB4"/>
    <w:rsid w:val="00D47A83"/>
    <w:rsid w:val="00D47DA2"/>
    <w:rsid w:val="00D5176E"/>
    <w:rsid w:val="00D542E0"/>
    <w:rsid w:val="00D56077"/>
    <w:rsid w:val="00D574CA"/>
    <w:rsid w:val="00D57E67"/>
    <w:rsid w:val="00D654C8"/>
    <w:rsid w:val="00D65CD0"/>
    <w:rsid w:val="00D65DC1"/>
    <w:rsid w:val="00D71BC4"/>
    <w:rsid w:val="00D75D66"/>
    <w:rsid w:val="00D7629B"/>
    <w:rsid w:val="00D76319"/>
    <w:rsid w:val="00D764D9"/>
    <w:rsid w:val="00D802B1"/>
    <w:rsid w:val="00D804F1"/>
    <w:rsid w:val="00D85D93"/>
    <w:rsid w:val="00D87DE9"/>
    <w:rsid w:val="00D902A9"/>
    <w:rsid w:val="00D948EE"/>
    <w:rsid w:val="00D9565F"/>
    <w:rsid w:val="00D975E4"/>
    <w:rsid w:val="00DA4F41"/>
    <w:rsid w:val="00DA573F"/>
    <w:rsid w:val="00DA5E31"/>
    <w:rsid w:val="00DB0C89"/>
    <w:rsid w:val="00DB176C"/>
    <w:rsid w:val="00DB1DE9"/>
    <w:rsid w:val="00DB367F"/>
    <w:rsid w:val="00DB4064"/>
    <w:rsid w:val="00DB6471"/>
    <w:rsid w:val="00DB648A"/>
    <w:rsid w:val="00DB7073"/>
    <w:rsid w:val="00DB7507"/>
    <w:rsid w:val="00DC45A4"/>
    <w:rsid w:val="00DC4E9A"/>
    <w:rsid w:val="00DC77FC"/>
    <w:rsid w:val="00DC7946"/>
    <w:rsid w:val="00DC7FAE"/>
    <w:rsid w:val="00DD025A"/>
    <w:rsid w:val="00DD0E95"/>
    <w:rsid w:val="00DD23E5"/>
    <w:rsid w:val="00DD2D81"/>
    <w:rsid w:val="00DD35EC"/>
    <w:rsid w:val="00DD4F3E"/>
    <w:rsid w:val="00DD5252"/>
    <w:rsid w:val="00DD64AA"/>
    <w:rsid w:val="00DD65D9"/>
    <w:rsid w:val="00DD6ADB"/>
    <w:rsid w:val="00DD7531"/>
    <w:rsid w:val="00DD7A9E"/>
    <w:rsid w:val="00DD7D7A"/>
    <w:rsid w:val="00DD7DCC"/>
    <w:rsid w:val="00DE18E2"/>
    <w:rsid w:val="00DE2DC1"/>
    <w:rsid w:val="00DE5835"/>
    <w:rsid w:val="00DE6F32"/>
    <w:rsid w:val="00DE7541"/>
    <w:rsid w:val="00DF2567"/>
    <w:rsid w:val="00E00EB3"/>
    <w:rsid w:val="00E014DB"/>
    <w:rsid w:val="00E0155E"/>
    <w:rsid w:val="00E03BB1"/>
    <w:rsid w:val="00E06050"/>
    <w:rsid w:val="00E10A1A"/>
    <w:rsid w:val="00E118C9"/>
    <w:rsid w:val="00E12B51"/>
    <w:rsid w:val="00E15258"/>
    <w:rsid w:val="00E15973"/>
    <w:rsid w:val="00E160CC"/>
    <w:rsid w:val="00E165E6"/>
    <w:rsid w:val="00E17192"/>
    <w:rsid w:val="00E2054B"/>
    <w:rsid w:val="00E22245"/>
    <w:rsid w:val="00E22A7D"/>
    <w:rsid w:val="00E245B3"/>
    <w:rsid w:val="00E25DA8"/>
    <w:rsid w:val="00E26E87"/>
    <w:rsid w:val="00E3030C"/>
    <w:rsid w:val="00E33FD9"/>
    <w:rsid w:val="00E3409E"/>
    <w:rsid w:val="00E35218"/>
    <w:rsid w:val="00E37830"/>
    <w:rsid w:val="00E4028D"/>
    <w:rsid w:val="00E4363C"/>
    <w:rsid w:val="00E461DB"/>
    <w:rsid w:val="00E507EA"/>
    <w:rsid w:val="00E51F62"/>
    <w:rsid w:val="00E52A4C"/>
    <w:rsid w:val="00E53981"/>
    <w:rsid w:val="00E54C21"/>
    <w:rsid w:val="00E57F1C"/>
    <w:rsid w:val="00E60E85"/>
    <w:rsid w:val="00E611B0"/>
    <w:rsid w:val="00E6159B"/>
    <w:rsid w:val="00E61BCE"/>
    <w:rsid w:val="00E62258"/>
    <w:rsid w:val="00E62B5B"/>
    <w:rsid w:val="00E63F3A"/>
    <w:rsid w:val="00E677F5"/>
    <w:rsid w:val="00E70C5D"/>
    <w:rsid w:val="00E71475"/>
    <w:rsid w:val="00E73F00"/>
    <w:rsid w:val="00E754AB"/>
    <w:rsid w:val="00E7708B"/>
    <w:rsid w:val="00E77AD4"/>
    <w:rsid w:val="00E82756"/>
    <w:rsid w:val="00E82894"/>
    <w:rsid w:val="00E839EF"/>
    <w:rsid w:val="00E83DFD"/>
    <w:rsid w:val="00E92BDF"/>
    <w:rsid w:val="00E93C54"/>
    <w:rsid w:val="00E9416F"/>
    <w:rsid w:val="00E94C8B"/>
    <w:rsid w:val="00E97C17"/>
    <w:rsid w:val="00EA0C91"/>
    <w:rsid w:val="00EA1BAA"/>
    <w:rsid w:val="00EA34BD"/>
    <w:rsid w:val="00EA35FE"/>
    <w:rsid w:val="00EA3809"/>
    <w:rsid w:val="00EA3ADF"/>
    <w:rsid w:val="00EA4276"/>
    <w:rsid w:val="00EA47E3"/>
    <w:rsid w:val="00EA69D2"/>
    <w:rsid w:val="00EA6E70"/>
    <w:rsid w:val="00EA7529"/>
    <w:rsid w:val="00EB261A"/>
    <w:rsid w:val="00EB2712"/>
    <w:rsid w:val="00EB3AE5"/>
    <w:rsid w:val="00EB413A"/>
    <w:rsid w:val="00EB4DC1"/>
    <w:rsid w:val="00EB4FEA"/>
    <w:rsid w:val="00EB6B23"/>
    <w:rsid w:val="00EB6B8E"/>
    <w:rsid w:val="00EC017B"/>
    <w:rsid w:val="00EC05E3"/>
    <w:rsid w:val="00EC2586"/>
    <w:rsid w:val="00EC59A1"/>
    <w:rsid w:val="00EC711E"/>
    <w:rsid w:val="00ED0894"/>
    <w:rsid w:val="00ED0A0D"/>
    <w:rsid w:val="00ED1650"/>
    <w:rsid w:val="00ED42D2"/>
    <w:rsid w:val="00ED438A"/>
    <w:rsid w:val="00ED674D"/>
    <w:rsid w:val="00ED6B30"/>
    <w:rsid w:val="00EE0C61"/>
    <w:rsid w:val="00EE7CF5"/>
    <w:rsid w:val="00EE7EFA"/>
    <w:rsid w:val="00EF1CC0"/>
    <w:rsid w:val="00EF3143"/>
    <w:rsid w:val="00EF3171"/>
    <w:rsid w:val="00EF41E8"/>
    <w:rsid w:val="00EF497D"/>
    <w:rsid w:val="00EF5781"/>
    <w:rsid w:val="00EF5C16"/>
    <w:rsid w:val="00EF5E4C"/>
    <w:rsid w:val="00EF6354"/>
    <w:rsid w:val="00EF68F0"/>
    <w:rsid w:val="00EF6C63"/>
    <w:rsid w:val="00F01D6A"/>
    <w:rsid w:val="00F02407"/>
    <w:rsid w:val="00F03D6A"/>
    <w:rsid w:val="00F03DC0"/>
    <w:rsid w:val="00F04EB1"/>
    <w:rsid w:val="00F05315"/>
    <w:rsid w:val="00F06327"/>
    <w:rsid w:val="00F073FA"/>
    <w:rsid w:val="00F12E66"/>
    <w:rsid w:val="00F13436"/>
    <w:rsid w:val="00F138CC"/>
    <w:rsid w:val="00F15783"/>
    <w:rsid w:val="00F16884"/>
    <w:rsid w:val="00F16D22"/>
    <w:rsid w:val="00F200EE"/>
    <w:rsid w:val="00F20EF8"/>
    <w:rsid w:val="00F22DA3"/>
    <w:rsid w:val="00F2413F"/>
    <w:rsid w:val="00F246C4"/>
    <w:rsid w:val="00F2705D"/>
    <w:rsid w:val="00F30820"/>
    <w:rsid w:val="00F33979"/>
    <w:rsid w:val="00F340BD"/>
    <w:rsid w:val="00F35E05"/>
    <w:rsid w:val="00F35F3B"/>
    <w:rsid w:val="00F40290"/>
    <w:rsid w:val="00F42097"/>
    <w:rsid w:val="00F422E1"/>
    <w:rsid w:val="00F42E01"/>
    <w:rsid w:val="00F42EF7"/>
    <w:rsid w:val="00F46897"/>
    <w:rsid w:val="00F46C70"/>
    <w:rsid w:val="00F50708"/>
    <w:rsid w:val="00F52AD6"/>
    <w:rsid w:val="00F579C8"/>
    <w:rsid w:val="00F579F5"/>
    <w:rsid w:val="00F57A5A"/>
    <w:rsid w:val="00F60FC5"/>
    <w:rsid w:val="00F6149C"/>
    <w:rsid w:val="00F6584B"/>
    <w:rsid w:val="00F67BBD"/>
    <w:rsid w:val="00F70DF7"/>
    <w:rsid w:val="00F70FE1"/>
    <w:rsid w:val="00F71F8E"/>
    <w:rsid w:val="00F72366"/>
    <w:rsid w:val="00F72928"/>
    <w:rsid w:val="00F72E23"/>
    <w:rsid w:val="00F74762"/>
    <w:rsid w:val="00F74D06"/>
    <w:rsid w:val="00F7504B"/>
    <w:rsid w:val="00F80F5C"/>
    <w:rsid w:val="00F81F28"/>
    <w:rsid w:val="00F83D58"/>
    <w:rsid w:val="00F867DD"/>
    <w:rsid w:val="00F95133"/>
    <w:rsid w:val="00F95CF0"/>
    <w:rsid w:val="00F95D40"/>
    <w:rsid w:val="00F966D5"/>
    <w:rsid w:val="00F96F2D"/>
    <w:rsid w:val="00FA0506"/>
    <w:rsid w:val="00FA0CCE"/>
    <w:rsid w:val="00FA23A0"/>
    <w:rsid w:val="00FA2655"/>
    <w:rsid w:val="00FA3EB3"/>
    <w:rsid w:val="00FA50C3"/>
    <w:rsid w:val="00FB0592"/>
    <w:rsid w:val="00FB0B34"/>
    <w:rsid w:val="00FB139B"/>
    <w:rsid w:val="00FB13AB"/>
    <w:rsid w:val="00FB1DF8"/>
    <w:rsid w:val="00FB3994"/>
    <w:rsid w:val="00FB434A"/>
    <w:rsid w:val="00FB4F86"/>
    <w:rsid w:val="00FB69B8"/>
    <w:rsid w:val="00FB7143"/>
    <w:rsid w:val="00FC02BE"/>
    <w:rsid w:val="00FC0589"/>
    <w:rsid w:val="00FC1467"/>
    <w:rsid w:val="00FC1EF8"/>
    <w:rsid w:val="00FC3D45"/>
    <w:rsid w:val="00FC67BF"/>
    <w:rsid w:val="00FC744D"/>
    <w:rsid w:val="00FD054C"/>
    <w:rsid w:val="00FD4A4D"/>
    <w:rsid w:val="00FE026A"/>
    <w:rsid w:val="00FE06C5"/>
    <w:rsid w:val="00FE10A4"/>
    <w:rsid w:val="00FE290A"/>
    <w:rsid w:val="00FE5488"/>
    <w:rsid w:val="00FE68A8"/>
    <w:rsid w:val="00FF0435"/>
    <w:rsid w:val="00FF15AF"/>
    <w:rsid w:val="00FF43A2"/>
    <w:rsid w:val="00FF5D6B"/>
    <w:rsid w:val="00FF5E97"/>
    <w:rsid w:val="00FF7A94"/>
    <w:rsid w:val="00FF7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FDDEA"/>
  <w15:docId w15:val="{5BC2FC9E-B5D5-457D-9125-128610BF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D99"/>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F3D44"/>
    <w:rPr>
      <w:sz w:val="16"/>
      <w:szCs w:val="16"/>
    </w:rPr>
  </w:style>
  <w:style w:type="paragraph" w:styleId="CommentText">
    <w:name w:val="annotation text"/>
    <w:basedOn w:val="Normal"/>
    <w:link w:val="CommentTextChar"/>
    <w:rsid w:val="003F3D44"/>
    <w:rPr>
      <w:sz w:val="20"/>
      <w:szCs w:val="20"/>
    </w:rPr>
  </w:style>
  <w:style w:type="character" w:customStyle="1" w:styleId="CommentTextChar">
    <w:name w:val="Comment Text Char"/>
    <w:basedOn w:val="DefaultParagraphFont"/>
    <w:link w:val="CommentText"/>
    <w:rsid w:val="003F3D44"/>
  </w:style>
  <w:style w:type="paragraph" w:styleId="CommentSubject">
    <w:name w:val="annotation subject"/>
    <w:basedOn w:val="CommentText"/>
    <w:next w:val="CommentText"/>
    <w:link w:val="CommentSubjectChar"/>
    <w:rsid w:val="003F3D44"/>
    <w:rPr>
      <w:b/>
      <w:bCs/>
    </w:rPr>
  </w:style>
  <w:style w:type="character" w:customStyle="1" w:styleId="CommentSubjectChar">
    <w:name w:val="Comment Subject Char"/>
    <w:basedOn w:val="CommentTextChar"/>
    <w:link w:val="CommentSubject"/>
    <w:rsid w:val="003F3D44"/>
    <w:rPr>
      <w:b/>
      <w:bCs/>
    </w:rPr>
  </w:style>
  <w:style w:type="paragraph" w:styleId="ListParagraph">
    <w:name w:val="List Paragraph"/>
    <w:basedOn w:val="Normal"/>
    <w:uiPriority w:val="34"/>
    <w:qFormat/>
    <w:rsid w:val="007163E2"/>
    <w:pPr>
      <w:ind w:left="720"/>
      <w:contextualSpacing/>
    </w:pPr>
  </w:style>
  <w:style w:type="character" w:styleId="UnresolvedMention">
    <w:name w:val="Unresolved Mention"/>
    <w:basedOn w:val="DefaultParagraphFont"/>
    <w:uiPriority w:val="99"/>
    <w:semiHidden/>
    <w:unhideWhenUsed/>
    <w:rsid w:val="00D975E4"/>
    <w:rPr>
      <w:color w:val="605E5C"/>
      <w:shd w:val="clear" w:color="auto" w:fill="E1DFDD"/>
    </w:rPr>
  </w:style>
  <w:style w:type="paragraph" w:styleId="Revision">
    <w:name w:val="Revision"/>
    <w:hidden/>
    <w:uiPriority w:val="99"/>
    <w:semiHidden/>
    <w:rsid w:val="001623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43112">
      <w:bodyDiv w:val="1"/>
      <w:marLeft w:val="0"/>
      <w:marRight w:val="0"/>
      <w:marTop w:val="0"/>
      <w:marBottom w:val="0"/>
      <w:divBdr>
        <w:top w:val="none" w:sz="0" w:space="0" w:color="auto"/>
        <w:left w:val="none" w:sz="0" w:space="0" w:color="auto"/>
        <w:bottom w:val="none" w:sz="0" w:space="0" w:color="auto"/>
        <w:right w:val="none" w:sz="0" w:space="0" w:color="auto"/>
      </w:divBdr>
    </w:div>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387723561">
      <w:bodyDiv w:val="1"/>
      <w:marLeft w:val="0"/>
      <w:marRight w:val="0"/>
      <w:marTop w:val="0"/>
      <w:marBottom w:val="0"/>
      <w:divBdr>
        <w:top w:val="none" w:sz="0" w:space="0" w:color="auto"/>
        <w:left w:val="none" w:sz="0" w:space="0" w:color="auto"/>
        <w:bottom w:val="none" w:sz="0" w:space="0" w:color="auto"/>
        <w:right w:val="none" w:sz="0" w:space="0" w:color="auto"/>
      </w:divBdr>
    </w:div>
    <w:div w:id="442456673">
      <w:bodyDiv w:val="1"/>
      <w:marLeft w:val="0"/>
      <w:marRight w:val="0"/>
      <w:marTop w:val="0"/>
      <w:marBottom w:val="0"/>
      <w:divBdr>
        <w:top w:val="none" w:sz="0" w:space="0" w:color="auto"/>
        <w:left w:val="none" w:sz="0" w:space="0" w:color="auto"/>
        <w:bottom w:val="none" w:sz="0" w:space="0" w:color="auto"/>
        <w:right w:val="none" w:sz="0" w:space="0" w:color="auto"/>
      </w:divBdr>
    </w:div>
    <w:div w:id="544492573">
      <w:bodyDiv w:val="1"/>
      <w:marLeft w:val="0"/>
      <w:marRight w:val="0"/>
      <w:marTop w:val="0"/>
      <w:marBottom w:val="0"/>
      <w:divBdr>
        <w:top w:val="none" w:sz="0" w:space="0" w:color="auto"/>
        <w:left w:val="none" w:sz="0" w:space="0" w:color="auto"/>
        <w:bottom w:val="none" w:sz="0" w:space="0" w:color="auto"/>
        <w:right w:val="none" w:sz="0" w:space="0" w:color="auto"/>
      </w:divBdr>
    </w:div>
    <w:div w:id="977492007">
      <w:bodyDiv w:val="1"/>
      <w:marLeft w:val="0"/>
      <w:marRight w:val="0"/>
      <w:marTop w:val="0"/>
      <w:marBottom w:val="0"/>
      <w:divBdr>
        <w:top w:val="none" w:sz="0" w:space="0" w:color="auto"/>
        <w:left w:val="none" w:sz="0" w:space="0" w:color="auto"/>
        <w:bottom w:val="none" w:sz="0" w:space="0" w:color="auto"/>
        <w:right w:val="none" w:sz="0" w:space="0" w:color="auto"/>
      </w:divBdr>
      <w:divsChild>
        <w:div w:id="126556914">
          <w:marLeft w:val="0"/>
          <w:marRight w:val="0"/>
          <w:marTop w:val="240"/>
          <w:marBottom w:val="240"/>
          <w:divBdr>
            <w:top w:val="none" w:sz="0" w:space="0" w:color="auto"/>
            <w:left w:val="none" w:sz="0" w:space="0" w:color="auto"/>
            <w:bottom w:val="none" w:sz="0" w:space="0" w:color="auto"/>
            <w:right w:val="none" w:sz="0" w:space="0" w:color="auto"/>
          </w:divBdr>
          <w:divsChild>
            <w:div w:id="1274558975">
              <w:marLeft w:val="0"/>
              <w:marRight w:val="0"/>
              <w:marTop w:val="0"/>
              <w:marBottom w:val="240"/>
              <w:divBdr>
                <w:top w:val="none" w:sz="0" w:space="0" w:color="auto"/>
                <w:left w:val="none" w:sz="0" w:space="0" w:color="auto"/>
                <w:bottom w:val="none" w:sz="0" w:space="0" w:color="auto"/>
                <w:right w:val="none" w:sz="0" w:space="0" w:color="auto"/>
              </w:divBdr>
              <w:divsChild>
                <w:div w:id="1262490346">
                  <w:marLeft w:val="0"/>
                  <w:marRight w:val="0"/>
                  <w:marTop w:val="0"/>
                  <w:marBottom w:val="240"/>
                  <w:divBdr>
                    <w:top w:val="none" w:sz="0" w:space="0" w:color="auto"/>
                    <w:left w:val="none" w:sz="0" w:space="0" w:color="auto"/>
                    <w:bottom w:val="none" w:sz="0" w:space="0" w:color="auto"/>
                    <w:right w:val="none" w:sz="0" w:space="0" w:color="auto"/>
                  </w:divBdr>
                </w:div>
                <w:div w:id="816386040">
                  <w:marLeft w:val="0"/>
                  <w:marRight w:val="0"/>
                  <w:marTop w:val="0"/>
                  <w:marBottom w:val="240"/>
                  <w:divBdr>
                    <w:top w:val="none" w:sz="0" w:space="0" w:color="auto"/>
                    <w:left w:val="none" w:sz="0" w:space="0" w:color="auto"/>
                    <w:bottom w:val="none" w:sz="0" w:space="0" w:color="auto"/>
                    <w:right w:val="none" w:sz="0" w:space="0" w:color="auto"/>
                  </w:divBdr>
                </w:div>
                <w:div w:id="594632165">
                  <w:marLeft w:val="0"/>
                  <w:marRight w:val="0"/>
                  <w:marTop w:val="0"/>
                  <w:marBottom w:val="240"/>
                  <w:divBdr>
                    <w:top w:val="none" w:sz="0" w:space="0" w:color="auto"/>
                    <w:left w:val="none" w:sz="0" w:space="0" w:color="auto"/>
                    <w:bottom w:val="none" w:sz="0" w:space="0" w:color="auto"/>
                    <w:right w:val="none" w:sz="0" w:space="0" w:color="auto"/>
                  </w:divBdr>
                </w:div>
              </w:divsChild>
            </w:div>
            <w:div w:id="1793556183">
              <w:marLeft w:val="0"/>
              <w:marRight w:val="0"/>
              <w:marTop w:val="0"/>
              <w:marBottom w:val="240"/>
              <w:divBdr>
                <w:top w:val="none" w:sz="0" w:space="0" w:color="auto"/>
                <w:left w:val="none" w:sz="0" w:space="0" w:color="auto"/>
                <w:bottom w:val="none" w:sz="0" w:space="0" w:color="auto"/>
                <w:right w:val="none" w:sz="0" w:space="0" w:color="auto"/>
              </w:divBdr>
              <w:divsChild>
                <w:div w:id="512839454">
                  <w:marLeft w:val="0"/>
                  <w:marRight w:val="0"/>
                  <w:marTop w:val="0"/>
                  <w:marBottom w:val="240"/>
                  <w:divBdr>
                    <w:top w:val="none" w:sz="0" w:space="0" w:color="auto"/>
                    <w:left w:val="none" w:sz="0" w:space="0" w:color="auto"/>
                    <w:bottom w:val="none" w:sz="0" w:space="0" w:color="auto"/>
                    <w:right w:val="none" w:sz="0" w:space="0" w:color="auto"/>
                  </w:divBdr>
                </w:div>
                <w:div w:id="1143734431">
                  <w:marLeft w:val="0"/>
                  <w:marRight w:val="0"/>
                  <w:marTop w:val="0"/>
                  <w:marBottom w:val="240"/>
                  <w:divBdr>
                    <w:top w:val="none" w:sz="0" w:space="0" w:color="auto"/>
                    <w:left w:val="none" w:sz="0" w:space="0" w:color="auto"/>
                    <w:bottom w:val="none" w:sz="0" w:space="0" w:color="auto"/>
                    <w:right w:val="none" w:sz="0" w:space="0" w:color="auto"/>
                  </w:divBdr>
                </w:div>
              </w:divsChild>
            </w:div>
            <w:div w:id="715082018">
              <w:marLeft w:val="0"/>
              <w:marRight w:val="0"/>
              <w:marTop w:val="0"/>
              <w:marBottom w:val="240"/>
              <w:divBdr>
                <w:top w:val="none" w:sz="0" w:space="0" w:color="auto"/>
                <w:left w:val="none" w:sz="0" w:space="0" w:color="auto"/>
                <w:bottom w:val="none" w:sz="0" w:space="0" w:color="auto"/>
                <w:right w:val="none" w:sz="0" w:space="0" w:color="auto"/>
              </w:divBdr>
              <w:divsChild>
                <w:div w:id="1323896556">
                  <w:marLeft w:val="0"/>
                  <w:marRight w:val="0"/>
                  <w:marTop w:val="0"/>
                  <w:marBottom w:val="240"/>
                  <w:divBdr>
                    <w:top w:val="none" w:sz="0" w:space="0" w:color="auto"/>
                    <w:left w:val="none" w:sz="0" w:space="0" w:color="auto"/>
                    <w:bottom w:val="none" w:sz="0" w:space="0" w:color="auto"/>
                    <w:right w:val="none" w:sz="0" w:space="0" w:color="auto"/>
                  </w:divBdr>
                </w:div>
                <w:div w:id="20280247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75202052">
      <w:bodyDiv w:val="1"/>
      <w:marLeft w:val="0"/>
      <w:marRight w:val="0"/>
      <w:marTop w:val="0"/>
      <w:marBottom w:val="0"/>
      <w:divBdr>
        <w:top w:val="none" w:sz="0" w:space="0" w:color="auto"/>
        <w:left w:val="none" w:sz="0" w:space="0" w:color="auto"/>
        <w:bottom w:val="none" w:sz="0" w:space="0" w:color="auto"/>
        <w:right w:val="none" w:sz="0" w:space="0" w:color="auto"/>
      </w:divBdr>
      <w:divsChild>
        <w:div w:id="1952348500">
          <w:marLeft w:val="0"/>
          <w:marRight w:val="0"/>
          <w:marTop w:val="240"/>
          <w:marBottom w:val="240"/>
          <w:divBdr>
            <w:top w:val="none" w:sz="0" w:space="0" w:color="auto"/>
            <w:left w:val="none" w:sz="0" w:space="0" w:color="auto"/>
            <w:bottom w:val="none" w:sz="0" w:space="0" w:color="auto"/>
            <w:right w:val="none" w:sz="0" w:space="0" w:color="auto"/>
          </w:divBdr>
        </w:div>
      </w:divsChild>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447386528">
      <w:bodyDiv w:val="1"/>
      <w:marLeft w:val="0"/>
      <w:marRight w:val="0"/>
      <w:marTop w:val="0"/>
      <w:marBottom w:val="0"/>
      <w:divBdr>
        <w:top w:val="none" w:sz="0" w:space="0" w:color="auto"/>
        <w:left w:val="none" w:sz="0" w:space="0" w:color="auto"/>
        <w:bottom w:val="none" w:sz="0" w:space="0" w:color="auto"/>
        <w:right w:val="none" w:sz="0" w:space="0" w:color="auto"/>
      </w:divBdr>
    </w:div>
    <w:div w:id="1595505457">
      <w:bodyDiv w:val="1"/>
      <w:marLeft w:val="0"/>
      <w:marRight w:val="0"/>
      <w:marTop w:val="0"/>
      <w:marBottom w:val="0"/>
      <w:divBdr>
        <w:top w:val="none" w:sz="0" w:space="0" w:color="auto"/>
        <w:left w:val="none" w:sz="0" w:space="0" w:color="auto"/>
        <w:bottom w:val="none" w:sz="0" w:space="0" w:color="auto"/>
        <w:right w:val="none" w:sz="0" w:space="0" w:color="auto"/>
      </w:divBdr>
    </w:div>
    <w:div w:id="1636369161">
      <w:bodyDiv w:val="1"/>
      <w:marLeft w:val="0"/>
      <w:marRight w:val="0"/>
      <w:marTop w:val="0"/>
      <w:marBottom w:val="0"/>
      <w:divBdr>
        <w:top w:val="none" w:sz="0" w:space="0" w:color="auto"/>
        <w:left w:val="none" w:sz="0" w:space="0" w:color="auto"/>
        <w:bottom w:val="none" w:sz="0" w:space="0" w:color="auto"/>
        <w:right w:val="none" w:sz="0" w:space="0" w:color="auto"/>
      </w:divBdr>
      <w:divsChild>
        <w:div w:id="1000038286">
          <w:marLeft w:val="0"/>
          <w:marRight w:val="0"/>
          <w:marTop w:val="240"/>
          <w:marBottom w:val="240"/>
          <w:divBdr>
            <w:top w:val="none" w:sz="0" w:space="0" w:color="auto"/>
            <w:left w:val="none" w:sz="0" w:space="0" w:color="auto"/>
            <w:bottom w:val="none" w:sz="0" w:space="0" w:color="auto"/>
            <w:right w:val="none" w:sz="0" w:space="0" w:color="auto"/>
          </w:divBdr>
          <w:divsChild>
            <w:div w:id="1860703488">
              <w:marLeft w:val="0"/>
              <w:marRight w:val="0"/>
              <w:marTop w:val="0"/>
              <w:marBottom w:val="240"/>
              <w:divBdr>
                <w:top w:val="none" w:sz="0" w:space="0" w:color="auto"/>
                <w:left w:val="none" w:sz="0" w:space="0" w:color="auto"/>
                <w:bottom w:val="none" w:sz="0" w:space="0" w:color="auto"/>
                <w:right w:val="none" w:sz="0" w:space="0" w:color="auto"/>
              </w:divBdr>
              <w:divsChild>
                <w:div w:id="1063337014">
                  <w:marLeft w:val="0"/>
                  <w:marRight w:val="0"/>
                  <w:marTop w:val="0"/>
                  <w:marBottom w:val="240"/>
                  <w:divBdr>
                    <w:top w:val="none" w:sz="0" w:space="0" w:color="auto"/>
                    <w:left w:val="none" w:sz="0" w:space="0" w:color="auto"/>
                    <w:bottom w:val="none" w:sz="0" w:space="0" w:color="auto"/>
                    <w:right w:val="none" w:sz="0" w:space="0" w:color="auto"/>
                  </w:divBdr>
                </w:div>
                <w:div w:id="2102485390">
                  <w:marLeft w:val="0"/>
                  <w:marRight w:val="0"/>
                  <w:marTop w:val="0"/>
                  <w:marBottom w:val="240"/>
                  <w:divBdr>
                    <w:top w:val="none" w:sz="0" w:space="0" w:color="auto"/>
                    <w:left w:val="none" w:sz="0" w:space="0" w:color="auto"/>
                    <w:bottom w:val="none" w:sz="0" w:space="0" w:color="auto"/>
                    <w:right w:val="none" w:sz="0" w:space="0" w:color="auto"/>
                  </w:divBdr>
                </w:div>
                <w:div w:id="494883328">
                  <w:marLeft w:val="0"/>
                  <w:marRight w:val="0"/>
                  <w:marTop w:val="0"/>
                  <w:marBottom w:val="240"/>
                  <w:divBdr>
                    <w:top w:val="none" w:sz="0" w:space="0" w:color="auto"/>
                    <w:left w:val="none" w:sz="0" w:space="0" w:color="auto"/>
                    <w:bottom w:val="none" w:sz="0" w:space="0" w:color="auto"/>
                    <w:right w:val="none" w:sz="0" w:space="0" w:color="auto"/>
                  </w:divBdr>
                </w:div>
              </w:divsChild>
            </w:div>
            <w:div w:id="1161193849">
              <w:marLeft w:val="0"/>
              <w:marRight w:val="0"/>
              <w:marTop w:val="0"/>
              <w:marBottom w:val="240"/>
              <w:divBdr>
                <w:top w:val="none" w:sz="0" w:space="0" w:color="auto"/>
                <w:left w:val="none" w:sz="0" w:space="0" w:color="auto"/>
                <w:bottom w:val="none" w:sz="0" w:space="0" w:color="auto"/>
                <w:right w:val="none" w:sz="0" w:space="0" w:color="auto"/>
              </w:divBdr>
              <w:divsChild>
                <w:div w:id="1845968746">
                  <w:marLeft w:val="0"/>
                  <w:marRight w:val="0"/>
                  <w:marTop w:val="0"/>
                  <w:marBottom w:val="240"/>
                  <w:divBdr>
                    <w:top w:val="none" w:sz="0" w:space="0" w:color="auto"/>
                    <w:left w:val="none" w:sz="0" w:space="0" w:color="auto"/>
                    <w:bottom w:val="none" w:sz="0" w:space="0" w:color="auto"/>
                    <w:right w:val="none" w:sz="0" w:space="0" w:color="auto"/>
                  </w:divBdr>
                </w:div>
                <w:div w:id="1549225828">
                  <w:marLeft w:val="0"/>
                  <w:marRight w:val="0"/>
                  <w:marTop w:val="0"/>
                  <w:marBottom w:val="240"/>
                  <w:divBdr>
                    <w:top w:val="none" w:sz="0" w:space="0" w:color="auto"/>
                    <w:left w:val="none" w:sz="0" w:space="0" w:color="auto"/>
                    <w:bottom w:val="none" w:sz="0" w:space="0" w:color="auto"/>
                    <w:right w:val="none" w:sz="0" w:space="0" w:color="auto"/>
                  </w:divBdr>
                </w:div>
              </w:divsChild>
            </w:div>
            <w:div w:id="867835325">
              <w:marLeft w:val="0"/>
              <w:marRight w:val="0"/>
              <w:marTop w:val="0"/>
              <w:marBottom w:val="240"/>
              <w:divBdr>
                <w:top w:val="none" w:sz="0" w:space="0" w:color="auto"/>
                <w:left w:val="none" w:sz="0" w:space="0" w:color="auto"/>
                <w:bottom w:val="none" w:sz="0" w:space="0" w:color="auto"/>
                <w:right w:val="none" w:sz="0" w:space="0" w:color="auto"/>
              </w:divBdr>
              <w:divsChild>
                <w:div w:id="86511860">
                  <w:marLeft w:val="0"/>
                  <w:marRight w:val="0"/>
                  <w:marTop w:val="0"/>
                  <w:marBottom w:val="240"/>
                  <w:divBdr>
                    <w:top w:val="none" w:sz="0" w:space="0" w:color="auto"/>
                    <w:left w:val="none" w:sz="0" w:space="0" w:color="auto"/>
                    <w:bottom w:val="none" w:sz="0" w:space="0" w:color="auto"/>
                    <w:right w:val="none" w:sz="0" w:space="0" w:color="auto"/>
                  </w:divBdr>
                </w:div>
                <w:div w:id="16198765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apd.org/assets/1/7/POHRPCTechBrief2.pdf" TargetMode="External"/><Relationship Id="rId18" Type="http://schemas.openxmlformats.org/officeDocument/2006/relationships/hyperlink" Target="https://aaoms.org/wp-content/uploads/2024/08/parcare_anesthesia_in-outpatient.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www.aapd.org/advocacy/legislative-and-regulatory-issues/general-anesthesia-coverage/" TargetMode="External"/><Relationship Id="rId17" Type="http://schemas.openxmlformats.org/officeDocument/2006/relationships/hyperlink" Target="https://www.aapd.org/globalassets/media/policies_guidelines/bp_behavguide.pdf" TargetMode="External"/><Relationship Id="rId2" Type="http://schemas.openxmlformats.org/officeDocument/2006/relationships/styles" Target="styles.xml"/><Relationship Id="rId16" Type="http://schemas.openxmlformats.org/officeDocument/2006/relationships/hyperlink" Target="https://www.ada.org/-/media/project/ada-organization/ada/ada%20org/files/resources/research/ada_sedation_use_guidelines.pdf?rev=313932b4f5eb49e491926d4feac00a14&amp;hash=C7C55D7182C639197569D4ED8EDCDDF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a.org/-/media/project/ada-organization/ada/ada-org/files/publications/cdt/anesthesia_guidelines.pdf" TargetMode="External"/><Relationship Id="rId5" Type="http://schemas.openxmlformats.org/officeDocument/2006/relationships/footnotes" Target="footnotes.xml"/><Relationship Id="rId15" Type="http://schemas.openxmlformats.org/officeDocument/2006/relationships/hyperlink" Target="https://www.aapd.org/globalassets/media/policies_guidelines/bp_anesthesiapersonnel.pdf" TargetMode="External"/><Relationship Id="rId10" Type="http://schemas.openxmlformats.org/officeDocument/2006/relationships/footer" Target="footer2.xml"/><Relationship Id="rId19" Type="http://schemas.openxmlformats.org/officeDocument/2006/relationships/hyperlink" Target="http://www.cms.gov"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ada.org/-/media/project/ada-organization/ada/ada-org/files/resources/library/oral-health-topics/ada_sedation_policy_statement.pdf?rev=1ab2f02034fb418986f60247435a8fc1&amp;hash=BF2EEC59FDE784591231D7AFD553B6F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1894</Words>
  <Characters>13862</Characters>
  <Application>Microsoft Office Word</Application>
  <DocSecurity>0</DocSecurity>
  <Lines>266</Lines>
  <Paragraphs>93</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Centene User</dc:creator>
  <cp:lastModifiedBy>Lindsey E. Ramos</cp:lastModifiedBy>
  <cp:revision>3</cp:revision>
  <cp:lastPrinted>2015-06-25T20:16:00Z</cp:lastPrinted>
  <dcterms:created xsi:type="dcterms:W3CDTF">2025-10-08T20:41:00Z</dcterms:created>
  <dcterms:modified xsi:type="dcterms:W3CDTF">2025-10-08T20:45:00Z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2022-08-31T15:02:48Z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108c91ea-75d6-4dab-bd3e-d3f136f4e421</vt:lpwstr>
  </property>
  <property fmtid="{D5CDD505-2E9C-101B-9397-08002B2CF9AE}" pid="8" name="MSIP_Label_5a776955-85f6-4fec-9553-96dd3e0373c4_ContentBits">
    <vt:lpwstr>0</vt:lpwstr>
  </property>
</Properties>
</file>