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AEFB" w14:textId="77777777"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 xml:space="preserve">Clinical Policy: </w:t>
      </w:r>
      <w:r w:rsidR="002F12E5">
        <w:rPr>
          <w:rFonts w:ascii="Times New Roman" w:hAnsi="Times New Roman"/>
          <w:color w:val="00548C"/>
          <w:sz w:val="36"/>
        </w:rPr>
        <w:t>Experimental Technologies</w:t>
      </w:r>
    </w:p>
    <w:p w14:paraId="6B74CA9E"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0"/>
          <w:headerReference w:type="default" r:id="rId11"/>
          <w:footerReference w:type="even" r:id="rId12"/>
          <w:footerReference w:type="default" r:id="rId13"/>
          <w:headerReference w:type="first" r:id="rId14"/>
          <w:footerReference w:type="first" r:id="rId15"/>
          <w:pgSz w:w="12240" w:h="15840" w:code="1"/>
          <w:pgMar w:top="1440" w:right="907" w:bottom="1152" w:left="1440" w:header="576" w:footer="288" w:gutter="0"/>
          <w:cols w:space="720"/>
          <w:titlePg/>
          <w:docGrid w:linePitch="360"/>
        </w:sectPr>
      </w:pPr>
    </w:p>
    <w:p w14:paraId="7A8DFDEA" w14:textId="77777777" w:rsidR="00B777AF" w:rsidRPr="003D7BE7" w:rsidRDefault="00D574CA" w:rsidP="00480C09">
      <w:pPr>
        <w:pStyle w:val="PolicyMainHead"/>
        <w:spacing w:after="0" w:line="240" w:lineRule="auto"/>
        <w:ind w:left="360"/>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sidR="002F12E5">
        <w:rPr>
          <w:rFonts w:ascii="Times New Roman" w:hAnsi="Times New Roman"/>
          <w:color w:val="00548C"/>
          <w:sz w:val="24"/>
          <w:szCs w:val="24"/>
        </w:rPr>
        <w:t>MP.36</w:t>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p>
    <w:p w14:paraId="3452F737" w14:textId="01B35980" w:rsidR="00B174D7" w:rsidRPr="00303648" w:rsidRDefault="00010EA1" w:rsidP="006A0796">
      <w:pPr>
        <w:pStyle w:val="PolicyMainHead"/>
        <w:spacing w:after="0" w:line="240" w:lineRule="auto"/>
        <w:ind w:left="5400" w:hanging="5400"/>
        <w:rPr>
          <w:rStyle w:val="Hyperlink"/>
        </w:rPr>
      </w:pPr>
      <w:r>
        <w:rPr>
          <w:rFonts w:ascii="Times New Roman" w:hAnsi="Times New Roman"/>
          <w:color w:val="00548C"/>
          <w:sz w:val="24"/>
          <w:szCs w:val="24"/>
        </w:rPr>
        <w:t xml:space="preserve">Date of </w:t>
      </w:r>
      <w:r w:rsidR="00D574CA" w:rsidRPr="003D7BE7">
        <w:rPr>
          <w:rFonts w:ascii="Times New Roman" w:hAnsi="Times New Roman"/>
          <w:color w:val="00548C"/>
          <w:sz w:val="24"/>
          <w:szCs w:val="24"/>
        </w:rPr>
        <w:t>Last Revi</w:t>
      </w:r>
      <w:r>
        <w:rPr>
          <w:rFonts w:ascii="Times New Roman" w:hAnsi="Times New Roman"/>
          <w:color w:val="00548C"/>
          <w:sz w:val="24"/>
          <w:szCs w:val="24"/>
        </w:rPr>
        <w:t>sion</w:t>
      </w:r>
      <w:r w:rsidR="00D574CA" w:rsidRPr="003D7BE7">
        <w:rPr>
          <w:rFonts w:ascii="Times New Roman" w:hAnsi="Times New Roman"/>
          <w:color w:val="00548C"/>
          <w:sz w:val="24"/>
          <w:szCs w:val="24"/>
        </w:rPr>
        <w:t xml:space="preserve">: </w:t>
      </w:r>
      <w:r w:rsidR="007B58CA">
        <w:rPr>
          <w:rFonts w:ascii="Times New Roman" w:hAnsi="Times New Roman"/>
          <w:color w:val="00548C"/>
          <w:sz w:val="24"/>
          <w:szCs w:val="24"/>
        </w:rPr>
        <w:t>0</w:t>
      </w:r>
      <w:r w:rsidR="005228CB">
        <w:rPr>
          <w:rFonts w:ascii="Times New Roman" w:hAnsi="Times New Roman"/>
          <w:color w:val="00548C"/>
          <w:sz w:val="24"/>
          <w:szCs w:val="24"/>
        </w:rPr>
        <w:t>8</w:t>
      </w:r>
      <w:r w:rsidR="00CE3141">
        <w:rPr>
          <w:rFonts w:ascii="Times New Roman" w:hAnsi="Times New Roman"/>
          <w:color w:val="00548C"/>
          <w:sz w:val="24"/>
          <w:szCs w:val="24"/>
        </w:rPr>
        <w:t>/</w:t>
      </w:r>
      <w:r w:rsidR="00E828D8">
        <w:rPr>
          <w:rFonts w:ascii="Times New Roman" w:hAnsi="Times New Roman"/>
          <w:color w:val="00548C"/>
          <w:sz w:val="24"/>
          <w:szCs w:val="24"/>
        </w:rPr>
        <w:t>2</w:t>
      </w:r>
      <w:r w:rsidR="00557F1F">
        <w:rPr>
          <w:rFonts w:ascii="Times New Roman" w:hAnsi="Times New Roman"/>
          <w:color w:val="00548C"/>
          <w:sz w:val="24"/>
          <w:szCs w:val="24"/>
        </w:rPr>
        <w:t>5</w:t>
      </w:r>
      <w:r w:rsidR="00D05845">
        <w:rPr>
          <w:rFonts w:ascii="Times New Roman" w:hAnsi="Times New Roman"/>
          <w:color w:val="00548C"/>
          <w:sz w:val="24"/>
          <w:szCs w:val="24"/>
        </w:rPr>
        <w:tab/>
      </w:r>
      <w:r w:rsidR="00D05845">
        <w:rPr>
          <w:rFonts w:ascii="Times New Roman" w:hAnsi="Times New Roman"/>
          <w:color w:val="00548C"/>
          <w:sz w:val="24"/>
          <w:szCs w:val="24"/>
        </w:rPr>
        <w:tab/>
      </w:r>
      <w:r w:rsidR="00D05845">
        <w:rPr>
          <w:rFonts w:ascii="Times New Roman" w:hAnsi="Times New Roman"/>
          <w:color w:val="00548C"/>
          <w:sz w:val="24"/>
          <w:szCs w:val="24"/>
        </w:rPr>
        <w:tab/>
      </w:r>
      <w:r>
        <w:rPr>
          <w:rFonts w:ascii="Times New Roman" w:hAnsi="Times New Roman"/>
          <w:color w:val="00548C"/>
          <w:sz w:val="24"/>
          <w:szCs w:val="24"/>
        </w:rPr>
        <w:t xml:space="preserve">              </w:t>
      </w:r>
      <w:hyperlink w:anchor="Revision_Log" w:history="1">
        <w:r w:rsidRPr="00303648">
          <w:rPr>
            <w:rStyle w:val="Hyperlink"/>
            <w:rFonts w:ascii="Times New Roman" w:hAnsi="Times New Roman"/>
            <w:sz w:val="24"/>
            <w:szCs w:val="24"/>
          </w:rPr>
          <w:t>Revision Log</w:t>
        </w:r>
      </w:hyperlink>
      <w:r w:rsidR="00D05845">
        <w:rPr>
          <w:rFonts w:ascii="Times New Roman" w:hAnsi="Times New Roman"/>
          <w:color w:val="00548C"/>
          <w:sz w:val="24"/>
          <w:szCs w:val="24"/>
        </w:rPr>
        <w:tab/>
      </w:r>
      <w:r w:rsidR="00D05845">
        <w:rPr>
          <w:rFonts w:ascii="Times New Roman" w:hAnsi="Times New Roman"/>
          <w:color w:val="00548C"/>
          <w:sz w:val="24"/>
          <w:szCs w:val="24"/>
        </w:rPr>
        <w:tab/>
      </w:r>
    </w:p>
    <w:p w14:paraId="6DE2C089" w14:textId="77777777" w:rsidR="00D05845" w:rsidRDefault="00D05845" w:rsidP="00D923C5">
      <w:pPr>
        <w:pStyle w:val="NormalWeb"/>
        <w:spacing w:before="0" w:beforeAutospacing="0" w:after="0" w:afterAutospacing="0"/>
        <w:rPr>
          <w:rFonts w:ascii="Times New Roman" w:hAnsi="Times New Roman" w:cs="Times New Roman"/>
          <w:b/>
          <w:color w:val="00548C"/>
        </w:rPr>
      </w:pPr>
    </w:p>
    <w:p w14:paraId="2F013385" w14:textId="77777777" w:rsidR="00D923C5" w:rsidRPr="008028AF" w:rsidRDefault="00D923C5" w:rsidP="00D923C5">
      <w:pPr>
        <w:pStyle w:val="NormalWeb"/>
        <w:spacing w:before="0" w:beforeAutospacing="0" w:after="0" w:afterAutospacing="0"/>
        <w:rPr>
          <w:rFonts w:ascii="Times New Roman" w:hAnsi="Times New Roman" w:cs="Times New Roman"/>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5C223095" w14:textId="77777777" w:rsidR="00D923C5" w:rsidRPr="00D923C5" w:rsidRDefault="00D923C5" w:rsidP="00D923C5">
      <w:pPr>
        <w:rPr>
          <w:rFonts w:eastAsia="Arial Unicode MS"/>
        </w:rPr>
      </w:pPr>
    </w:p>
    <w:p w14:paraId="26AEB7F8" w14:textId="77777777" w:rsidR="00583376" w:rsidRPr="00B777AF" w:rsidRDefault="00583376">
      <w:pPr>
        <w:pStyle w:val="Heading2"/>
        <w:rPr>
          <w:u w:val="none"/>
        </w:rPr>
      </w:pPr>
      <w:r w:rsidRPr="00B777AF">
        <w:rPr>
          <w:u w:val="none"/>
        </w:rPr>
        <w:t xml:space="preserve">Description </w:t>
      </w:r>
    </w:p>
    <w:p w14:paraId="7750521E" w14:textId="28D5FC1F" w:rsidR="002C4AB2" w:rsidRDefault="002F12E5" w:rsidP="002F12E5">
      <w:r>
        <w:t>This policy outlines g</w:t>
      </w:r>
      <w:r w:rsidRPr="00C72ED7">
        <w:t xml:space="preserve">eneral guidelines to </w:t>
      </w:r>
      <w:r>
        <w:t>use</w:t>
      </w:r>
      <w:r w:rsidRPr="00C72ED7">
        <w:t xml:space="preserve"> in determining coverage of experimental or investigational</w:t>
      </w:r>
      <w:r w:rsidR="00543F5B">
        <w:t>,</w:t>
      </w:r>
      <w:r w:rsidRPr="00C72ED7">
        <w:t xml:space="preserve"> or potentially experimental or investigational medical and behavioral health technologies</w:t>
      </w:r>
      <w:r w:rsidR="002C4AB2">
        <w:t xml:space="preserve"> </w:t>
      </w:r>
      <w:r w:rsidR="002C4AB2" w:rsidRPr="002C4AB2">
        <w:t>(i.e., drugs, procedures, devices, services, or supplies)</w:t>
      </w:r>
      <w:r w:rsidRPr="00C72ED7">
        <w:t xml:space="preserve">. </w:t>
      </w:r>
    </w:p>
    <w:p w14:paraId="59729E2F" w14:textId="77777777" w:rsidR="002C4AB2" w:rsidRDefault="002C4AB2" w:rsidP="002F12E5"/>
    <w:p w14:paraId="227C27BD" w14:textId="02EAB5DA" w:rsidR="002C4AB2" w:rsidRPr="001041C5" w:rsidRDefault="002C4AB2" w:rsidP="001041C5">
      <w:pPr>
        <w:ind w:firstLine="360"/>
        <w:rPr>
          <w:b/>
          <w:bCs/>
        </w:rPr>
      </w:pPr>
      <w:r w:rsidRPr="001041C5">
        <w:rPr>
          <w:b/>
          <w:bCs/>
        </w:rPr>
        <w:t>Note:</w:t>
      </w:r>
    </w:p>
    <w:p w14:paraId="4D0834A7" w14:textId="750C76A2" w:rsidR="00810159" w:rsidRDefault="002C4AB2" w:rsidP="001041C5">
      <w:pPr>
        <w:pStyle w:val="ListParagraph"/>
        <w:numPr>
          <w:ilvl w:val="0"/>
          <w:numId w:val="19"/>
        </w:numPr>
      </w:pPr>
      <w:r w:rsidRPr="002C4AB2">
        <w:t>These guidelines are to be used only when there is no other policy, criteria, or coverage statement available.</w:t>
      </w:r>
    </w:p>
    <w:p w14:paraId="51BBFFC8" w14:textId="0B31AFA3" w:rsidR="002C4AB2" w:rsidRPr="002C4AB2" w:rsidRDefault="00810159" w:rsidP="001041C5">
      <w:pPr>
        <w:pStyle w:val="ListParagraph"/>
        <w:numPr>
          <w:ilvl w:val="0"/>
          <w:numId w:val="19"/>
        </w:numPr>
        <w:rPr>
          <w:iCs/>
        </w:rPr>
      </w:pPr>
      <w:r w:rsidRPr="001041C5">
        <w:rPr>
          <w:iCs/>
        </w:rPr>
        <w:t>For</w:t>
      </w:r>
      <w:r w:rsidR="00BF70D2" w:rsidRPr="002C4AB2">
        <w:rPr>
          <w:iCs/>
        </w:rPr>
        <w:t xml:space="preserve"> </w:t>
      </w:r>
      <w:r w:rsidR="00BF70D2" w:rsidRPr="001041C5">
        <w:rPr>
          <w:iCs/>
        </w:rPr>
        <w:t>coverage of routine costs as part of a clinical trial</w:t>
      </w:r>
      <w:r w:rsidRPr="001041C5">
        <w:rPr>
          <w:iCs/>
        </w:rPr>
        <w:t>, please refer to CP.MP.94 Clinical Trials.</w:t>
      </w:r>
    </w:p>
    <w:p w14:paraId="6D75FB35" w14:textId="77777777" w:rsidR="00ED0A0D" w:rsidRPr="00B777AF" w:rsidRDefault="00ED0A0D" w:rsidP="00196935"/>
    <w:p w14:paraId="62330422" w14:textId="44649FF8" w:rsidR="00583376" w:rsidRPr="00B777AF" w:rsidRDefault="002F12E5">
      <w:pPr>
        <w:pStyle w:val="Heading2"/>
        <w:rPr>
          <w:u w:val="none"/>
        </w:rPr>
      </w:pPr>
      <w:r>
        <w:rPr>
          <w:u w:val="none"/>
        </w:rPr>
        <w:t>Policy</w:t>
      </w:r>
      <w:r w:rsidR="00363AD5">
        <w:rPr>
          <w:u w:val="none"/>
        </w:rPr>
        <w:t>/Criteria</w:t>
      </w:r>
    </w:p>
    <w:p w14:paraId="5B44EEF0" w14:textId="3C16FE0B" w:rsidR="002F12E5" w:rsidRPr="002C4AB2" w:rsidRDefault="002F12E5" w:rsidP="001041C5">
      <w:pPr>
        <w:pStyle w:val="ListParagraph"/>
        <w:numPr>
          <w:ilvl w:val="0"/>
          <w:numId w:val="14"/>
        </w:numPr>
        <w:ind w:left="360" w:hanging="360"/>
        <w:rPr>
          <w:bCs/>
        </w:rPr>
      </w:pPr>
      <w:r w:rsidRPr="00F11ACA">
        <w:rPr>
          <w:bCs/>
        </w:rPr>
        <w:t>It is the policy of h</w:t>
      </w:r>
      <w:r w:rsidRPr="00F11ACA">
        <w:rPr>
          <w:bCs/>
          <w:color w:val="000000"/>
        </w:rPr>
        <w:t>ealth plans affiliated with Centene Corporation</w:t>
      </w:r>
      <w:r w:rsidRPr="00691B0B">
        <w:rPr>
          <w:bCs/>
          <w:color w:val="000000"/>
          <w:vertAlign w:val="superscript"/>
        </w:rPr>
        <w:t>®</w:t>
      </w:r>
      <w:r w:rsidR="005D2707">
        <w:rPr>
          <w:bCs/>
          <w:color w:val="000000"/>
          <w:vertAlign w:val="superscript"/>
        </w:rPr>
        <w:t xml:space="preserve"> </w:t>
      </w:r>
      <w:r w:rsidRPr="00691B0B">
        <w:rPr>
          <w:bCs/>
        </w:rPr>
        <w:t>that all coverage determinations regarding technologies (i.e., drugs, procedures, devices</w:t>
      </w:r>
      <w:r w:rsidR="008E205A" w:rsidRPr="00691B0B">
        <w:rPr>
          <w:bCs/>
        </w:rPr>
        <w:t>, services, or supplies</w:t>
      </w:r>
      <w:r w:rsidRPr="00691B0B">
        <w:rPr>
          <w:bCs/>
        </w:rPr>
        <w:t xml:space="preserve">) that are or may be considered experimental or investigational must be considered on a case-by-case basis by </w:t>
      </w:r>
      <w:r w:rsidR="00450E9B" w:rsidRPr="00691B0B">
        <w:rPr>
          <w:bCs/>
        </w:rPr>
        <w:t>a physician or ad hoc committee</w:t>
      </w:r>
      <w:r w:rsidRPr="00691B0B">
        <w:rPr>
          <w:bCs/>
        </w:rPr>
        <w:t xml:space="preserve"> and must be made in accordance with the Benefit Plan Contract provisions and applicable state and federal requirements. </w:t>
      </w:r>
      <w:r w:rsidR="00B53738">
        <w:rPr>
          <w:bCs/>
        </w:rPr>
        <w:t>The</w:t>
      </w:r>
      <w:r w:rsidR="005F41C2">
        <w:rPr>
          <w:bCs/>
        </w:rPr>
        <w:t xml:space="preserve"> requested technology must meet both of the following</w:t>
      </w:r>
      <w:r w:rsidR="00C94BB3">
        <w:rPr>
          <w:bCs/>
        </w:rPr>
        <w:t>:</w:t>
      </w:r>
    </w:p>
    <w:p w14:paraId="1AD6C0F3" w14:textId="6E95CCA0" w:rsidR="009D38D8" w:rsidRDefault="003F4650" w:rsidP="001041C5">
      <w:pPr>
        <w:pStyle w:val="ListParagraph"/>
        <w:numPr>
          <w:ilvl w:val="0"/>
          <w:numId w:val="11"/>
        </w:numPr>
        <w:tabs>
          <w:tab w:val="left" w:pos="360"/>
        </w:tabs>
      </w:pPr>
      <w:r>
        <w:t xml:space="preserve">A </w:t>
      </w:r>
      <w:r w:rsidR="00B90336">
        <w:t>technology</w:t>
      </w:r>
      <w:r>
        <w:t xml:space="preserve"> </w:t>
      </w:r>
      <w:r w:rsidR="00034DC7">
        <w:t>is requested and</w:t>
      </w:r>
      <w:r w:rsidR="000F6091">
        <w:t xml:space="preserve"> </w:t>
      </w:r>
      <w:r w:rsidR="00E166E6">
        <w:t>is considered ex</w:t>
      </w:r>
      <w:r w:rsidR="00E166E6" w:rsidRPr="00C27391">
        <w:t xml:space="preserve">perimental or </w:t>
      </w:r>
      <w:r w:rsidR="00E166E6">
        <w:t>i</w:t>
      </w:r>
      <w:r w:rsidR="00E166E6" w:rsidRPr="00C27391">
        <w:t>nvestigational</w:t>
      </w:r>
      <w:r w:rsidR="00E166E6">
        <w:t xml:space="preserve"> if it </w:t>
      </w:r>
      <w:r w:rsidR="000F6091">
        <w:t>meet</w:t>
      </w:r>
      <w:r w:rsidR="00034DC7">
        <w:t>s</w:t>
      </w:r>
      <w:r w:rsidR="000F6091">
        <w:t xml:space="preserve"> any</w:t>
      </w:r>
      <w:r w:rsidR="007D4069" w:rsidRPr="00C27391">
        <w:t xml:space="preserve"> of the following criteria:</w:t>
      </w:r>
    </w:p>
    <w:p w14:paraId="590F2FF0" w14:textId="380CE567" w:rsidR="007D4069" w:rsidRDefault="007D4069" w:rsidP="001041C5">
      <w:pPr>
        <w:pStyle w:val="ListParagraph"/>
        <w:numPr>
          <w:ilvl w:val="1"/>
          <w:numId w:val="13"/>
        </w:numPr>
        <w:ind w:left="1080"/>
      </w:pPr>
      <w:r w:rsidRPr="006A0796">
        <w:t>It is currently the subject of active and credible evaluation (e.g., clinical trials or research) to determine:</w:t>
      </w:r>
    </w:p>
    <w:p w14:paraId="3D247F52" w14:textId="43D424CF" w:rsidR="009F1397" w:rsidRDefault="009F1397" w:rsidP="00B1508B">
      <w:pPr>
        <w:pStyle w:val="ListParagraph"/>
        <w:numPr>
          <w:ilvl w:val="1"/>
          <w:numId w:val="11"/>
        </w:numPr>
      </w:pPr>
      <w:r w:rsidRPr="006A0796">
        <w:t>Clinical efficacy</w:t>
      </w:r>
      <w:r w:rsidR="002C4AB2">
        <w:t>;</w:t>
      </w:r>
    </w:p>
    <w:p w14:paraId="5F28676E" w14:textId="3C950386" w:rsidR="00B1508B" w:rsidRDefault="00C037BA" w:rsidP="00B1508B">
      <w:pPr>
        <w:pStyle w:val="ListParagraph"/>
        <w:numPr>
          <w:ilvl w:val="1"/>
          <w:numId w:val="11"/>
        </w:numPr>
      </w:pPr>
      <w:r w:rsidRPr="006A0796">
        <w:t>Therapeutic value or beneficial effects on health outcomes</w:t>
      </w:r>
      <w:r w:rsidR="002C4AB2">
        <w:t>;</w:t>
      </w:r>
    </w:p>
    <w:p w14:paraId="13EE57EE" w14:textId="3619BB21" w:rsidR="00C037BA" w:rsidRDefault="00C037BA" w:rsidP="00B1508B">
      <w:pPr>
        <w:pStyle w:val="ListParagraph"/>
        <w:numPr>
          <w:ilvl w:val="1"/>
          <w:numId w:val="11"/>
        </w:numPr>
      </w:pPr>
      <w:r w:rsidRPr="006A0796">
        <w:t>Benefits beyond any established medical based alternatives</w:t>
      </w:r>
      <w:r w:rsidR="0085206B">
        <w:t>;</w:t>
      </w:r>
      <w:r w:rsidR="00240AF5">
        <w:t xml:space="preserve"> </w:t>
      </w:r>
    </w:p>
    <w:p w14:paraId="34F9CF96" w14:textId="3CD1C841" w:rsidR="00FE345E" w:rsidRPr="006A0796" w:rsidRDefault="00B50116" w:rsidP="001041C5">
      <w:pPr>
        <w:pStyle w:val="ListParagraph"/>
        <w:numPr>
          <w:ilvl w:val="1"/>
          <w:numId w:val="13"/>
        </w:numPr>
        <w:ind w:left="1080"/>
      </w:pPr>
      <w:r>
        <w:t>The most recent peer-reviewed scientific studies published or accepted for publication by nationally recognized medical journals do not conclude, or are inconclusive in finding</w:t>
      </w:r>
      <w:r w:rsidR="007F445B">
        <w:t>s</w:t>
      </w:r>
      <w:r>
        <w:t>, that the service is safe and effective for the treatment of the condition for which authorization of the service is requested</w:t>
      </w:r>
      <w:r w:rsidR="007F445B">
        <w:t>;</w:t>
      </w:r>
    </w:p>
    <w:p w14:paraId="72787B8F" w14:textId="3713F99C" w:rsidR="005744E0" w:rsidRDefault="002C4AB2" w:rsidP="005744E0">
      <w:pPr>
        <w:pStyle w:val="ListParagraph"/>
        <w:numPr>
          <w:ilvl w:val="0"/>
          <w:numId w:val="11"/>
        </w:numPr>
        <w:tabs>
          <w:tab w:val="left" w:pos="360"/>
        </w:tabs>
      </w:pPr>
      <w:r>
        <w:t xml:space="preserve">Medical necessity will be evaluated on a case-by-case basis considering </w:t>
      </w:r>
      <w:proofErr w:type="gramStart"/>
      <w:r>
        <w:t>all of</w:t>
      </w:r>
      <w:proofErr w:type="gramEnd"/>
      <w:r>
        <w:t xml:space="preserve"> the following:</w:t>
      </w:r>
    </w:p>
    <w:p w14:paraId="6627FBD7" w14:textId="0039355C" w:rsidR="002C4AB2" w:rsidRPr="002C4AB2" w:rsidRDefault="005A575E" w:rsidP="002C4AB2">
      <w:pPr>
        <w:pStyle w:val="ListParagraph"/>
        <w:numPr>
          <w:ilvl w:val="0"/>
          <w:numId w:val="17"/>
        </w:numPr>
        <w:rPr>
          <w:bCs/>
        </w:rPr>
      </w:pPr>
      <w:r w:rsidRPr="00126FE2">
        <w:rPr>
          <w:bCs/>
        </w:rPr>
        <w:t>The technology should have final approval from appropriate governmental regulatory bodies</w:t>
      </w:r>
      <w:r w:rsidR="002C4AB2">
        <w:rPr>
          <w:bCs/>
        </w:rPr>
        <w:t xml:space="preserve"> when applicable (drugs, biological products, devices or any other </w:t>
      </w:r>
      <w:r w:rsidR="002C4AB2" w:rsidRPr="002C4AB2">
        <w:rPr>
          <w:bCs/>
        </w:rPr>
        <w:t>product or procedure</w:t>
      </w:r>
      <w:r w:rsidR="002C4AB2">
        <w:rPr>
          <w:bCs/>
        </w:rPr>
        <w:t>s</w:t>
      </w:r>
      <w:r w:rsidR="002C4AB2" w:rsidRPr="002C4AB2">
        <w:rPr>
          <w:bCs/>
        </w:rPr>
        <w:t xml:space="preserve"> that must have final approval to market from the U.S. Food and Drug Administration</w:t>
      </w:r>
      <w:r w:rsidR="002C4AB2">
        <w:rPr>
          <w:bCs/>
        </w:rPr>
        <w:t xml:space="preserve"> (FDA) </w:t>
      </w:r>
      <w:r w:rsidRPr="00F11ACA">
        <w:rPr>
          <w:bCs/>
        </w:rPr>
        <w:t>or any other governmental body with authority to regulate the technology</w:t>
      </w:r>
      <w:r w:rsidR="002C4AB2">
        <w:rPr>
          <w:bCs/>
        </w:rPr>
        <w:t>)</w:t>
      </w:r>
      <w:r w:rsidR="00216D61">
        <w:rPr>
          <w:bCs/>
        </w:rPr>
        <w:t>.</w:t>
      </w:r>
      <w:r w:rsidRPr="00F11ACA">
        <w:rPr>
          <w:bCs/>
        </w:rPr>
        <w:t xml:space="preserve"> The indication for the technology under review does no</w:t>
      </w:r>
      <w:r w:rsidRPr="00691B0B">
        <w:rPr>
          <w:bCs/>
        </w:rPr>
        <w:t>t need to be the same indication for which the technology has been approved</w:t>
      </w:r>
      <w:r w:rsidR="002C4AB2">
        <w:rPr>
          <w:bCs/>
        </w:rPr>
        <w:t>;</w:t>
      </w:r>
    </w:p>
    <w:p w14:paraId="2ABBE2E8" w14:textId="04E67697" w:rsidR="002C4AB2" w:rsidRDefault="003D15A5" w:rsidP="002C4AB2">
      <w:pPr>
        <w:numPr>
          <w:ilvl w:val="0"/>
          <w:numId w:val="17"/>
        </w:numPr>
        <w:rPr>
          <w:bCs/>
        </w:rPr>
      </w:pPr>
      <w:r w:rsidRPr="000A2FC8">
        <w:rPr>
          <w:bCs/>
        </w:rPr>
        <w:t xml:space="preserve">At least two studies published in peer-reviewed medical literature should be available that would support conclusions </w:t>
      </w:r>
      <w:r>
        <w:rPr>
          <w:bCs/>
        </w:rPr>
        <w:t>regard</w:t>
      </w:r>
      <w:r w:rsidRPr="000A2FC8">
        <w:rPr>
          <w:bCs/>
        </w:rPr>
        <w:t>ing the effect of the technology and its likely net health impact</w:t>
      </w:r>
      <w:r w:rsidR="002C4AB2">
        <w:rPr>
          <w:bCs/>
        </w:rPr>
        <w:t>;</w:t>
      </w:r>
      <w:r w:rsidR="000E414D">
        <w:rPr>
          <w:bCs/>
        </w:rPr>
        <w:t xml:space="preserve"> </w:t>
      </w:r>
    </w:p>
    <w:p w14:paraId="20894BBD" w14:textId="77777777" w:rsidR="002C4AB2" w:rsidRPr="002C4AB2" w:rsidRDefault="002C4AB2" w:rsidP="002C4AB2">
      <w:pPr>
        <w:ind w:left="1080"/>
        <w:rPr>
          <w:bCs/>
        </w:rPr>
      </w:pPr>
    </w:p>
    <w:p w14:paraId="77F3276F" w14:textId="77777777" w:rsidR="002C4AB2" w:rsidRDefault="002C4AB2" w:rsidP="002C4AB2">
      <w:pPr>
        <w:ind w:left="1080"/>
        <w:rPr>
          <w:bCs/>
        </w:rPr>
      </w:pPr>
      <w:r w:rsidRPr="001041C5">
        <w:rPr>
          <w:b/>
        </w:rPr>
        <w:t>Note:</w:t>
      </w:r>
      <w:r>
        <w:rPr>
          <w:bCs/>
        </w:rPr>
        <w:t xml:space="preserve"> </w:t>
      </w:r>
    </w:p>
    <w:p w14:paraId="6E1C1A84" w14:textId="4FD5EDC5" w:rsidR="002C4AB2" w:rsidRPr="002C4AB2" w:rsidRDefault="003D15A5" w:rsidP="001041C5">
      <w:pPr>
        <w:pStyle w:val="ListParagraph"/>
        <w:numPr>
          <w:ilvl w:val="0"/>
          <w:numId w:val="18"/>
        </w:numPr>
        <w:rPr>
          <w:bCs/>
        </w:rPr>
      </w:pPr>
      <w:r w:rsidRPr="002C4AB2">
        <w:rPr>
          <w:bCs/>
        </w:rPr>
        <w:t>Such studies must, by the standards of accepted medical research, be well-designed and well-conducted investigations yielding quality and consistent results, and the results of such studies should demonstrate the effect the technology will have on the disease, injury, illness, or condition in question</w:t>
      </w:r>
      <w:r w:rsidR="002C4AB2">
        <w:rPr>
          <w:bCs/>
        </w:rPr>
        <w:t>;</w:t>
      </w:r>
    </w:p>
    <w:p w14:paraId="6FD785CB" w14:textId="60D24AEB" w:rsidR="002C4AB2" w:rsidRDefault="002C4AB2" w:rsidP="002C4AB2">
      <w:pPr>
        <w:pStyle w:val="ListParagraph"/>
        <w:numPr>
          <w:ilvl w:val="0"/>
          <w:numId w:val="18"/>
        </w:numPr>
        <w:rPr>
          <w:bCs/>
        </w:rPr>
      </w:pPr>
      <w:r w:rsidRPr="002C4AB2">
        <w:rPr>
          <w:bCs/>
        </w:rPr>
        <w:t>The opinions and evaluations of national medical associations, consensus panels, and other technology evaluation bodies</w:t>
      </w:r>
      <w:r w:rsidR="00D2143C">
        <w:rPr>
          <w:bCs/>
        </w:rPr>
        <w:t xml:space="preserve"> (e.g. H</w:t>
      </w:r>
      <w:r w:rsidR="00CB47A9">
        <w:rPr>
          <w:bCs/>
        </w:rPr>
        <w:t>ayes)</w:t>
      </w:r>
      <w:r w:rsidRPr="002C4AB2">
        <w:rPr>
          <w:bCs/>
        </w:rPr>
        <w:t>, or other specialists or professionals, who are subject matter experts with respect to the technology, may be taken into consideration according to the scientific quality of the supporting evidence and rationale for such opinions and evaluations</w:t>
      </w:r>
      <w:r>
        <w:rPr>
          <w:bCs/>
        </w:rPr>
        <w:t>;</w:t>
      </w:r>
    </w:p>
    <w:p w14:paraId="4385F0C5" w14:textId="77777777" w:rsidR="002C4AB2" w:rsidRDefault="002C4AB2" w:rsidP="001041C5">
      <w:pPr>
        <w:pStyle w:val="ListParagraph"/>
        <w:ind w:left="1800"/>
        <w:rPr>
          <w:bCs/>
        </w:rPr>
      </w:pPr>
    </w:p>
    <w:p w14:paraId="065F9169" w14:textId="299FE9EE" w:rsidR="002C4AB2" w:rsidRPr="002C4AB2" w:rsidRDefault="002C4AB2" w:rsidP="002C4AB2">
      <w:pPr>
        <w:pStyle w:val="ListParagraph"/>
        <w:numPr>
          <w:ilvl w:val="0"/>
          <w:numId w:val="17"/>
        </w:numPr>
        <w:rPr>
          <w:bCs/>
        </w:rPr>
      </w:pPr>
      <w:r>
        <w:rPr>
          <w:bCs/>
        </w:rPr>
        <w:t>T</w:t>
      </w:r>
      <w:r w:rsidR="003D15A5" w:rsidRPr="000A2FC8">
        <w:rPr>
          <w:bCs/>
        </w:rPr>
        <w:t xml:space="preserve">he health benefits of the technology must outweigh any harmful effects or risks to the </w:t>
      </w:r>
      <w:r w:rsidR="003D15A5">
        <w:rPr>
          <w:bCs/>
        </w:rPr>
        <w:t>member/enrolle</w:t>
      </w:r>
      <w:r>
        <w:rPr>
          <w:bCs/>
        </w:rPr>
        <w:t>e;</w:t>
      </w:r>
    </w:p>
    <w:p w14:paraId="002880D4" w14:textId="76DE0AA7" w:rsidR="003D15A5" w:rsidRDefault="003D15A5" w:rsidP="003D15A5">
      <w:pPr>
        <w:numPr>
          <w:ilvl w:val="0"/>
          <w:numId w:val="17"/>
        </w:numPr>
        <w:rPr>
          <w:bCs/>
        </w:rPr>
      </w:pPr>
      <w:r w:rsidRPr="000A2FC8">
        <w:rPr>
          <w:bCs/>
        </w:rPr>
        <w:t>Other established treatment alternatives to the technology should have been exhausted and failed or no established treatment exists</w:t>
      </w:r>
      <w:r w:rsidR="002C4AB2">
        <w:rPr>
          <w:bCs/>
        </w:rPr>
        <w:t>;</w:t>
      </w:r>
    </w:p>
    <w:p w14:paraId="48A379E2" w14:textId="3F4B958A" w:rsidR="003D15A5" w:rsidRDefault="003D15A5" w:rsidP="00126FE2">
      <w:pPr>
        <w:pStyle w:val="ListParagraph"/>
        <w:numPr>
          <w:ilvl w:val="0"/>
          <w:numId w:val="17"/>
        </w:numPr>
        <w:rPr>
          <w:bCs/>
        </w:rPr>
      </w:pPr>
      <w:r w:rsidRPr="000A2FC8">
        <w:rPr>
          <w:bCs/>
        </w:rPr>
        <w:t>The improvement to be gained by employing the technology should be attainable outside the control setting (i.e., in practice)</w:t>
      </w:r>
      <w:r w:rsidR="002C4AB2">
        <w:rPr>
          <w:bCs/>
        </w:rPr>
        <w:t>;</w:t>
      </w:r>
    </w:p>
    <w:p w14:paraId="6406DC0C" w14:textId="51B4A620" w:rsidR="003D15A5" w:rsidRPr="000A2FC8" w:rsidRDefault="003D15A5" w:rsidP="003D15A5">
      <w:pPr>
        <w:numPr>
          <w:ilvl w:val="0"/>
          <w:numId w:val="17"/>
        </w:numPr>
        <w:rPr>
          <w:bCs/>
        </w:rPr>
      </w:pPr>
      <w:r w:rsidRPr="000A2FC8">
        <w:rPr>
          <w:bCs/>
        </w:rPr>
        <w:t>In the case of diagnostic procedures, it is anticipated that the results of the procedure will help determine the best plan of care. There must be some potential intervention or alteration to the current plan of care based on the diagnostic results</w:t>
      </w:r>
      <w:r w:rsidR="002C4AB2">
        <w:rPr>
          <w:bCs/>
        </w:rPr>
        <w:t>;</w:t>
      </w:r>
    </w:p>
    <w:p w14:paraId="68863FA1" w14:textId="6DC05588" w:rsidR="002C4AB2" w:rsidRPr="001041C5" w:rsidRDefault="003D15A5" w:rsidP="00F11ACA">
      <w:pPr>
        <w:numPr>
          <w:ilvl w:val="0"/>
          <w:numId w:val="17"/>
        </w:numPr>
        <w:rPr>
          <w:b/>
          <w:bCs/>
        </w:rPr>
      </w:pPr>
      <w:r w:rsidRPr="000A2FC8">
        <w:rPr>
          <w:bCs/>
        </w:rPr>
        <w:t xml:space="preserve">The </w:t>
      </w:r>
      <w:r>
        <w:rPr>
          <w:bCs/>
        </w:rPr>
        <w:t>member/enrollee</w:t>
      </w:r>
      <w:r w:rsidRPr="000A2FC8">
        <w:rPr>
          <w:bCs/>
        </w:rPr>
        <w:t xml:space="preserve"> fully understands the risks and benefits regarding the requested technology or treatment and has given informed consent</w:t>
      </w:r>
      <w:r w:rsidR="002C4AB2">
        <w:rPr>
          <w:bCs/>
        </w:rPr>
        <w:t>;</w:t>
      </w:r>
    </w:p>
    <w:p w14:paraId="2224D750" w14:textId="2D0D7203" w:rsidR="002C4AB2" w:rsidRPr="001041C5" w:rsidRDefault="002C4AB2" w:rsidP="002C4AB2">
      <w:pPr>
        <w:numPr>
          <w:ilvl w:val="0"/>
          <w:numId w:val="17"/>
        </w:numPr>
      </w:pPr>
      <w:r>
        <w:t>Technology is c</w:t>
      </w:r>
      <w:r w:rsidRPr="001041C5">
        <w:t>onsistent with the symptoms of diagnosis of the illness or injury under treatment</w:t>
      </w:r>
      <w:r>
        <w:t>;</w:t>
      </w:r>
    </w:p>
    <w:p w14:paraId="0C8D0902" w14:textId="1A4FAA62" w:rsidR="002C4AB2" w:rsidRPr="001041C5" w:rsidRDefault="002C4AB2" w:rsidP="002C4AB2">
      <w:pPr>
        <w:numPr>
          <w:ilvl w:val="0"/>
          <w:numId w:val="17"/>
        </w:numPr>
      </w:pPr>
      <w:r>
        <w:t>Technology is n</w:t>
      </w:r>
      <w:r w:rsidRPr="001041C5">
        <w:t>ot furnished primarily for the convenience of the patient, the provider or supplier;</w:t>
      </w:r>
    </w:p>
    <w:p w14:paraId="20DF8A7B" w14:textId="627B8120" w:rsidR="002C4AB2" w:rsidRPr="001041C5" w:rsidRDefault="002C4AB2" w:rsidP="002C4AB2">
      <w:pPr>
        <w:numPr>
          <w:ilvl w:val="0"/>
          <w:numId w:val="17"/>
        </w:numPr>
      </w:pPr>
      <w:r>
        <w:t>Technology is f</w:t>
      </w:r>
      <w:r w:rsidRPr="001041C5">
        <w:t>urnished at the most appropriate level of care that can be provided safely and effectively to the patient.</w:t>
      </w:r>
    </w:p>
    <w:p w14:paraId="465DADA7" w14:textId="77777777" w:rsidR="002C4AB2" w:rsidRDefault="002C4AB2" w:rsidP="002C4AB2">
      <w:pPr>
        <w:ind w:left="1080"/>
      </w:pPr>
    </w:p>
    <w:p w14:paraId="54FFF9AE" w14:textId="069E28C3" w:rsidR="002F12E5" w:rsidRDefault="002C4AB2" w:rsidP="001041C5">
      <w:pPr>
        <w:ind w:left="1080"/>
        <w:rPr>
          <w:bCs/>
        </w:rPr>
      </w:pPr>
      <w:r w:rsidRPr="001041C5">
        <w:rPr>
          <w:b/>
          <w:bCs/>
        </w:rPr>
        <w:t>Note:</w:t>
      </w:r>
      <w:r>
        <w:t xml:space="preserve"> The severity of the member/enrollee’s condition will be considered when evaluating the request. </w:t>
      </w:r>
    </w:p>
    <w:p w14:paraId="41EAB375" w14:textId="77777777" w:rsidR="002F12E5" w:rsidRDefault="002F12E5" w:rsidP="00D47E13">
      <w:pPr>
        <w:pStyle w:val="Heading2"/>
      </w:pPr>
    </w:p>
    <w:p w14:paraId="63F375EE" w14:textId="0A16BDD3" w:rsidR="002F12E5" w:rsidRPr="002F12E5" w:rsidRDefault="00CF1694" w:rsidP="00D47E13">
      <w:pPr>
        <w:pStyle w:val="Heading2"/>
        <w:rPr>
          <w:u w:val="none"/>
        </w:rPr>
      </w:pPr>
      <w:r>
        <w:rPr>
          <w:u w:val="none"/>
        </w:rPr>
        <w:t>Background</w:t>
      </w:r>
    </w:p>
    <w:p w14:paraId="3395B89A" w14:textId="48E89992" w:rsidR="002F12E5" w:rsidRPr="000A2FC8" w:rsidRDefault="00450E9B" w:rsidP="00D47E13">
      <w:pPr>
        <w:rPr>
          <w:bCs/>
        </w:rPr>
      </w:pPr>
      <w:r>
        <w:rPr>
          <w:bCs/>
        </w:rPr>
        <w:t>T</w:t>
      </w:r>
      <w:r w:rsidR="002F12E5" w:rsidRPr="000A2FC8">
        <w:rPr>
          <w:bCs/>
        </w:rPr>
        <w:t xml:space="preserve">he criteria </w:t>
      </w:r>
      <w:r w:rsidR="00CF1694">
        <w:rPr>
          <w:bCs/>
        </w:rPr>
        <w:t>in this policy</w:t>
      </w:r>
      <w:r w:rsidR="002F12E5" w:rsidRPr="000A2FC8">
        <w:rPr>
          <w:bCs/>
        </w:rPr>
        <w:t xml:space="preserve"> should be weighed when evaluating the medical necessity of a technology that is or may be experimental or investigational.</w:t>
      </w:r>
      <w:r w:rsidR="00D51963">
        <w:rPr>
          <w:bCs/>
        </w:rPr>
        <w:t xml:space="preserve"> </w:t>
      </w:r>
      <w:r w:rsidR="002F12E5" w:rsidRPr="000A2FC8">
        <w:rPr>
          <w:bCs/>
        </w:rPr>
        <w:t xml:space="preserve">Where medical necessity of a technology is confirmed under this policy, steps should be taken to ensure that the technology is furnished by a participating or in-state provider to the extent possible. </w:t>
      </w:r>
    </w:p>
    <w:p w14:paraId="166A711D" w14:textId="77777777" w:rsidR="002F12E5" w:rsidRDefault="002F12E5" w:rsidP="008770A5">
      <w:pPr>
        <w:tabs>
          <w:tab w:val="num" w:pos="360"/>
        </w:tabs>
        <w:ind w:left="360"/>
        <w:rPr>
          <w:bCs/>
        </w:rPr>
      </w:pPr>
    </w:p>
    <w:p w14:paraId="36D3749C" w14:textId="5223F559" w:rsidR="00CF2688" w:rsidRPr="000A2FC8" w:rsidRDefault="00CF2688" w:rsidP="00CF2688">
      <w:pPr>
        <w:rPr>
          <w:bCs/>
        </w:rPr>
      </w:pPr>
      <w:r w:rsidRPr="000A2FC8">
        <w:rPr>
          <w:bCs/>
        </w:rPr>
        <w:t>Under no circumstances is this policy to be construed as an a</w:t>
      </w:r>
      <w:r>
        <w:rPr>
          <w:bCs/>
        </w:rPr>
        <w:t>cknowledgement or acceptance by the Health Plans</w:t>
      </w:r>
      <w:r w:rsidRPr="000A2FC8">
        <w:rPr>
          <w:bCs/>
        </w:rPr>
        <w:t xml:space="preserve"> of any obligation to cover experimental or investigational technologies where such technologies are not included in the benefits set forth in the Benefit Plan Contract or by applicable state and federal requirements.</w:t>
      </w:r>
      <w:r>
        <w:rPr>
          <w:bCs/>
        </w:rPr>
        <w:t xml:space="preserve"> The Plan</w:t>
      </w:r>
      <w:r w:rsidRPr="000A2FC8">
        <w:rPr>
          <w:bCs/>
        </w:rPr>
        <w:t xml:space="preserve"> reserve</w:t>
      </w:r>
      <w:r>
        <w:rPr>
          <w:bCs/>
        </w:rPr>
        <w:t>s</w:t>
      </w:r>
      <w:r w:rsidRPr="000A2FC8">
        <w:rPr>
          <w:bCs/>
        </w:rPr>
        <w:t xml:space="preserve"> the right to refuse coverage of an experimental or investigational technology on the grounds that such coverage is not required under the </w:t>
      </w:r>
      <w:r>
        <w:rPr>
          <w:bCs/>
        </w:rPr>
        <w:t>member/enrollee’s</w:t>
      </w:r>
      <w:r w:rsidRPr="000A2FC8">
        <w:rPr>
          <w:bCs/>
        </w:rPr>
        <w:t xml:space="preserve"> benefit plan.</w:t>
      </w:r>
      <w:r>
        <w:rPr>
          <w:bCs/>
        </w:rPr>
        <w:t xml:space="preserve"> </w:t>
      </w:r>
      <w:r w:rsidRPr="000A2FC8">
        <w:rPr>
          <w:bCs/>
        </w:rPr>
        <w:t>Approval of an experimental technology with respect to a particular case does not guarantee coverage of the same technology with respect to any other cases</w:t>
      </w:r>
      <w:r w:rsidR="00EB2748" w:rsidRPr="000A2FC8">
        <w:rPr>
          <w:bCs/>
        </w:rPr>
        <w:t xml:space="preserve">. </w:t>
      </w:r>
    </w:p>
    <w:p w14:paraId="7AF7D09D" w14:textId="77777777" w:rsidR="00CF2688" w:rsidRDefault="00CF2688"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370"/>
        <w:gridCol w:w="8"/>
        <w:gridCol w:w="1072"/>
        <w:gridCol w:w="1198"/>
      </w:tblGrid>
      <w:tr w:rsidR="00B777AF" w:rsidRPr="00B777AF" w14:paraId="709AAE9B" w14:textId="77777777" w:rsidTr="001E57D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378" w:type="dxa"/>
            <w:gridSpan w:val="2"/>
            <w:tcBorders>
              <w:left w:val="none" w:sz="0" w:space="0" w:color="auto"/>
              <w:right w:val="none" w:sz="0" w:space="0" w:color="auto"/>
            </w:tcBorders>
            <w:shd w:val="clear" w:color="auto" w:fill="00548C"/>
          </w:tcPr>
          <w:p w14:paraId="0192BD96" w14:textId="77777777" w:rsidR="00B777AF" w:rsidRPr="00B777AF" w:rsidRDefault="00B777AF" w:rsidP="00B777AF">
            <w:pPr>
              <w:rPr>
                <w:bCs w:val="0"/>
              </w:rPr>
            </w:pPr>
            <w:bookmarkStart w:id="0" w:name="Revision_Log"/>
            <w:r w:rsidRPr="00B777AF">
              <w:rPr>
                <w:bCs w:val="0"/>
              </w:rPr>
              <w:t>Reviews</w:t>
            </w:r>
            <w:r>
              <w:rPr>
                <w:bCs w:val="0"/>
              </w:rPr>
              <w:t>, Revisions, and Approvals</w:t>
            </w:r>
            <w:bookmarkEnd w:id="0"/>
          </w:p>
        </w:tc>
        <w:tc>
          <w:tcPr>
            <w:tcW w:w="1072" w:type="dxa"/>
            <w:shd w:val="clear" w:color="auto" w:fill="00548C"/>
          </w:tcPr>
          <w:p w14:paraId="55CD8113" w14:textId="77777777" w:rsidR="00010EA1" w:rsidRDefault="00010EA1" w:rsidP="005776FD">
            <w:pPr>
              <w:jc w:val="center"/>
              <w:cnfStyle w:val="100000000000" w:firstRow="1" w:lastRow="0" w:firstColumn="0" w:lastColumn="0" w:oddVBand="0" w:evenVBand="0" w:oddHBand="0" w:evenHBand="0" w:firstRowFirstColumn="0" w:firstRowLastColumn="0" w:lastRowFirstColumn="0" w:lastRowLastColumn="0"/>
              <w:rPr>
                <w:b w:val="0"/>
              </w:rPr>
            </w:pPr>
            <w:r>
              <w:rPr>
                <w:bCs w:val="0"/>
              </w:rPr>
              <w:t>Revision</w:t>
            </w:r>
          </w:p>
          <w:p w14:paraId="757FE666" w14:textId="5E2F4095"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198" w:type="dxa"/>
            <w:tcBorders>
              <w:left w:val="none" w:sz="0" w:space="0" w:color="auto"/>
              <w:right w:val="none" w:sz="0" w:space="0" w:color="auto"/>
            </w:tcBorders>
            <w:shd w:val="clear" w:color="auto" w:fill="00548C"/>
          </w:tcPr>
          <w:p w14:paraId="46B6DF20"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E06F54" w14:paraId="5A4794FA" w14:textId="77777777" w:rsidTr="001E57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8" w:type="dxa"/>
            <w:gridSpan w:val="2"/>
          </w:tcPr>
          <w:p w14:paraId="7929644B" w14:textId="77777777" w:rsidR="00E06F54" w:rsidRDefault="00E06F54" w:rsidP="00FC427D">
            <w:pPr>
              <w:tabs>
                <w:tab w:val="num" w:pos="720"/>
              </w:tabs>
            </w:pPr>
            <w:r>
              <w:t>Initial effective date.</w:t>
            </w:r>
          </w:p>
        </w:tc>
        <w:tc>
          <w:tcPr>
            <w:tcW w:w="1072" w:type="dxa"/>
          </w:tcPr>
          <w:p w14:paraId="43F99858" w14:textId="77777777" w:rsidR="00E06F54" w:rsidRDefault="00E06F54" w:rsidP="005776FD">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98" w:type="dxa"/>
          </w:tcPr>
          <w:p w14:paraId="59562EA0" w14:textId="77777777" w:rsidR="00E06F54" w:rsidRDefault="00E06F54" w:rsidP="00857C10">
            <w:pPr>
              <w:jc w:val="center"/>
            </w:pPr>
            <w:r>
              <w:t>06/09</w:t>
            </w:r>
          </w:p>
        </w:tc>
      </w:tr>
      <w:tr w:rsidR="00F138C4" w14:paraId="4E73616B" w14:textId="77777777" w:rsidTr="001E57D5">
        <w:tc>
          <w:tcPr>
            <w:cnfStyle w:val="000010000000" w:firstRow="0" w:lastRow="0" w:firstColumn="0" w:lastColumn="0" w:oddVBand="1" w:evenVBand="0" w:oddHBand="0" w:evenHBand="0" w:firstRowFirstColumn="0" w:firstRowLastColumn="0" w:lastRowFirstColumn="0" w:lastRowLastColumn="0"/>
            <w:tcW w:w="7378" w:type="dxa"/>
            <w:gridSpan w:val="2"/>
          </w:tcPr>
          <w:p w14:paraId="59E955ED" w14:textId="77777777" w:rsidR="00F138C4" w:rsidRDefault="00BF70D2" w:rsidP="00B806EE">
            <w:pPr>
              <w:tabs>
                <w:tab w:val="num" w:pos="720"/>
              </w:tabs>
            </w:pPr>
            <w:r>
              <w:t xml:space="preserve">Removed duplicative statement in Criteria A. regarding request for clinical trials. </w:t>
            </w:r>
            <w:r w:rsidR="00F138C4">
              <w:t>References reviewed and updated. Replaced all instances of member with “member/enrollee</w:t>
            </w:r>
            <w:r w:rsidR="00B806EE">
              <w:t>.</w:t>
            </w:r>
            <w:r w:rsidR="00F138C4">
              <w:t>”</w:t>
            </w:r>
          </w:p>
        </w:tc>
        <w:tc>
          <w:tcPr>
            <w:tcW w:w="1072" w:type="dxa"/>
          </w:tcPr>
          <w:p w14:paraId="6792562A" w14:textId="77777777" w:rsidR="00F138C4" w:rsidRDefault="00F138C4" w:rsidP="005776FD">
            <w:pPr>
              <w:jc w:val="center"/>
              <w:cnfStyle w:val="000000000000" w:firstRow="0" w:lastRow="0" w:firstColumn="0" w:lastColumn="0" w:oddVBand="0" w:evenVBand="0" w:oddHBand="0" w:evenHBand="0" w:firstRowFirstColumn="0" w:firstRowLastColumn="0" w:lastRowFirstColumn="0" w:lastRowLastColumn="0"/>
            </w:pPr>
            <w:r>
              <w:t>04/21</w:t>
            </w:r>
          </w:p>
        </w:tc>
        <w:tc>
          <w:tcPr>
            <w:cnfStyle w:val="000010000000" w:firstRow="0" w:lastRow="0" w:firstColumn="0" w:lastColumn="0" w:oddVBand="1" w:evenVBand="0" w:oddHBand="0" w:evenHBand="0" w:firstRowFirstColumn="0" w:firstRowLastColumn="0" w:lastRowFirstColumn="0" w:lastRowLastColumn="0"/>
            <w:tcW w:w="1198" w:type="dxa"/>
          </w:tcPr>
          <w:p w14:paraId="740066C4" w14:textId="77777777" w:rsidR="00F138C4" w:rsidRDefault="00EF19CC" w:rsidP="00857C10">
            <w:pPr>
              <w:jc w:val="center"/>
            </w:pPr>
            <w:r>
              <w:t>04/21</w:t>
            </w:r>
          </w:p>
        </w:tc>
      </w:tr>
      <w:tr w:rsidR="00010EA1" w14:paraId="353245F7" w14:textId="77777777" w:rsidTr="001E57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8" w:type="dxa"/>
            <w:gridSpan w:val="2"/>
          </w:tcPr>
          <w:p w14:paraId="0B42E539" w14:textId="6F1760A9" w:rsidR="00010EA1" w:rsidRDefault="00010EA1" w:rsidP="00B806EE">
            <w:pPr>
              <w:tabs>
                <w:tab w:val="num" w:pos="720"/>
              </w:tabs>
            </w:pPr>
            <w:r w:rsidRPr="00010EA1">
              <w:t>Annual review. Changed “review date” in the header to “date of last revision” and “date” in the revision log header to “revision date.”</w:t>
            </w:r>
            <w:r>
              <w:t xml:space="preserve"> </w:t>
            </w:r>
            <w:r w:rsidRPr="00010EA1">
              <w:t>References reviewed, updated and reformatted.</w:t>
            </w:r>
            <w:r>
              <w:t xml:space="preserve"> </w:t>
            </w:r>
          </w:p>
        </w:tc>
        <w:tc>
          <w:tcPr>
            <w:tcW w:w="1072" w:type="dxa"/>
          </w:tcPr>
          <w:p w14:paraId="20606DB0" w14:textId="056F4ACE" w:rsidR="00010EA1" w:rsidRDefault="00010EA1" w:rsidP="005776FD">
            <w:pPr>
              <w:jc w:val="center"/>
              <w:cnfStyle w:val="000000100000" w:firstRow="0" w:lastRow="0" w:firstColumn="0" w:lastColumn="0" w:oddVBand="0" w:evenVBand="0" w:oddHBand="1" w:evenHBand="0" w:firstRowFirstColumn="0" w:firstRowLastColumn="0" w:lastRowFirstColumn="0" w:lastRowLastColumn="0"/>
            </w:pPr>
            <w:r>
              <w:t>02/22</w:t>
            </w:r>
          </w:p>
        </w:tc>
        <w:tc>
          <w:tcPr>
            <w:cnfStyle w:val="000010000000" w:firstRow="0" w:lastRow="0" w:firstColumn="0" w:lastColumn="0" w:oddVBand="1" w:evenVBand="0" w:oddHBand="0" w:evenHBand="0" w:firstRowFirstColumn="0" w:firstRowLastColumn="0" w:lastRowFirstColumn="0" w:lastRowLastColumn="0"/>
            <w:tcW w:w="1198" w:type="dxa"/>
          </w:tcPr>
          <w:p w14:paraId="2E5CB255" w14:textId="335B7D15" w:rsidR="00010EA1" w:rsidRDefault="009E7D37" w:rsidP="00857C10">
            <w:pPr>
              <w:jc w:val="center"/>
            </w:pPr>
            <w:r>
              <w:t>02/22</w:t>
            </w:r>
          </w:p>
        </w:tc>
      </w:tr>
      <w:tr w:rsidR="002C4AB2" w:rsidRPr="000A4D77" w14:paraId="7B36BFF5" w14:textId="77777777" w:rsidTr="001E57D5">
        <w:trPr>
          <w:trHeight w:val="331"/>
        </w:trPr>
        <w:tc>
          <w:tcPr>
            <w:cnfStyle w:val="000010000000" w:firstRow="0" w:lastRow="0" w:firstColumn="0" w:lastColumn="0" w:oddVBand="1" w:evenVBand="0" w:oddHBand="0" w:evenHBand="0" w:firstRowFirstColumn="0" w:firstRowLastColumn="0" w:lastRowFirstColumn="0" w:lastRowLastColumn="0"/>
            <w:tcW w:w="7370" w:type="dxa"/>
          </w:tcPr>
          <w:p w14:paraId="4B5F273B" w14:textId="2C2F5593" w:rsidR="004213F6" w:rsidRPr="004B65B6" w:rsidRDefault="00F20C10" w:rsidP="00B806EE">
            <w:pPr>
              <w:tabs>
                <w:tab w:val="num" w:pos="720"/>
              </w:tabs>
            </w:pPr>
            <w:r w:rsidRPr="001041C5">
              <w:t xml:space="preserve">Annual review. </w:t>
            </w:r>
            <w:r w:rsidR="00DE132A" w:rsidRPr="001041C5">
              <w:t>Clarif</w:t>
            </w:r>
            <w:r w:rsidR="009B7B19" w:rsidRPr="001041C5">
              <w:t xml:space="preserve">ying </w:t>
            </w:r>
            <w:r w:rsidR="00DE132A" w:rsidRPr="001041C5">
              <w:t xml:space="preserve">changes made </w:t>
            </w:r>
            <w:r w:rsidR="001041C5">
              <w:t>to d</w:t>
            </w:r>
            <w:r w:rsidR="00DE132A" w:rsidRPr="001041C5">
              <w:t>escription</w:t>
            </w:r>
            <w:r w:rsidR="00501872" w:rsidRPr="001041C5">
              <w:t xml:space="preserve"> </w:t>
            </w:r>
            <w:r w:rsidR="001041C5">
              <w:t>and notes</w:t>
            </w:r>
            <w:r w:rsidR="00501872" w:rsidRPr="001041C5">
              <w:t xml:space="preserve">. </w:t>
            </w:r>
            <w:r w:rsidR="001041C5">
              <w:t xml:space="preserve">Policy statement updated to require both of the following, A. and B. </w:t>
            </w:r>
            <w:r w:rsidR="0037197F" w:rsidRPr="001041C5">
              <w:t>Criteri</w:t>
            </w:r>
            <w:r w:rsidR="002C1412" w:rsidRPr="001041C5">
              <w:t>a</w:t>
            </w:r>
            <w:r w:rsidR="00A476FE" w:rsidRPr="001041C5">
              <w:t xml:space="preserve"> describing technology for experimental or investigational,</w:t>
            </w:r>
            <w:r w:rsidR="003D21F6" w:rsidRPr="001041C5">
              <w:t xml:space="preserve"> originally under </w:t>
            </w:r>
            <w:r w:rsidR="002C1412" w:rsidRPr="001041C5">
              <w:t>A-C</w:t>
            </w:r>
            <w:r w:rsidR="007D1387" w:rsidRPr="001041C5">
              <w:t>,</w:t>
            </w:r>
            <w:r w:rsidR="002C1412" w:rsidRPr="001041C5">
              <w:t xml:space="preserve"> is now I.A.1 and 2</w:t>
            </w:r>
            <w:r w:rsidR="007D1387" w:rsidRPr="001041C5">
              <w:t>.</w:t>
            </w:r>
            <w:r w:rsidR="00F47DD0" w:rsidRPr="001041C5">
              <w:t xml:space="preserve"> </w:t>
            </w:r>
            <w:r w:rsidR="004F088D" w:rsidRPr="001041C5">
              <w:t xml:space="preserve"> Statement “It does not have final clearance…</w:t>
            </w:r>
            <w:r w:rsidR="00C056E8" w:rsidRPr="001041C5">
              <w:t xml:space="preserve">and credible evaluation.” </w:t>
            </w:r>
            <w:r w:rsidR="009430B0" w:rsidRPr="001041C5">
              <w:t>w</w:t>
            </w:r>
            <w:r w:rsidR="00C056E8" w:rsidRPr="001041C5">
              <w:t>as removed.</w:t>
            </w:r>
            <w:r w:rsidR="009430B0" w:rsidRPr="001041C5">
              <w:t xml:space="preserve"> Medical necessity</w:t>
            </w:r>
            <w:r w:rsidR="00371C37" w:rsidRPr="001041C5">
              <w:t xml:space="preserve"> for technology </w:t>
            </w:r>
            <w:r w:rsidR="00A34A1C" w:rsidRPr="001041C5">
              <w:t xml:space="preserve">has been restructured </w:t>
            </w:r>
            <w:r w:rsidR="00137171" w:rsidRPr="001041C5">
              <w:t>and indicated under I.B.1</w:t>
            </w:r>
            <w:r w:rsidR="001D3C41">
              <w:t xml:space="preserve"> thr</w:t>
            </w:r>
            <w:r w:rsidR="001041C5">
              <w:t>ough</w:t>
            </w:r>
            <w:r w:rsidR="000D6E81">
              <w:t xml:space="preserve"> </w:t>
            </w:r>
            <w:r w:rsidR="00137171" w:rsidRPr="001041C5">
              <w:t xml:space="preserve">10. </w:t>
            </w:r>
            <w:r w:rsidR="001041C5">
              <w:t>Removed</w:t>
            </w:r>
            <w:r w:rsidR="00C30E34" w:rsidRPr="001041C5">
              <w:t xml:space="preserve"> “</w:t>
            </w:r>
            <w:r w:rsidR="001041C5">
              <w:t>t</w:t>
            </w:r>
            <w:r w:rsidR="00C30E34" w:rsidRPr="001041C5">
              <w:t>he technology should be used</w:t>
            </w:r>
            <w:r w:rsidR="00CC02CA" w:rsidRPr="001041C5">
              <w:t>…. life</w:t>
            </w:r>
            <w:r w:rsidR="00C30E34" w:rsidRPr="001041C5">
              <w:t>-threatening condition</w:t>
            </w:r>
            <w:r w:rsidR="00854B26" w:rsidRPr="001041C5">
              <w:t>.”</w:t>
            </w:r>
            <w:r w:rsidR="00137171" w:rsidRPr="001041C5">
              <w:t xml:space="preserve"> </w:t>
            </w:r>
            <w:r w:rsidR="001041C5">
              <w:t>Added c</w:t>
            </w:r>
            <w:r w:rsidR="003B1381" w:rsidRPr="001041C5">
              <w:t xml:space="preserve">riteria points </w:t>
            </w:r>
            <w:r w:rsidR="00CB3559" w:rsidRPr="001041C5">
              <w:t xml:space="preserve">B.8.-10. </w:t>
            </w:r>
            <w:r w:rsidR="001041C5">
              <w:t xml:space="preserve">Added note regarding severity of condition being considered as part of request. </w:t>
            </w:r>
            <w:r w:rsidR="001041C5" w:rsidRPr="001041C5">
              <w:t>References reviewed and updated. Internal specialist review completed</w:t>
            </w:r>
            <w:r w:rsidR="00EB2748" w:rsidRPr="001041C5">
              <w:t xml:space="preserve">. </w:t>
            </w:r>
          </w:p>
        </w:tc>
        <w:tc>
          <w:tcPr>
            <w:tcW w:w="1080" w:type="dxa"/>
            <w:gridSpan w:val="2"/>
          </w:tcPr>
          <w:p w14:paraId="1C70EC16" w14:textId="7B4BBCF9" w:rsidR="004213F6" w:rsidRPr="000A4D77" w:rsidRDefault="000A4D77" w:rsidP="005776FD">
            <w:pPr>
              <w:jc w:val="center"/>
              <w:cnfStyle w:val="000000000000" w:firstRow="0" w:lastRow="0" w:firstColumn="0" w:lastColumn="0" w:oddVBand="0" w:evenVBand="0" w:oddHBand="0" w:evenHBand="0" w:firstRowFirstColumn="0" w:firstRowLastColumn="0" w:lastRowFirstColumn="0" w:lastRowLastColumn="0"/>
            </w:pPr>
            <w:r>
              <w:t>0</w:t>
            </w:r>
            <w:r w:rsidR="004B65B6">
              <w:t>2</w:t>
            </w:r>
            <w:r>
              <w:t>/23</w:t>
            </w:r>
          </w:p>
        </w:tc>
        <w:tc>
          <w:tcPr>
            <w:cnfStyle w:val="000010000000" w:firstRow="0" w:lastRow="0" w:firstColumn="0" w:lastColumn="0" w:oddVBand="1" w:evenVBand="0" w:oddHBand="0" w:evenHBand="0" w:firstRowFirstColumn="0" w:firstRowLastColumn="0" w:lastRowFirstColumn="0" w:lastRowLastColumn="0"/>
            <w:tcW w:w="1198" w:type="dxa"/>
          </w:tcPr>
          <w:p w14:paraId="331DBFD1" w14:textId="222E16B3" w:rsidR="004213F6" w:rsidRPr="000A4D77" w:rsidRDefault="00CA1299" w:rsidP="00857C10">
            <w:pPr>
              <w:jc w:val="center"/>
            </w:pPr>
            <w:r>
              <w:t>02/23</w:t>
            </w:r>
          </w:p>
        </w:tc>
      </w:tr>
      <w:tr w:rsidR="00E828D8" w:rsidRPr="000A4D77" w14:paraId="55D50550" w14:textId="77777777" w:rsidTr="001E57D5">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7370" w:type="dxa"/>
          </w:tcPr>
          <w:p w14:paraId="36991AA1" w14:textId="63609B34" w:rsidR="00E828D8" w:rsidRPr="001041C5" w:rsidRDefault="00AB2392" w:rsidP="00B806EE">
            <w:pPr>
              <w:tabs>
                <w:tab w:val="num" w:pos="720"/>
              </w:tabs>
            </w:pPr>
            <w:r w:rsidRPr="00AB2392">
              <w:t>Annual review. Updated background with no clinical significance. References reviewed and updated.</w:t>
            </w:r>
          </w:p>
        </w:tc>
        <w:tc>
          <w:tcPr>
            <w:tcW w:w="1080" w:type="dxa"/>
            <w:gridSpan w:val="2"/>
          </w:tcPr>
          <w:p w14:paraId="2A9F51F4" w14:textId="5AE9D0F2" w:rsidR="00E828D8" w:rsidRDefault="00E828D8" w:rsidP="005776FD">
            <w:pPr>
              <w:jc w:val="center"/>
              <w:cnfStyle w:val="000000100000" w:firstRow="0" w:lastRow="0" w:firstColumn="0" w:lastColumn="0" w:oddVBand="0" w:evenVBand="0" w:oddHBand="1" w:evenHBand="0" w:firstRowFirstColumn="0" w:firstRowLastColumn="0" w:lastRowFirstColumn="0" w:lastRowLastColumn="0"/>
            </w:pPr>
            <w:r>
              <w:t>02/24</w:t>
            </w:r>
          </w:p>
        </w:tc>
        <w:tc>
          <w:tcPr>
            <w:cnfStyle w:val="000010000000" w:firstRow="0" w:lastRow="0" w:firstColumn="0" w:lastColumn="0" w:oddVBand="1" w:evenVBand="0" w:oddHBand="0" w:evenHBand="0" w:firstRowFirstColumn="0" w:firstRowLastColumn="0" w:lastRowFirstColumn="0" w:lastRowLastColumn="0"/>
            <w:tcW w:w="1198" w:type="dxa"/>
          </w:tcPr>
          <w:p w14:paraId="3D17D1B6" w14:textId="24B6002F" w:rsidR="00E828D8" w:rsidRDefault="005D2707" w:rsidP="00857C10">
            <w:pPr>
              <w:jc w:val="center"/>
            </w:pPr>
            <w:r>
              <w:t>02/24</w:t>
            </w:r>
          </w:p>
        </w:tc>
      </w:tr>
      <w:tr w:rsidR="005D2707" w:rsidRPr="000A4D77" w14:paraId="7866D789" w14:textId="77777777" w:rsidTr="001E57D5">
        <w:trPr>
          <w:trHeight w:val="331"/>
        </w:trPr>
        <w:tc>
          <w:tcPr>
            <w:cnfStyle w:val="000010000000" w:firstRow="0" w:lastRow="0" w:firstColumn="0" w:lastColumn="0" w:oddVBand="1" w:evenVBand="0" w:oddHBand="0" w:evenHBand="0" w:firstRowFirstColumn="0" w:firstRowLastColumn="0" w:lastRowFirstColumn="0" w:lastRowLastColumn="0"/>
            <w:tcW w:w="7370" w:type="dxa"/>
          </w:tcPr>
          <w:p w14:paraId="1DCB2AFE" w14:textId="7C54DBBF" w:rsidR="005D2707" w:rsidRPr="00AB2392" w:rsidRDefault="005D2707" w:rsidP="00B806EE">
            <w:pPr>
              <w:tabs>
                <w:tab w:val="num" w:pos="720"/>
              </w:tabs>
            </w:pPr>
            <w:r>
              <w:t>Noted in the policy statement I. that the policy applies to health plans affiliated with Centene Advanced Behavioral Health as well.</w:t>
            </w:r>
          </w:p>
        </w:tc>
        <w:tc>
          <w:tcPr>
            <w:tcW w:w="1080" w:type="dxa"/>
            <w:gridSpan w:val="2"/>
          </w:tcPr>
          <w:p w14:paraId="163D19AF" w14:textId="67C31FB2" w:rsidR="005D2707" w:rsidRDefault="005D2707" w:rsidP="005776FD">
            <w:pPr>
              <w:jc w:val="center"/>
              <w:cnfStyle w:val="000000000000" w:firstRow="0" w:lastRow="0" w:firstColumn="0" w:lastColumn="0" w:oddVBand="0" w:evenVBand="0" w:oddHBand="0" w:evenHBand="0" w:firstRowFirstColumn="0" w:firstRowLastColumn="0" w:lastRowFirstColumn="0" w:lastRowLastColumn="0"/>
            </w:pPr>
            <w:r>
              <w:t>03/24</w:t>
            </w:r>
          </w:p>
        </w:tc>
        <w:tc>
          <w:tcPr>
            <w:cnfStyle w:val="000010000000" w:firstRow="0" w:lastRow="0" w:firstColumn="0" w:lastColumn="0" w:oddVBand="1" w:evenVBand="0" w:oddHBand="0" w:evenHBand="0" w:firstRowFirstColumn="0" w:firstRowLastColumn="0" w:lastRowFirstColumn="0" w:lastRowLastColumn="0"/>
            <w:tcW w:w="1198" w:type="dxa"/>
          </w:tcPr>
          <w:p w14:paraId="410F0605" w14:textId="317801DC" w:rsidR="005D2707" w:rsidRDefault="00464369" w:rsidP="00857C10">
            <w:pPr>
              <w:jc w:val="center"/>
            </w:pPr>
            <w:r>
              <w:t>03/24</w:t>
            </w:r>
          </w:p>
        </w:tc>
      </w:tr>
      <w:tr w:rsidR="00CB7F0C" w:rsidRPr="000A4D77" w14:paraId="59D85F34" w14:textId="77777777" w:rsidTr="001E57D5">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7370" w:type="dxa"/>
          </w:tcPr>
          <w:p w14:paraId="091C1E16" w14:textId="76C0865B" w:rsidR="00CB7F0C" w:rsidRDefault="0076329E" w:rsidP="00B806EE">
            <w:pPr>
              <w:tabs>
                <w:tab w:val="num" w:pos="720"/>
              </w:tabs>
            </w:pPr>
            <w:r>
              <w:t xml:space="preserve">Annual review. </w:t>
            </w:r>
            <w:r w:rsidR="00A14F04" w:rsidRPr="00A14F04">
              <w:t>Minor grammatical changes added to Criteria I.A.2. and Criteria I.b</w:t>
            </w:r>
            <w:r w:rsidR="00EA25CA">
              <w:t>B</w:t>
            </w:r>
            <w:r w:rsidR="00A14F04" w:rsidRPr="00A14F04">
              <w:t>.1.</w:t>
            </w:r>
            <w:r w:rsidR="00A14F04">
              <w:t xml:space="preserve"> </w:t>
            </w:r>
            <w:r w:rsidR="003A2A51" w:rsidRPr="003A2A51">
              <w:t>In Note section after Criteria I.B.2., added example of Hayes as an evaluation body.</w:t>
            </w:r>
            <w:r w:rsidR="003A2A51">
              <w:t xml:space="preserve"> </w:t>
            </w:r>
            <w:r w:rsidR="00A14F04">
              <w:t xml:space="preserve">References reviewed and updated. </w:t>
            </w:r>
            <w:r w:rsidR="00CB7F0C" w:rsidRPr="00A14F04">
              <w:t xml:space="preserve">Reviewed by </w:t>
            </w:r>
            <w:r w:rsidR="009118E0">
              <w:t>intern</w:t>
            </w:r>
            <w:r w:rsidR="00CB7F0C" w:rsidRPr="00A14F04">
              <w:t>al specialist</w:t>
            </w:r>
            <w:r w:rsidR="00A14F04">
              <w:t>.</w:t>
            </w:r>
          </w:p>
        </w:tc>
        <w:tc>
          <w:tcPr>
            <w:tcW w:w="1080" w:type="dxa"/>
            <w:gridSpan w:val="2"/>
          </w:tcPr>
          <w:p w14:paraId="16BAEA31" w14:textId="3238F265" w:rsidR="00CB7F0C" w:rsidRDefault="00CB7F0C" w:rsidP="005776FD">
            <w:pPr>
              <w:jc w:val="center"/>
              <w:cnfStyle w:val="000000100000" w:firstRow="0" w:lastRow="0" w:firstColumn="0" w:lastColumn="0" w:oddVBand="0" w:evenVBand="0" w:oddHBand="1" w:evenHBand="0" w:firstRowFirstColumn="0" w:firstRowLastColumn="0" w:lastRowFirstColumn="0" w:lastRowLastColumn="0"/>
            </w:pPr>
            <w:r>
              <w:t>01/25</w:t>
            </w:r>
          </w:p>
        </w:tc>
        <w:tc>
          <w:tcPr>
            <w:cnfStyle w:val="000010000000" w:firstRow="0" w:lastRow="0" w:firstColumn="0" w:lastColumn="0" w:oddVBand="1" w:evenVBand="0" w:oddHBand="0" w:evenHBand="0" w:firstRowFirstColumn="0" w:firstRowLastColumn="0" w:lastRowFirstColumn="0" w:lastRowLastColumn="0"/>
            <w:tcW w:w="1198" w:type="dxa"/>
          </w:tcPr>
          <w:p w14:paraId="1BB7161F" w14:textId="73E5A510" w:rsidR="00CB7F0C" w:rsidRDefault="007F7783" w:rsidP="00857C10">
            <w:pPr>
              <w:jc w:val="center"/>
            </w:pPr>
            <w:r>
              <w:t>01/25</w:t>
            </w:r>
          </w:p>
        </w:tc>
      </w:tr>
      <w:tr w:rsidR="007C35DC" w:rsidRPr="000A4D77" w14:paraId="5BAF7D08" w14:textId="77777777" w:rsidTr="001E57D5">
        <w:trPr>
          <w:trHeight w:val="331"/>
        </w:trPr>
        <w:tc>
          <w:tcPr>
            <w:cnfStyle w:val="000010000000" w:firstRow="0" w:lastRow="0" w:firstColumn="0" w:lastColumn="0" w:oddVBand="1" w:evenVBand="0" w:oddHBand="0" w:evenHBand="0" w:firstRowFirstColumn="0" w:firstRowLastColumn="0" w:lastRowFirstColumn="0" w:lastRowLastColumn="0"/>
            <w:tcW w:w="7370" w:type="dxa"/>
          </w:tcPr>
          <w:p w14:paraId="3B5AF829" w14:textId="09AA7483" w:rsidR="007C35DC" w:rsidRDefault="007C35DC" w:rsidP="00B806EE">
            <w:pPr>
              <w:tabs>
                <w:tab w:val="num" w:pos="720"/>
              </w:tabs>
            </w:pPr>
            <w:r>
              <w:t>Removed “Centene Advanced Behavioral Health” from policy statement in I.</w:t>
            </w:r>
          </w:p>
        </w:tc>
        <w:tc>
          <w:tcPr>
            <w:tcW w:w="1080" w:type="dxa"/>
            <w:gridSpan w:val="2"/>
          </w:tcPr>
          <w:p w14:paraId="2BEEFF0F" w14:textId="5BC45A12" w:rsidR="007C35DC" w:rsidRDefault="007C35DC" w:rsidP="005776FD">
            <w:pPr>
              <w:jc w:val="center"/>
              <w:cnfStyle w:val="000000000000" w:firstRow="0" w:lastRow="0" w:firstColumn="0" w:lastColumn="0" w:oddVBand="0" w:evenVBand="0" w:oddHBand="0" w:evenHBand="0" w:firstRowFirstColumn="0" w:firstRowLastColumn="0" w:lastRowFirstColumn="0" w:lastRowLastColumn="0"/>
            </w:pPr>
            <w:r>
              <w:t>08/25</w:t>
            </w:r>
          </w:p>
        </w:tc>
        <w:tc>
          <w:tcPr>
            <w:cnfStyle w:val="000010000000" w:firstRow="0" w:lastRow="0" w:firstColumn="0" w:lastColumn="0" w:oddVBand="1" w:evenVBand="0" w:oddHBand="0" w:evenHBand="0" w:firstRowFirstColumn="0" w:firstRowLastColumn="0" w:lastRowFirstColumn="0" w:lastRowLastColumn="0"/>
            <w:tcW w:w="1198" w:type="dxa"/>
          </w:tcPr>
          <w:p w14:paraId="0ABBA4D7" w14:textId="6034B0BF" w:rsidR="007C35DC" w:rsidRDefault="007C35DC" w:rsidP="00857C10">
            <w:pPr>
              <w:jc w:val="center"/>
            </w:pPr>
          </w:p>
        </w:tc>
      </w:tr>
    </w:tbl>
    <w:p w14:paraId="3B6D1539" w14:textId="77777777" w:rsidR="00B777AF" w:rsidRDefault="00B777AF" w:rsidP="00B777AF">
      <w:pPr>
        <w:pStyle w:val="Heading6"/>
        <w:tabs>
          <w:tab w:val="clear" w:pos="0"/>
        </w:tabs>
      </w:pPr>
    </w:p>
    <w:p w14:paraId="62D3ECE5" w14:textId="77777777" w:rsidR="00963062" w:rsidRPr="00B777AF" w:rsidRDefault="008770A5" w:rsidP="00963062">
      <w:pPr>
        <w:pStyle w:val="Heading3"/>
      </w:pPr>
      <w:r>
        <w:t>References</w:t>
      </w:r>
    </w:p>
    <w:p w14:paraId="7733E814" w14:textId="0C0B46C7" w:rsidR="002F12E5" w:rsidRPr="00786D03" w:rsidRDefault="002F12E5" w:rsidP="00054880">
      <w:pPr>
        <w:pStyle w:val="ListParagraph"/>
        <w:numPr>
          <w:ilvl w:val="0"/>
          <w:numId w:val="12"/>
        </w:numPr>
        <w:rPr>
          <w:bCs/>
        </w:rPr>
      </w:pPr>
      <w:r w:rsidRPr="00786D03">
        <w:rPr>
          <w:bCs/>
        </w:rPr>
        <w:t>Bischel, MD. Medical review criteria guidelines for managing care.</w:t>
      </w:r>
      <w:r w:rsidR="00F641D7" w:rsidRPr="00786D03">
        <w:rPr>
          <w:bCs/>
        </w:rPr>
        <w:t xml:space="preserve"> </w:t>
      </w:r>
      <w:r w:rsidR="006A0796" w:rsidRPr="00786D03">
        <w:rPr>
          <w:bCs/>
        </w:rPr>
        <w:t xml:space="preserve">12th edition. </w:t>
      </w:r>
      <w:r w:rsidRPr="00786D03">
        <w:rPr>
          <w:bCs/>
        </w:rPr>
        <w:t>Apollo Managed Care Consultants. 2013.</w:t>
      </w:r>
      <w:r w:rsidR="00641DF1" w:rsidRPr="00786D03">
        <w:rPr>
          <w:bCs/>
        </w:rPr>
        <w:t xml:space="preserve"> </w:t>
      </w:r>
    </w:p>
    <w:p w14:paraId="1D5B2DC5" w14:textId="1601EE62" w:rsidR="002F12E5" w:rsidRPr="00786D03" w:rsidRDefault="003D6627" w:rsidP="003D6627">
      <w:pPr>
        <w:pStyle w:val="ListParagraph"/>
        <w:numPr>
          <w:ilvl w:val="0"/>
          <w:numId w:val="12"/>
        </w:numPr>
        <w:rPr>
          <w:bCs/>
        </w:rPr>
      </w:pPr>
      <w:r w:rsidRPr="00786D03">
        <w:rPr>
          <w:bCs/>
        </w:rPr>
        <w:t xml:space="preserve">Local coverage determination: Category III codes (L35490). </w:t>
      </w:r>
      <w:r w:rsidR="002F12E5" w:rsidRPr="00786D03">
        <w:rPr>
          <w:bCs/>
        </w:rPr>
        <w:t xml:space="preserve">Centers for Medicare and Medicaid Services. </w:t>
      </w:r>
      <w:hyperlink r:id="rId16" w:history="1">
        <w:r w:rsidRPr="00786D03">
          <w:rPr>
            <w:rStyle w:val="Hyperlink"/>
            <w:bCs/>
          </w:rPr>
          <w:t>https://www.cms.gov/medicare-coverage-database/new-search/search.aspx</w:t>
        </w:r>
      </w:hyperlink>
      <w:r w:rsidRPr="00786D03">
        <w:rPr>
          <w:bCs/>
        </w:rPr>
        <w:t xml:space="preserve">. Published October </w:t>
      </w:r>
      <w:r w:rsidR="00391332" w:rsidRPr="00786D03">
        <w:rPr>
          <w:bCs/>
        </w:rPr>
        <w:t>0</w:t>
      </w:r>
      <w:r w:rsidRPr="00786D03">
        <w:rPr>
          <w:bCs/>
        </w:rPr>
        <w:t xml:space="preserve">1, 2015 (revised </w:t>
      </w:r>
      <w:r w:rsidR="002C13AB" w:rsidRPr="00786D03">
        <w:rPr>
          <w:bCs/>
        </w:rPr>
        <w:t>November 17, 2024</w:t>
      </w:r>
      <w:r w:rsidRPr="00786D03">
        <w:rPr>
          <w:bCs/>
        </w:rPr>
        <w:t xml:space="preserve">). Accessed </w:t>
      </w:r>
      <w:r w:rsidR="002C13AB" w:rsidRPr="00786D03">
        <w:rPr>
          <w:bCs/>
        </w:rPr>
        <w:t>November 18</w:t>
      </w:r>
      <w:r w:rsidR="00AC4FB5" w:rsidRPr="00786D03">
        <w:rPr>
          <w:bCs/>
        </w:rPr>
        <w:t>, 202</w:t>
      </w:r>
      <w:r w:rsidR="00AB0BFE" w:rsidRPr="00786D03">
        <w:rPr>
          <w:bCs/>
        </w:rPr>
        <w:t>4</w:t>
      </w:r>
      <w:r w:rsidR="00AC4FB5" w:rsidRPr="00786D03">
        <w:rPr>
          <w:bCs/>
        </w:rPr>
        <w:t>.</w:t>
      </w:r>
    </w:p>
    <w:p w14:paraId="4DF7A4A0" w14:textId="0E496D66" w:rsidR="002F12E5" w:rsidRPr="00054880" w:rsidRDefault="002F12E5" w:rsidP="00054880">
      <w:pPr>
        <w:pStyle w:val="ListParagraph"/>
        <w:numPr>
          <w:ilvl w:val="0"/>
          <w:numId w:val="12"/>
        </w:numPr>
        <w:rPr>
          <w:bCs/>
        </w:rPr>
      </w:pPr>
      <w:r w:rsidRPr="00054880">
        <w:rPr>
          <w:bCs/>
        </w:rPr>
        <w:t>Steinberg, EP, Tunis, S, Shapiro, D.</w:t>
      </w:r>
      <w:r w:rsidR="00D51963">
        <w:rPr>
          <w:bCs/>
        </w:rPr>
        <w:t xml:space="preserve"> </w:t>
      </w:r>
      <w:r w:rsidRPr="00054880">
        <w:rPr>
          <w:bCs/>
        </w:rPr>
        <w:t xml:space="preserve">Insurance coverage for experimental technologies. </w:t>
      </w:r>
      <w:r w:rsidR="00F641D7" w:rsidRPr="006A0796">
        <w:rPr>
          <w:bCs/>
          <w:i/>
          <w:iCs/>
        </w:rPr>
        <w:t>Health Aff (Millwood)</w:t>
      </w:r>
      <w:r w:rsidR="00F641D7" w:rsidRPr="00F641D7">
        <w:rPr>
          <w:bCs/>
        </w:rPr>
        <w:t>. 1995;14(4):143-158. doi:10.1377/hlthaff.14.4.143</w:t>
      </w:r>
      <w:r w:rsidRPr="00054880">
        <w:rPr>
          <w:bCs/>
        </w:rPr>
        <w:t xml:space="preserve">  </w:t>
      </w:r>
    </w:p>
    <w:p w14:paraId="30736199" w14:textId="77777777" w:rsidR="008E205A" w:rsidRDefault="008E205A" w:rsidP="00605F8F">
      <w:pPr>
        <w:jc w:val="both"/>
      </w:pPr>
    </w:p>
    <w:p w14:paraId="5573EB65" w14:textId="77777777" w:rsidR="007D4069" w:rsidRPr="00146C6E" w:rsidRDefault="007D4069" w:rsidP="007D4069">
      <w:pPr>
        <w:rPr>
          <w:rFonts w:eastAsiaTheme="minorHAnsi"/>
          <w:b/>
          <w:u w:val="single"/>
        </w:rPr>
      </w:pPr>
      <w:bookmarkStart w:id="1" w:name="Important_Reminder"/>
      <w:r w:rsidRPr="00146C6E">
        <w:rPr>
          <w:rFonts w:eastAsiaTheme="minorHAnsi"/>
          <w:b/>
          <w:bCs/>
          <w:u w:val="single"/>
        </w:rPr>
        <w:t>Important Reminder</w:t>
      </w:r>
    </w:p>
    <w:bookmarkEnd w:id="1"/>
    <w:p w14:paraId="5B1A601A" w14:textId="77777777" w:rsidR="007D4069" w:rsidRPr="00146C6E" w:rsidRDefault="007D4069" w:rsidP="007D4069">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w:t>
      </w:r>
      <w:r w:rsidRPr="00146C6E">
        <w:rPr>
          <w:rFonts w:eastAsiaTheme="minorHAnsi"/>
        </w:rPr>
        <w:lastRenderedPageBreak/>
        <w:t xml:space="preserve">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w:t>
      </w:r>
      <w:r w:rsidR="00133072">
        <w:rPr>
          <w:rFonts w:eastAsiaTheme="minorHAnsi"/>
        </w:rPr>
        <w:t xml:space="preserve"> </w:t>
      </w:r>
      <w:r w:rsidRPr="00146C6E">
        <w:rPr>
          <w:rFonts w:eastAsiaTheme="minorHAnsi"/>
        </w:rPr>
        <w:t>Centene Management Company, LLC, or any of such health plan’s affiliates, as applicable.</w:t>
      </w:r>
    </w:p>
    <w:p w14:paraId="1DE59A31" w14:textId="77777777" w:rsidR="007D4069" w:rsidRPr="00146C6E" w:rsidRDefault="007D4069" w:rsidP="007D4069">
      <w:pPr>
        <w:rPr>
          <w:rFonts w:eastAsiaTheme="minorHAnsi"/>
        </w:rPr>
      </w:pPr>
    </w:p>
    <w:p w14:paraId="0C590DFD" w14:textId="0190CCEA" w:rsidR="007D4069" w:rsidRPr="00146C6E" w:rsidRDefault="007D4069" w:rsidP="007D4069">
      <w:pPr>
        <w:rPr>
          <w:rFonts w:eastAsiaTheme="minorHAnsi"/>
        </w:rPr>
      </w:pPr>
      <w:r w:rsidRPr="00146C6E">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w:t>
      </w:r>
      <w:r w:rsidR="00EB2748" w:rsidRPr="00146C6E">
        <w:rPr>
          <w:rFonts w:eastAsiaTheme="minorHAnsi"/>
        </w:rPr>
        <w:t xml:space="preserve">. </w:t>
      </w:r>
    </w:p>
    <w:p w14:paraId="4F7A61A0" w14:textId="77777777" w:rsidR="007D4069" w:rsidRPr="00146C6E" w:rsidRDefault="007D4069" w:rsidP="007D4069">
      <w:pPr>
        <w:rPr>
          <w:rFonts w:eastAsiaTheme="minorHAnsi"/>
        </w:rPr>
      </w:pPr>
    </w:p>
    <w:p w14:paraId="2500123D" w14:textId="77777777" w:rsidR="007D4069" w:rsidRPr="00146C6E" w:rsidRDefault="007D4069" w:rsidP="007D4069">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EC88335" w14:textId="77777777" w:rsidR="007D4069" w:rsidRPr="00146C6E" w:rsidRDefault="007D4069" w:rsidP="007D4069">
      <w:pPr>
        <w:rPr>
          <w:rFonts w:eastAsiaTheme="minorHAnsi"/>
        </w:rPr>
      </w:pPr>
    </w:p>
    <w:p w14:paraId="3D5E41F3" w14:textId="54C25228" w:rsidR="007D4069" w:rsidRPr="00146C6E" w:rsidRDefault="007D4069" w:rsidP="007D4069">
      <w:pPr>
        <w:rPr>
          <w:rFonts w:eastAsiaTheme="minorHAnsi"/>
        </w:rPr>
      </w:pPr>
      <w:r w:rsidRPr="00146C6E">
        <w:rPr>
          <w:rFonts w:eastAsiaTheme="minorHAnsi"/>
        </w:rPr>
        <w:t>This clinical policy does not constitute medical advice, medical treatment or medical care</w:t>
      </w:r>
      <w:r w:rsidR="000E1741" w:rsidRPr="00146C6E">
        <w:rPr>
          <w:rFonts w:eastAsiaTheme="minorHAnsi"/>
        </w:rPr>
        <w:t xml:space="preserve">. </w:t>
      </w:r>
      <w:r w:rsidRPr="00146C6E">
        <w:rPr>
          <w:rFonts w:eastAsiaTheme="minorHAnsi"/>
        </w:rPr>
        <w:t xml:space="preserve">It is not intended to dictate to providers how to practice medicine. Providers are expected to exercise professional medical judgment in providing the most appropriate care, and are solely responsible for the medical advice and treatment of </w:t>
      </w:r>
      <w:r w:rsidR="00F138C4">
        <w:rPr>
          <w:rFonts w:eastAsiaTheme="minorHAnsi"/>
        </w:rPr>
        <w:t>members/enrollees</w:t>
      </w:r>
      <w:r w:rsidR="00EB2748" w:rsidRPr="00146C6E">
        <w:rPr>
          <w:rFonts w:eastAsiaTheme="minorHAnsi"/>
        </w:rPr>
        <w:t xml:space="preserve">. </w:t>
      </w:r>
      <w:r w:rsidRPr="00146C6E">
        <w:rPr>
          <w:rFonts w:eastAsiaTheme="minorHAnsi"/>
        </w:rPr>
        <w:t xml:space="preserve">This clinical policy is not intended to recommend treatment for </w:t>
      </w:r>
      <w:r w:rsidR="00F138C4">
        <w:rPr>
          <w:rFonts w:eastAsiaTheme="minorHAnsi"/>
        </w:rPr>
        <w:t>members/enrollees</w:t>
      </w:r>
      <w:r w:rsidRPr="00146C6E">
        <w:rPr>
          <w:rFonts w:eastAsiaTheme="minorHAnsi"/>
        </w:rPr>
        <w:t xml:space="preserve">. </w:t>
      </w:r>
      <w:r w:rsidR="00F138C4">
        <w:rPr>
          <w:rFonts w:eastAsiaTheme="minorHAnsi"/>
        </w:rPr>
        <w:t>Members/enrollees</w:t>
      </w:r>
      <w:r w:rsidRPr="00146C6E">
        <w:rPr>
          <w:rFonts w:eastAsiaTheme="minorHAnsi"/>
        </w:rPr>
        <w:t xml:space="preserve"> should consult with their treating physician in connection with diagnosis and treatment decisions. </w:t>
      </w:r>
    </w:p>
    <w:p w14:paraId="6414DBDF" w14:textId="77777777" w:rsidR="007D4069" w:rsidRPr="00146C6E" w:rsidRDefault="007D4069" w:rsidP="007D4069">
      <w:pPr>
        <w:rPr>
          <w:rFonts w:eastAsiaTheme="minorHAnsi"/>
        </w:rPr>
      </w:pPr>
    </w:p>
    <w:p w14:paraId="0F43D6A0" w14:textId="5EA10A57" w:rsidR="007D4069" w:rsidRPr="00146C6E" w:rsidRDefault="007D4069" w:rsidP="007D4069">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w:t>
      </w:r>
      <w:r w:rsidR="00EB2748" w:rsidRPr="00146C6E">
        <w:rPr>
          <w:rFonts w:eastAsiaTheme="minorHAnsi"/>
        </w:rPr>
        <w:t xml:space="preserve">. </w:t>
      </w:r>
      <w:r w:rsidRPr="00146C6E">
        <w:rPr>
          <w:rFonts w:eastAsiaTheme="minorHAnsi"/>
        </w:rPr>
        <w:t>Providers are not agents or employees of the Health Plan.</w:t>
      </w:r>
    </w:p>
    <w:p w14:paraId="388D7F15" w14:textId="77777777" w:rsidR="007D4069" w:rsidRPr="00146C6E" w:rsidRDefault="007D4069" w:rsidP="007D4069">
      <w:pPr>
        <w:rPr>
          <w:rFonts w:eastAsiaTheme="minorHAnsi"/>
        </w:rPr>
      </w:pPr>
    </w:p>
    <w:p w14:paraId="275122FF" w14:textId="32791ACD" w:rsidR="007D4069" w:rsidRPr="00146C6E" w:rsidRDefault="007D4069" w:rsidP="007D4069">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Unauthorized copying, use, and distribution of this clinical policy or any information contained herein are strictly prohibited</w:t>
      </w:r>
      <w:r w:rsidR="00EB2748" w:rsidRPr="00146C6E">
        <w:rPr>
          <w:rFonts w:eastAsiaTheme="minorHAnsi"/>
        </w:rPr>
        <w:t xml:space="preserve">. </w:t>
      </w:r>
      <w:r w:rsidRPr="00146C6E">
        <w:rPr>
          <w:rFonts w:eastAsiaTheme="minorHAnsi"/>
        </w:rPr>
        <w:t xml:space="preserve">Providers, </w:t>
      </w:r>
      <w:r w:rsidR="00F138C4">
        <w:rPr>
          <w:rFonts w:eastAsiaTheme="minorHAnsi"/>
        </w:rPr>
        <w:t>members/enrollees</w:t>
      </w:r>
      <w:r w:rsidRPr="00146C6E">
        <w:rPr>
          <w:rFonts w:eastAsiaTheme="minorHAnsi"/>
        </w:rPr>
        <w:t xml:space="preserve"> and their representatives are bound to the terms and conditions expressed herein through the terms of their contracts</w:t>
      </w:r>
      <w:r w:rsidR="00EB2748" w:rsidRPr="00146C6E">
        <w:rPr>
          <w:rFonts w:eastAsiaTheme="minorHAnsi"/>
        </w:rPr>
        <w:t xml:space="preserve">. </w:t>
      </w:r>
      <w:r w:rsidRPr="00146C6E">
        <w:rPr>
          <w:rFonts w:eastAsiaTheme="minorHAnsi"/>
        </w:rPr>
        <w:t xml:space="preserve">Where no such contract exists, providers, </w:t>
      </w:r>
      <w:r w:rsidR="00F138C4">
        <w:rPr>
          <w:rFonts w:eastAsiaTheme="minorHAnsi"/>
        </w:rPr>
        <w:t>members/enrollees</w:t>
      </w:r>
      <w:r w:rsidRPr="00146C6E">
        <w:rPr>
          <w:rFonts w:eastAsiaTheme="minorHAnsi"/>
        </w:rPr>
        <w:t xml:space="preserve"> and their representatives agree to be bound by such terms and conditions by providing services to </w:t>
      </w:r>
      <w:r w:rsidR="00F138C4">
        <w:rPr>
          <w:rFonts w:eastAsiaTheme="minorHAnsi"/>
        </w:rPr>
        <w:t>members/enrollees</w:t>
      </w:r>
      <w:r w:rsidRPr="00146C6E">
        <w:rPr>
          <w:rFonts w:eastAsiaTheme="minorHAnsi"/>
        </w:rPr>
        <w:t xml:space="preserve"> and/or submitting claims for payment for such services</w:t>
      </w:r>
      <w:r w:rsidR="00EB2748" w:rsidRPr="00146C6E">
        <w:rPr>
          <w:rFonts w:eastAsiaTheme="minorHAnsi"/>
        </w:rPr>
        <w:t xml:space="preserve">. </w:t>
      </w:r>
    </w:p>
    <w:p w14:paraId="6EB8465C" w14:textId="77777777" w:rsidR="007D4069" w:rsidRPr="00146C6E" w:rsidRDefault="007D4069" w:rsidP="007D4069">
      <w:pPr>
        <w:autoSpaceDE w:val="0"/>
        <w:autoSpaceDN w:val="0"/>
        <w:adjustRightInd w:val="0"/>
        <w:rPr>
          <w:rFonts w:eastAsiaTheme="minorHAnsi"/>
          <w:color w:val="000000"/>
        </w:rPr>
      </w:pPr>
    </w:p>
    <w:p w14:paraId="2E701A54" w14:textId="77777777" w:rsidR="007D4069" w:rsidRPr="00146C6E" w:rsidRDefault="007D4069" w:rsidP="007D4069">
      <w:pPr>
        <w:autoSpaceDE w:val="0"/>
        <w:autoSpaceDN w:val="0"/>
        <w:adjustRightInd w:val="0"/>
        <w:rPr>
          <w:rFonts w:eastAsiaTheme="minorHAnsi"/>
          <w:color w:val="000000"/>
        </w:rPr>
      </w:pPr>
      <w:r w:rsidRPr="00146C6E">
        <w:rPr>
          <w:rFonts w:eastAsiaTheme="minorHAnsi"/>
          <w:b/>
          <w:color w:val="000000"/>
        </w:rPr>
        <w:t xml:space="preserve">Note: For Medicaid </w:t>
      </w:r>
      <w:r w:rsidR="00F138C4">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1DAED95E" w14:textId="77777777" w:rsidR="007D4069" w:rsidRPr="00146C6E" w:rsidRDefault="007D4069" w:rsidP="007D4069">
      <w:pPr>
        <w:rPr>
          <w:rFonts w:eastAsiaTheme="minorHAnsi"/>
        </w:rPr>
      </w:pPr>
    </w:p>
    <w:p w14:paraId="57D59E40" w14:textId="77777777" w:rsidR="007D4069" w:rsidRPr="00146C6E" w:rsidRDefault="007D4069" w:rsidP="007D4069">
      <w:pPr>
        <w:autoSpaceDE w:val="0"/>
        <w:autoSpaceDN w:val="0"/>
        <w:adjustRightInd w:val="0"/>
        <w:rPr>
          <w:color w:val="000000"/>
        </w:rPr>
      </w:pPr>
      <w:r w:rsidRPr="00146C6E">
        <w:rPr>
          <w:rFonts w:eastAsiaTheme="minorHAnsi"/>
          <w:b/>
          <w:bCs/>
          <w:color w:val="000000"/>
        </w:rPr>
        <w:lastRenderedPageBreak/>
        <w:t xml:space="preserve">Note: For Medicare </w:t>
      </w:r>
      <w:r w:rsidR="00F138C4">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Pr>
          <w:rFonts w:eastAsiaTheme="minorHAnsi"/>
          <w:color w:val="000000"/>
        </w:rPr>
        <w:t>,</w:t>
      </w:r>
      <w:r w:rsidRPr="00146C6E">
        <w:rPr>
          <w:rFonts w:eastAsiaTheme="minorHAnsi"/>
          <w:color w:val="000000"/>
        </w:rPr>
        <w:t xml:space="preserve"> LCDs</w:t>
      </w:r>
      <w:r>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7"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3924D272" w14:textId="77777777" w:rsidR="007D4069" w:rsidRPr="00146C6E" w:rsidRDefault="007D4069" w:rsidP="007D4069">
      <w:pPr>
        <w:rPr>
          <w:iCs/>
        </w:rPr>
      </w:pPr>
    </w:p>
    <w:p w14:paraId="54AA270B" w14:textId="6AB04ADF" w:rsidR="007D4069" w:rsidRPr="00146C6E" w:rsidRDefault="007D4069" w:rsidP="007D4069">
      <w:pPr>
        <w:rPr>
          <w:iCs/>
        </w:rPr>
      </w:pPr>
      <w:r w:rsidRPr="00146C6E">
        <w:rPr>
          <w:iCs/>
        </w:rPr>
        <w:t>©2016 Centene Corporation. All rights reserved</w:t>
      </w:r>
      <w:r w:rsidR="00EB2748" w:rsidRPr="00146C6E">
        <w:rPr>
          <w:iCs/>
        </w:rPr>
        <w:t xml:space="preserve">. </w:t>
      </w:r>
      <w:r w:rsidRPr="00146C6E">
        <w:rPr>
          <w:iCs/>
        </w:rPr>
        <w:t>All materials are exclusively owned by Centene Corporation and are protected by United States copyright law and international copyright law</w:t>
      </w:r>
      <w:r w:rsidR="00EB2748" w:rsidRPr="00146C6E">
        <w:rPr>
          <w:iCs/>
        </w:rPr>
        <w:t xml:space="preserve">. </w:t>
      </w:r>
      <w:r w:rsidRPr="00146C6E">
        <w:rPr>
          <w:iCs/>
        </w:rPr>
        <w:t>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1EA8C3B7" w14:textId="77777777" w:rsidR="007D4069" w:rsidRDefault="007D4069" w:rsidP="00963062"/>
    <w:p w14:paraId="4B68FA7A" w14:textId="77777777" w:rsidR="00C75BD4" w:rsidRDefault="00C75BD4" w:rsidP="00605F8F">
      <w:pPr>
        <w:jc w:val="both"/>
      </w:pPr>
    </w:p>
    <w:sectPr w:rsidR="00C75BD4" w:rsidSect="00840264">
      <w:type w:val="continuous"/>
      <w:pgSz w:w="12240" w:h="15840" w:code="1"/>
      <w:pgMar w:top="1440" w:right="1440" w:bottom="117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EA9B" w14:textId="77777777" w:rsidR="009A06B8" w:rsidRDefault="009A06B8">
      <w:r>
        <w:separator/>
      </w:r>
    </w:p>
  </w:endnote>
  <w:endnote w:type="continuationSeparator" w:id="0">
    <w:p w14:paraId="400A83BC" w14:textId="77777777" w:rsidR="009A06B8" w:rsidRDefault="009A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8A38" w14:textId="77777777" w:rsidR="008F47C7" w:rsidRDefault="008F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9BAF" w14:textId="27B4D7D4"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6A079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A0796">
      <w:rPr>
        <w:b/>
        <w:bCs/>
        <w:noProof/>
      </w:rPr>
      <w:t>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B45F" w14:textId="1A55EFBA" w:rsidR="002C6AAB" w:rsidRDefault="002C6AAB" w:rsidP="002C6AAB">
    <w:pPr>
      <w:pStyle w:val="Footer"/>
      <w:jc w:val="center"/>
    </w:pPr>
    <w:r>
      <w:t xml:space="preserve">Page </w:t>
    </w:r>
    <w:r>
      <w:fldChar w:fldCharType="begin"/>
    </w:r>
    <w:r>
      <w:instrText xml:space="preserve"> PAGE   \* MERGEFORMAT </w:instrText>
    </w:r>
    <w:r>
      <w:fldChar w:fldCharType="separate"/>
    </w:r>
    <w:r w:rsidR="006A0796">
      <w:rPr>
        <w:noProof/>
      </w:rPr>
      <w:t>1</w:t>
    </w:r>
    <w:r>
      <w:fldChar w:fldCharType="end"/>
    </w:r>
    <w:r>
      <w:t xml:space="preserve"> of </w:t>
    </w:r>
    <w:r w:rsidR="00D66759">
      <w:rPr>
        <w:noProof/>
      </w:rPr>
      <w:fldChar w:fldCharType="begin"/>
    </w:r>
    <w:r w:rsidR="00D66759">
      <w:rPr>
        <w:noProof/>
      </w:rPr>
      <w:instrText xml:space="preserve"> NUMPAGES   \* MERGEFORMAT </w:instrText>
    </w:r>
    <w:r w:rsidR="00D66759">
      <w:rPr>
        <w:noProof/>
      </w:rPr>
      <w:fldChar w:fldCharType="separate"/>
    </w:r>
    <w:r w:rsidR="006A0796">
      <w:rPr>
        <w:noProof/>
      </w:rPr>
      <w:t>5</w:t>
    </w:r>
    <w:r w:rsidR="00D667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8CA5" w14:textId="77777777" w:rsidR="009A06B8" w:rsidRDefault="009A06B8">
      <w:r>
        <w:separator/>
      </w:r>
    </w:p>
  </w:footnote>
  <w:footnote w:type="continuationSeparator" w:id="0">
    <w:p w14:paraId="3A047ABF" w14:textId="77777777" w:rsidR="009A06B8" w:rsidRDefault="009A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5AC6" w14:textId="38ABF0AB" w:rsidR="008F47C7" w:rsidRDefault="008F4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AB54" w14:textId="373C9415"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D47E13">
      <w:rPr>
        <w:noProof/>
        <w:color w:val="00548C"/>
      </w:rPr>
      <w:drawing>
        <wp:inline distT="0" distB="0" distL="0" distR="0" wp14:anchorId="7996DD97" wp14:editId="2BBFF06E">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57FAAC93" w14:textId="77777777" w:rsidR="00DD025A" w:rsidRPr="00B777AF" w:rsidRDefault="008E205A" w:rsidP="00B777AF">
    <w:pPr>
      <w:rPr>
        <w:color w:val="00548C"/>
      </w:rPr>
    </w:pPr>
    <w:r>
      <w:rPr>
        <w:rFonts w:ascii="Times New Roman Bold" w:hAnsi="Times New Roman Bold"/>
        <w:b/>
        <w:bCs/>
        <w:color w:val="00548C"/>
      </w:rPr>
      <w:t>Experimental Technologies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0EE5" w14:textId="594EA20F" w:rsidR="009135E0" w:rsidRDefault="00D47E13" w:rsidP="00B777AF">
    <w:pPr>
      <w:pStyle w:val="Header"/>
      <w:jc w:val="right"/>
    </w:pPr>
    <w:r>
      <w:rPr>
        <w:noProof/>
      </w:rPr>
      <w:drawing>
        <wp:inline distT="0" distB="0" distL="0" distR="0" wp14:anchorId="7D776820" wp14:editId="68E28E5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212"/>
    <w:multiLevelType w:val="hybridMultilevel"/>
    <w:tmpl w:val="D6C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D416E"/>
    <w:multiLevelType w:val="hybridMultilevel"/>
    <w:tmpl w:val="CEB0D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C006F"/>
    <w:multiLevelType w:val="hybridMultilevel"/>
    <w:tmpl w:val="B0926F04"/>
    <w:lvl w:ilvl="0" w:tplc="A244BB9A">
      <w:start w:val="1"/>
      <w:numFmt w:val="upperLetter"/>
      <w:lvlText w:val="%1."/>
      <w:lvlJc w:val="left"/>
      <w:pPr>
        <w:ind w:left="720" w:hanging="360"/>
      </w:pPr>
      <w:rPr>
        <w:b/>
      </w:rPr>
    </w:lvl>
    <w:lvl w:ilvl="1" w:tplc="0409000F">
      <w:start w:val="1"/>
      <w:numFmt w:val="decimal"/>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44A31"/>
    <w:multiLevelType w:val="hybridMultilevel"/>
    <w:tmpl w:val="0F743EE2"/>
    <w:lvl w:ilvl="0" w:tplc="CB0C12C8">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EE0E4F"/>
    <w:multiLevelType w:val="hybridMultilevel"/>
    <w:tmpl w:val="76A0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25AB6"/>
    <w:multiLevelType w:val="hybridMultilevel"/>
    <w:tmpl w:val="B8FE9454"/>
    <w:lvl w:ilvl="0" w:tplc="DD06C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A85A32"/>
    <w:multiLevelType w:val="hybridMultilevel"/>
    <w:tmpl w:val="125CC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A6A56"/>
    <w:multiLevelType w:val="hybridMultilevel"/>
    <w:tmpl w:val="E886DEFA"/>
    <w:lvl w:ilvl="0" w:tplc="04090015">
      <w:start w:val="1"/>
      <w:numFmt w:val="upp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B03ED"/>
    <w:multiLevelType w:val="hybridMultilevel"/>
    <w:tmpl w:val="70C010B8"/>
    <w:lvl w:ilvl="0" w:tplc="C77A455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291003"/>
    <w:multiLevelType w:val="hybridMultilevel"/>
    <w:tmpl w:val="419C7D2A"/>
    <w:lvl w:ilvl="0" w:tplc="4274C2A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3200F4"/>
    <w:multiLevelType w:val="hybridMultilevel"/>
    <w:tmpl w:val="4642CB72"/>
    <w:lvl w:ilvl="0" w:tplc="5224C49A">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30149882">
    <w:abstractNumId w:val="18"/>
  </w:num>
  <w:num w:numId="2" w16cid:durableId="1817143531">
    <w:abstractNumId w:val="1"/>
  </w:num>
  <w:num w:numId="3" w16cid:durableId="565184311">
    <w:abstractNumId w:val="6"/>
  </w:num>
  <w:num w:numId="4" w16cid:durableId="368146601">
    <w:abstractNumId w:val="7"/>
  </w:num>
  <w:num w:numId="5" w16cid:durableId="1694920960">
    <w:abstractNumId w:val="8"/>
  </w:num>
  <w:num w:numId="6" w16cid:durableId="1379015116">
    <w:abstractNumId w:val="12"/>
  </w:num>
  <w:num w:numId="7" w16cid:durableId="1795101815">
    <w:abstractNumId w:val="14"/>
  </w:num>
  <w:num w:numId="8" w16cid:durableId="959148143">
    <w:abstractNumId w:val="3"/>
  </w:num>
  <w:num w:numId="9" w16cid:durableId="561215386">
    <w:abstractNumId w:val="15"/>
  </w:num>
  <w:num w:numId="10" w16cid:durableId="1292781514">
    <w:abstractNumId w:val="13"/>
  </w:num>
  <w:num w:numId="11" w16cid:durableId="328413653">
    <w:abstractNumId w:val="5"/>
  </w:num>
  <w:num w:numId="12" w16cid:durableId="1663579529">
    <w:abstractNumId w:val="11"/>
  </w:num>
  <w:num w:numId="13" w16cid:durableId="742341068">
    <w:abstractNumId w:val="4"/>
  </w:num>
  <w:num w:numId="14" w16cid:durableId="643659603">
    <w:abstractNumId w:val="17"/>
  </w:num>
  <w:num w:numId="15" w16cid:durableId="608122752">
    <w:abstractNumId w:val="10"/>
  </w:num>
  <w:num w:numId="16" w16cid:durableId="563756755">
    <w:abstractNumId w:val="9"/>
  </w:num>
  <w:num w:numId="17" w16cid:durableId="526674489">
    <w:abstractNumId w:val="16"/>
  </w:num>
  <w:num w:numId="18" w16cid:durableId="276764645">
    <w:abstractNumId w:val="2"/>
  </w:num>
  <w:num w:numId="19" w16cid:durableId="44770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10EA1"/>
    <w:rsid w:val="00017144"/>
    <w:rsid w:val="00034DC7"/>
    <w:rsid w:val="000465DE"/>
    <w:rsid w:val="0004733E"/>
    <w:rsid w:val="00047FCC"/>
    <w:rsid w:val="00054880"/>
    <w:rsid w:val="00060509"/>
    <w:rsid w:val="000762BD"/>
    <w:rsid w:val="00080F09"/>
    <w:rsid w:val="00083740"/>
    <w:rsid w:val="00086D64"/>
    <w:rsid w:val="000A3AE2"/>
    <w:rsid w:val="000A4D77"/>
    <w:rsid w:val="000B6D33"/>
    <w:rsid w:val="000C1C3D"/>
    <w:rsid w:val="000D6E81"/>
    <w:rsid w:val="000E1741"/>
    <w:rsid w:val="000E414D"/>
    <w:rsid w:val="000F10C2"/>
    <w:rsid w:val="000F6091"/>
    <w:rsid w:val="000F649E"/>
    <w:rsid w:val="001041C5"/>
    <w:rsid w:val="00104AFB"/>
    <w:rsid w:val="00115E49"/>
    <w:rsid w:val="00121BBA"/>
    <w:rsid w:val="00123357"/>
    <w:rsid w:val="00126FE2"/>
    <w:rsid w:val="00133072"/>
    <w:rsid w:val="00137171"/>
    <w:rsid w:val="0014316D"/>
    <w:rsid w:val="001468DC"/>
    <w:rsid w:val="00170B14"/>
    <w:rsid w:val="001818D7"/>
    <w:rsid w:val="001829DD"/>
    <w:rsid w:val="001849B6"/>
    <w:rsid w:val="00185104"/>
    <w:rsid w:val="001962BE"/>
    <w:rsid w:val="00196689"/>
    <w:rsid w:val="00196935"/>
    <w:rsid w:val="0019746F"/>
    <w:rsid w:val="001A6C69"/>
    <w:rsid w:val="001D0CC5"/>
    <w:rsid w:val="001D0D34"/>
    <w:rsid w:val="001D3C41"/>
    <w:rsid w:val="001D70D4"/>
    <w:rsid w:val="001E57D5"/>
    <w:rsid w:val="001E7D12"/>
    <w:rsid w:val="001F103D"/>
    <w:rsid w:val="00200414"/>
    <w:rsid w:val="0020476A"/>
    <w:rsid w:val="0020675F"/>
    <w:rsid w:val="0020710A"/>
    <w:rsid w:val="00216D61"/>
    <w:rsid w:val="00220736"/>
    <w:rsid w:val="00230FE4"/>
    <w:rsid w:val="00233651"/>
    <w:rsid w:val="00233FD1"/>
    <w:rsid w:val="00234994"/>
    <w:rsid w:val="0023574F"/>
    <w:rsid w:val="00240AF5"/>
    <w:rsid w:val="00254020"/>
    <w:rsid w:val="0025452A"/>
    <w:rsid w:val="00271922"/>
    <w:rsid w:val="00272F76"/>
    <w:rsid w:val="0027529A"/>
    <w:rsid w:val="0027568D"/>
    <w:rsid w:val="00285997"/>
    <w:rsid w:val="002A39EE"/>
    <w:rsid w:val="002A7F1B"/>
    <w:rsid w:val="002C13AB"/>
    <w:rsid w:val="002C1412"/>
    <w:rsid w:val="002C16A1"/>
    <w:rsid w:val="002C2931"/>
    <w:rsid w:val="002C4AB2"/>
    <w:rsid w:val="002C6AAB"/>
    <w:rsid w:val="002C7FE3"/>
    <w:rsid w:val="002D019A"/>
    <w:rsid w:val="002D071E"/>
    <w:rsid w:val="002D5A75"/>
    <w:rsid w:val="002E48E7"/>
    <w:rsid w:val="002F12E5"/>
    <w:rsid w:val="00303648"/>
    <w:rsid w:val="00304A03"/>
    <w:rsid w:val="003140D6"/>
    <w:rsid w:val="003152E5"/>
    <w:rsid w:val="00344059"/>
    <w:rsid w:val="00350F22"/>
    <w:rsid w:val="00354410"/>
    <w:rsid w:val="003573D4"/>
    <w:rsid w:val="00363AD5"/>
    <w:rsid w:val="0036573F"/>
    <w:rsid w:val="0037197F"/>
    <w:rsid w:val="00371C37"/>
    <w:rsid w:val="003840CC"/>
    <w:rsid w:val="003874BE"/>
    <w:rsid w:val="00391332"/>
    <w:rsid w:val="00393C5D"/>
    <w:rsid w:val="003A2A51"/>
    <w:rsid w:val="003A505F"/>
    <w:rsid w:val="003A5E64"/>
    <w:rsid w:val="003B1381"/>
    <w:rsid w:val="003C3475"/>
    <w:rsid w:val="003C5039"/>
    <w:rsid w:val="003D15A5"/>
    <w:rsid w:val="003D21F6"/>
    <w:rsid w:val="003D6429"/>
    <w:rsid w:val="003D6627"/>
    <w:rsid w:val="003D7BE7"/>
    <w:rsid w:val="003F4207"/>
    <w:rsid w:val="003F4650"/>
    <w:rsid w:val="004213F6"/>
    <w:rsid w:val="0042435D"/>
    <w:rsid w:val="0044097B"/>
    <w:rsid w:val="00450E9B"/>
    <w:rsid w:val="0045782E"/>
    <w:rsid w:val="00464369"/>
    <w:rsid w:val="00471C7B"/>
    <w:rsid w:val="00472C6C"/>
    <w:rsid w:val="00480C09"/>
    <w:rsid w:val="00496BCF"/>
    <w:rsid w:val="00497AED"/>
    <w:rsid w:val="004A1CD2"/>
    <w:rsid w:val="004B65B6"/>
    <w:rsid w:val="004B6C9F"/>
    <w:rsid w:val="004D762B"/>
    <w:rsid w:val="004E0B99"/>
    <w:rsid w:val="004E56FD"/>
    <w:rsid w:val="004F088D"/>
    <w:rsid w:val="004F6394"/>
    <w:rsid w:val="004F7957"/>
    <w:rsid w:val="0050022B"/>
    <w:rsid w:val="00501872"/>
    <w:rsid w:val="00505830"/>
    <w:rsid w:val="005103B8"/>
    <w:rsid w:val="005228CB"/>
    <w:rsid w:val="00525DD9"/>
    <w:rsid w:val="00536E6B"/>
    <w:rsid w:val="005423D4"/>
    <w:rsid w:val="00543F5B"/>
    <w:rsid w:val="00545833"/>
    <w:rsid w:val="005460F9"/>
    <w:rsid w:val="0054729A"/>
    <w:rsid w:val="005521EB"/>
    <w:rsid w:val="005537B0"/>
    <w:rsid w:val="00557F1F"/>
    <w:rsid w:val="00562281"/>
    <w:rsid w:val="005744E0"/>
    <w:rsid w:val="005776FD"/>
    <w:rsid w:val="00583376"/>
    <w:rsid w:val="005A575E"/>
    <w:rsid w:val="005A59FC"/>
    <w:rsid w:val="005B48B6"/>
    <w:rsid w:val="005C17DF"/>
    <w:rsid w:val="005C3607"/>
    <w:rsid w:val="005D009F"/>
    <w:rsid w:val="005D0C1C"/>
    <w:rsid w:val="005D2707"/>
    <w:rsid w:val="005D5146"/>
    <w:rsid w:val="005D72A2"/>
    <w:rsid w:val="005E411E"/>
    <w:rsid w:val="005F3558"/>
    <w:rsid w:val="005F41C2"/>
    <w:rsid w:val="00604E9F"/>
    <w:rsid w:val="00605F8F"/>
    <w:rsid w:val="00616CAD"/>
    <w:rsid w:val="00621691"/>
    <w:rsid w:val="00641DF1"/>
    <w:rsid w:val="00643CC6"/>
    <w:rsid w:val="006448EF"/>
    <w:rsid w:val="006474BB"/>
    <w:rsid w:val="006664E9"/>
    <w:rsid w:val="00675E54"/>
    <w:rsid w:val="00687B5E"/>
    <w:rsid w:val="00691B0B"/>
    <w:rsid w:val="006A0796"/>
    <w:rsid w:val="006A11C1"/>
    <w:rsid w:val="006C4C40"/>
    <w:rsid w:val="006C74DF"/>
    <w:rsid w:val="006E7D5D"/>
    <w:rsid w:val="006F4D70"/>
    <w:rsid w:val="006F66C4"/>
    <w:rsid w:val="007177DF"/>
    <w:rsid w:val="0073594C"/>
    <w:rsid w:val="00737E14"/>
    <w:rsid w:val="00744250"/>
    <w:rsid w:val="0074481B"/>
    <w:rsid w:val="00755D3D"/>
    <w:rsid w:val="0076329E"/>
    <w:rsid w:val="007764CE"/>
    <w:rsid w:val="0078137F"/>
    <w:rsid w:val="00783CB7"/>
    <w:rsid w:val="00786D03"/>
    <w:rsid w:val="00796001"/>
    <w:rsid w:val="007A0BCC"/>
    <w:rsid w:val="007B07AE"/>
    <w:rsid w:val="007B40C6"/>
    <w:rsid w:val="007B50D0"/>
    <w:rsid w:val="007B58CA"/>
    <w:rsid w:val="007C262A"/>
    <w:rsid w:val="007C35DC"/>
    <w:rsid w:val="007C49D6"/>
    <w:rsid w:val="007C7EBC"/>
    <w:rsid w:val="007D1387"/>
    <w:rsid w:val="007D1622"/>
    <w:rsid w:val="007D3F29"/>
    <w:rsid w:val="007D4069"/>
    <w:rsid w:val="007D4801"/>
    <w:rsid w:val="007F1F19"/>
    <w:rsid w:val="007F445B"/>
    <w:rsid w:val="007F7783"/>
    <w:rsid w:val="008040E6"/>
    <w:rsid w:val="00810159"/>
    <w:rsid w:val="00811F52"/>
    <w:rsid w:val="00840264"/>
    <w:rsid w:val="008433FD"/>
    <w:rsid w:val="0085206B"/>
    <w:rsid w:val="00854B26"/>
    <w:rsid w:val="00857C10"/>
    <w:rsid w:val="00875924"/>
    <w:rsid w:val="008770A5"/>
    <w:rsid w:val="00877EC7"/>
    <w:rsid w:val="00896E94"/>
    <w:rsid w:val="008A2988"/>
    <w:rsid w:val="008B0705"/>
    <w:rsid w:val="008B14F7"/>
    <w:rsid w:val="008B23E6"/>
    <w:rsid w:val="008B507B"/>
    <w:rsid w:val="008C5E2A"/>
    <w:rsid w:val="008C6B3A"/>
    <w:rsid w:val="008E205A"/>
    <w:rsid w:val="008F3363"/>
    <w:rsid w:val="008F47C7"/>
    <w:rsid w:val="00902C9B"/>
    <w:rsid w:val="009118E0"/>
    <w:rsid w:val="00912FD6"/>
    <w:rsid w:val="009135E0"/>
    <w:rsid w:val="00915CA4"/>
    <w:rsid w:val="00916E7E"/>
    <w:rsid w:val="009430B0"/>
    <w:rsid w:val="00961071"/>
    <w:rsid w:val="00961787"/>
    <w:rsid w:val="00963062"/>
    <w:rsid w:val="009735FA"/>
    <w:rsid w:val="00977ECA"/>
    <w:rsid w:val="00982180"/>
    <w:rsid w:val="009928B2"/>
    <w:rsid w:val="00997F01"/>
    <w:rsid w:val="009A06B8"/>
    <w:rsid w:val="009A459A"/>
    <w:rsid w:val="009B7B19"/>
    <w:rsid w:val="009C1752"/>
    <w:rsid w:val="009C37AF"/>
    <w:rsid w:val="009C61B2"/>
    <w:rsid w:val="009D38D8"/>
    <w:rsid w:val="009E6F29"/>
    <w:rsid w:val="009E7D37"/>
    <w:rsid w:val="009F1397"/>
    <w:rsid w:val="00A06C08"/>
    <w:rsid w:val="00A0768B"/>
    <w:rsid w:val="00A14F04"/>
    <w:rsid w:val="00A32475"/>
    <w:rsid w:val="00A33806"/>
    <w:rsid w:val="00A34A1C"/>
    <w:rsid w:val="00A41969"/>
    <w:rsid w:val="00A476FE"/>
    <w:rsid w:val="00A60413"/>
    <w:rsid w:val="00A74708"/>
    <w:rsid w:val="00A75008"/>
    <w:rsid w:val="00A83658"/>
    <w:rsid w:val="00A85489"/>
    <w:rsid w:val="00A854AF"/>
    <w:rsid w:val="00A87B1F"/>
    <w:rsid w:val="00AA336E"/>
    <w:rsid w:val="00AA428E"/>
    <w:rsid w:val="00AB0BFE"/>
    <w:rsid w:val="00AB2392"/>
    <w:rsid w:val="00AC4FB5"/>
    <w:rsid w:val="00AC5847"/>
    <w:rsid w:val="00AC5851"/>
    <w:rsid w:val="00AD1AA6"/>
    <w:rsid w:val="00AE4E68"/>
    <w:rsid w:val="00AF1F2A"/>
    <w:rsid w:val="00AF30EF"/>
    <w:rsid w:val="00AF5490"/>
    <w:rsid w:val="00AF7A4A"/>
    <w:rsid w:val="00B1508B"/>
    <w:rsid w:val="00B174D7"/>
    <w:rsid w:val="00B24BAD"/>
    <w:rsid w:val="00B27CC0"/>
    <w:rsid w:val="00B3293B"/>
    <w:rsid w:val="00B32AA6"/>
    <w:rsid w:val="00B4633B"/>
    <w:rsid w:val="00B50116"/>
    <w:rsid w:val="00B53738"/>
    <w:rsid w:val="00B64E46"/>
    <w:rsid w:val="00B70044"/>
    <w:rsid w:val="00B76AE3"/>
    <w:rsid w:val="00B777AF"/>
    <w:rsid w:val="00B806EE"/>
    <w:rsid w:val="00B81789"/>
    <w:rsid w:val="00B8225E"/>
    <w:rsid w:val="00B82A42"/>
    <w:rsid w:val="00B868B0"/>
    <w:rsid w:val="00B90336"/>
    <w:rsid w:val="00B92DF1"/>
    <w:rsid w:val="00BA0D5B"/>
    <w:rsid w:val="00BC0392"/>
    <w:rsid w:val="00BC2EC3"/>
    <w:rsid w:val="00BC4577"/>
    <w:rsid w:val="00BD018B"/>
    <w:rsid w:val="00BF4150"/>
    <w:rsid w:val="00BF70D2"/>
    <w:rsid w:val="00BF7AA0"/>
    <w:rsid w:val="00C037BA"/>
    <w:rsid w:val="00C056E8"/>
    <w:rsid w:val="00C079B0"/>
    <w:rsid w:val="00C14250"/>
    <w:rsid w:val="00C2297C"/>
    <w:rsid w:val="00C30E34"/>
    <w:rsid w:val="00C644A0"/>
    <w:rsid w:val="00C64BB4"/>
    <w:rsid w:val="00C73CF5"/>
    <w:rsid w:val="00C75BD4"/>
    <w:rsid w:val="00C771A2"/>
    <w:rsid w:val="00C93DC5"/>
    <w:rsid w:val="00C94BB3"/>
    <w:rsid w:val="00CA1299"/>
    <w:rsid w:val="00CA1978"/>
    <w:rsid w:val="00CA53B9"/>
    <w:rsid w:val="00CA5C08"/>
    <w:rsid w:val="00CB141E"/>
    <w:rsid w:val="00CB3559"/>
    <w:rsid w:val="00CB47A9"/>
    <w:rsid w:val="00CB7F0C"/>
    <w:rsid w:val="00CC02CA"/>
    <w:rsid w:val="00CD59EE"/>
    <w:rsid w:val="00CD71C4"/>
    <w:rsid w:val="00CE3141"/>
    <w:rsid w:val="00CF1694"/>
    <w:rsid w:val="00CF2624"/>
    <w:rsid w:val="00CF2688"/>
    <w:rsid w:val="00CF5C80"/>
    <w:rsid w:val="00D05845"/>
    <w:rsid w:val="00D2143C"/>
    <w:rsid w:val="00D36448"/>
    <w:rsid w:val="00D47749"/>
    <w:rsid w:val="00D47E13"/>
    <w:rsid w:val="00D50F2B"/>
    <w:rsid w:val="00D51963"/>
    <w:rsid w:val="00D529F4"/>
    <w:rsid w:val="00D574CA"/>
    <w:rsid w:val="00D612D2"/>
    <w:rsid w:val="00D66759"/>
    <w:rsid w:val="00D71BC4"/>
    <w:rsid w:val="00D87232"/>
    <w:rsid w:val="00D908EF"/>
    <w:rsid w:val="00D923C5"/>
    <w:rsid w:val="00DA547F"/>
    <w:rsid w:val="00DB1DE9"/>
    <w:rsid w:val="00DB4A75"/>
    <w:rsid w:val="00DD025A"/>
    <w:rsid w:val="00DD7D7A"/>
    <w:rsid w:val="00DE132A"/>
    <w:rsid w:val="00DE18E2"/>
    <w:rsid w:val="00DF740C"/>
    <w:rsid w:val="00E06F54"/>
    <w:rsid w:val="00E166E6"/>
    <w:rsid w:val="00E60E71"/>
    <w:rsid w:val="00E7245A"/>
    <w:rsid w:val="00E757B5"/>
    <w:rsid w:val="00E828D8"/>
    <w:rsid w:val="00E920E4"/>
    <w:rsid w:val="00E97C17"/>
    <w:rsid w:val="00EA25CA"/>
    <w:rsid w:val="00EA3809"/>
    <w:rsid w:val="00EB2748"/>
    <w:rsid w:val="00EB77F8"/>
    <w:rsid w:val="00EC09DF"/>
    <w:rsid w:val="00ED0A0D"/>
    <w:rsid w:val="00ED5DB9"/>
    <w:rsid w:val="00EF19CC"/>
    <w:rsid w:val="00EF2C68"/>
    <w:rsid w:val="00F01104"/>
    <w:rsid w:val="00F03DC0"/>
    <w:rsid w:val="00F11ACA"/>
    <w:rsid w:val="00F138C4"/>
    <w:rsid w:val="00F20499"/>
    <w:rsid w:val="00F20C10"/>
    <w:rsid w:val="00F265D3"/>
    <w:rsid w:val="00F2705D"/>
    <w:rsid w:val="00F3196F"/>
    <w:rsid w:val="00F422E1"/>
    <w:rsid w:val="00F472AF"/>
    <w:rsid w:val="00F47DD0"/>
    <w:rsid w:val="00F641D7"/>
    <w:rsid w:val="00F65869"/>
    <w:rsid w:val="00F71F8E"/>
    <w:rsid w:val="00F74762"/>
    <w:rsid w:val="00F95133"/>
    <w:rsid w:val="00FB0592"/>
    <w:rsid w:val="00FB139B"/>
    <w:rsid w:val="00FD334E"/>
    <w:rsid w:val="00FD34DC"/>
    <w:rsid w:val="00FE290A"/>
    <w:rsid w:val="00FE345E"/>
    <w:rsid w:val="00F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BB00C"/>
  <w15:docId w15:val="{4EE3847C-1AA4-4ED3-8C2F-A6F0AC36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47E13"/>
    <w:rPr>
      <w:sz w:val="16"/>
      <w:szCs w:val="16"/>
    </w:rPr>
  </w:style>
  <w:style w:type="paragraph" w:styleId="CommentText">
    <w:name w:val="annotation text"/>
    <w:basedOn w:val="Normal"/>
    <w:link w:val="CommentTextChar"/>
    <w:rsid w:val="00D47E13"/>
    <w:rPr>
      <w:sz w:val="20"/>
      <w:szCs w:val="20"/>
    </w:rPr>
  </w:style>
  <w:style w:type="character" w:customStyle="1" w:styleId="CommentTextChar">
    <w:name w:val="Comment Text Char"/>
    <w:basedOn w:val="DefaultParagraphFont"/>
    <w:link w:val="CommentText"/>
    <w:rsid w:val="00D47E13"/>
  </w:style>
  <w:style w:type="paragraph" w:styleId="CommentSubject">
    <w:name w:val="annotation subject"/>
    <w:basedOn w:val="CommentText"/>
    <w:next w:val="CommentText"/>
    <w:link w:val="CommentSubjectChar"/>
    <w:rsid w:val="00D47E13"/>
    <w:rPr>
      <w:b/>
      <w:bCs/>
    </w:rPr>
  </w:style>
  <w:style w:type="character" w:customStyle="1" w:styleId="CommentSubjectChar">
    <w:name w:val="Comment Subject Char"/>
    <w:basedOn w:val="CommentTextChar"/>
    <w:link w:val="CommentSubject"/>
    <w:rsid w:val="00D47E13"/>
    <w:rPr>
      <w:b/>
      <w:bCs/>
    </w:rPr>
  </w:style>
  <w:style w:type="paragraph" w:styleId="ListParagraph">
    <w:name w:val="List Paragraph"/>
    <w:basedOn w:val="Normal"/>
    <w:uiPriority w:val="34"/>
    <w:qFormat/>
    <w:rsid w:val="007D4069"/>
    <w:pPr>
      <w:ind w:left="720"/>
      <w:contextualSpacing/>
    </w:pPr>
  </w:style>
  <w:style w:type="paragraph" w:styleId="Revision">
    <w:name w:val="Revision"/>
    <w:hidden/>
    <w:uiPriority w:val="99"/>
    <w:semiHidden/>
    <w:rsid w:val="00675E54"/>
    <w:rPr>
      <w:sz w:val="24"/>
      <w:szCs w:val="24"/>
    </w:rPr>
  </w:style>
  <w:style w:type="character" w:customStyle="1" w:styleId="UnresolvedMention1">
    <w:name w:val="Unresolved Mention1"/>
    <w:basedOn w:val="DefaultParagraphFont"/>
    <w:uiPriority w:val="99"/>
    <w:semiHidden/>
    <w:unhideWhenUsed/>
    <w:rsid w:val="00F6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hyperlink" Target="https://www.cms.gov/medicare-coverage-database/new-search/search.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DB38C-5586-4A93-96EB-831C2D24D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8F5964-0A68-4A76-A298-5288EF619CA5}">
  <ds:schemaRefs>
    <ds:schemaRef ds:uri="http://schemas.microsoft.com/sharepoint/v3/contenttype/forms"/>
  </ds:schemaRefs>
</ds:datastoreItem>
</file>

<file path=customXml/itemProps3.xml><?xml version="1.0" encoding="utf-8"?>
<ds:datastoreItem xmlns:ds="http://schemas.openxmlformats.org/officeDocument/2006/customXml" ds:itemID="{8EB39423-78E2-4DD8-8031-24B5DD3C6480}">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1854</Words>
  <Characters>11217</Characters>
  <Application>Microsoft Office Word</Application>
  <DocSecurity>2</DocSecurity>
  <Lines>93</Lines>
  <Paragraphs>26</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6</cp:revision>
  <cp:lastPrinted>2025-08-27T20:14:00Z</cp:lastPrinted>
  <dcterms:created xsi:type="dcterms:W3CDTF">2025-08-12T13:21:00Z</dcterms:created>
  <dcterms:modified xsi:type="dcterms:W3CDTF">2025-08-27T20:14:00Z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2022-01-19T19:57:36Z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09e82fbc-8262-4da6-bc59-8ddc41e38d0b</vt:lpwstr>
  </property>
  <property fmtid="{D5CDD505-2E9C-101B-9397-08002B2CF9AE}" pid="8" name="MSIP_Label_5a776955-85f6-4fec-9553-96dd3e0373c4_ContentBits">
    <vt:lpwstr>0</vt:lpwstr>
  </property>
</Properties>
</file>