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D604" w14:textId="77777777" w:rsidR="00B777AF" w:rsidRPr="009D6060" w:rsidRDefault="00230FE4" w:rsidP="00D574CA">
      <w:pPr>
        <w:pStyle w:val="PolicyMainHead"/>
        <w:tabs>
          <w:tab w:val="left" w:pos="360"/>
        </w:tabs>
        <w:spacing w:after="0" w:line="240" w:lineRule="auto"/>
        <w:rPr>
          <w:rFonts w:ascii="Times New Roman" w:hAnsi="Times New Roman"/>
          <w:color w:val="00548C"/>
          <w:sz w:val="36"/>
        </w:rPr>
        <w:sectPr w:rsidR="00B777AF" w:rsidRPr="009D6060" w:rsidSect="00CB63DD">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sidR="00772335">
        <w:rPr>
          <w:rFonts w:ascii="Times New Roman" w:hAnsi="Times New Roman"/>
          <w:color w:val="00548C"/>
          <w:sz w:val="36"/>
        </w:rPr>
        <w:t xml:space="preserve">Policy: </w:t>
      </w:r>
      <w:r w:rsidR="00B533F1">
        <w:rPr>
          <w:rFonts w:ascii="Times New Roman" w:hAnsi="Times New Roman"/>
          <w:color w:val="00548C"/>
          <w:sz w:val="36"/>
        </w:rPr>
        <w:t xml:space="preserve">Repair of </w:t>
      </w:r>
      <w:r w:rsidR="00F51A2A">
        <w:rPr>
          <w:rFonts w:ascii="Times New Roman" w:hAnsi="Times New Roman"/>
          <w:color w:val="00548C"/>
          <w:sz w:val="36"/>
        </w:rPr>
        <w:t xml:space="preserve">Nasal </w:t>
      </w:r>
      <w:r w:rsidR="00B533F1">
        <w:rPr>
          <w:rFonts w:ascii="Times New Roman" w:hAnsi="Times New Roman"/>
          <w:color w:val="00548C"/>
          <w:sz w:val="36"/>
        </w:rPr>
        <w:t>Valve Compromise</w:t>
      </w:r>
    </w:p>
    <w:p w14:paraId="3BCE37E3" w14:textId="77777777"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862BBD">
        <w:rPr>
          <w:rFonts w:ascii="Times New Roman" w:hAnsi="Times New Roman"/>
          <w:color w:val="00548C"/>
          <w:sz w:val="24"/>
          <w:szCs w:val="24"/>
        </w:rPr>
        <w:t>210</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72335">
          <w:rPr>
            <w:rStyle w:val="Hyperlink"/>
            <w:rFonts w:ascii="Times New Roman" w:hAnsi="Times New Roman"/>
            <w:sz w:val="24"/>
            <w:szCs w:val="24"/>
          </w:rPr>
          <w:t xml:space="preserve">Coding </w:t>
        </w:r>
        <w:r w:rsidR="007B50D0" w:rsidRPr="00875924">
          <w:rPr>
            <w:rStyle w:val="Hyperlink"/>
            <w:rFonts w:ascii="Times New Roman" w:hAnsi="Times New Roman"/>
            <w:sz w:val="24"/>
            <w:szCs w:val="24"/>
          </w:rPr>
          <w:t>Implications</w:t>
        </w:r>
      </w:hyperlink>
      <w:r w:rsidR="007B50D0" w:rsidRPr="003D7BE7">
        <w:rPr>
          <w:rFonts w:ascii="Times New Roman" w:hAnsi="Times New Roman"/>
          <w:color w:val="00548C"/>
          <w:sz w:val="24"/>
          <w:szCs w:val="24"/>
        </w:rPr>
        <w:t xml:space="preserve"> </w:t>
      </w:r>
    </w:p>
    <w:p w14:paraId="7142D089" w14:textId="5C558C1F" w:rsidR="00875924" w:rsidRDefault="00174FDE"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B54372">
        <w:rPr>
          <w:rFonts w:ascii="Times New Roman" w:hAnsi="Times New Roman"/>
          <w:color w:val="00548C"/>
          <w:sz w:val="24"/>
          <w:szCs w:val="24"/>
        </w:rPr>
        <w:t>04/25</w:t>
      </w:r>
    </w:p>
    <w:p w14:paraId="2B470624"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5EC35BFB"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07ACA246"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41FEE2DF" w14:textId="77777777" w:rsidR="00F775EA" w:rsidRDefault="00F775EA">
      <w:pPr>
        <w:pStyle w:val="Heading2"/>
        <w:rPr>
          <w:u w:val="none"/>
        </w:rPr>
      </w:pPr>
    </w:p>
    <w:p w14:paraId="3D68265E" w14:textId="26270531" w:rsidR="00583376" w:rsidRDefault="00583376">
      <w:pPr>
        <w:pStyle w:val="Heading2"/>
        <w:rPr>
          <w:u w:val="none"/>
        </w:rPr>
      </w:pPr>
      <w:r w:rsidRPr="00B777AF">
        <w:rPr>
          <w:u w:val="none"/>
        </w:rPr>
        <w:t xml:space="preserve">Description </w:t>
      </w:r>
    </w:p>
    <w:p w14:paraId="5F94A629" w14:textId="0532B2F9" w:rsidR="00CD6AFC" w:rsidRDefault="00120410" w:rsidP="00196935">
      <w:r>
        <w:t>Medical necessity guidelines</w:t>
      </w:r>
      <w:r w:rsidR="00A06ED5">
        <w:t xml:space="preserve"> for repair of nasal valve compromise. </w:t>
      </w:r>
    </w:p>
    <w:p w14:paraId="64B74DB5" w14:textId="77777777" w:rsidR="00CD6AFC" w:rsidRPr="00B777AF" w:rsidRDefault="00CD6AFC" w:rsidP="00196935"/>
    <w:p w14:paraId="672CF849" w14:textId="77777777" w:rsidR="00583376" w:rsidRPr="00B777AF" w:rsidRDefault="00583376">
      <w:pPr>
        <w:pStyle w:val="Heading2"/>
        <w:rPr>
          <w:u w:val="none"/>
        </w:rPr>
      </w:pPr>
      <w:r w:rsidRPr="00B777AF">
        <w:rPr>
          <w:u w:val="none"/>
        </w:rPr>
        <w:t>Policy/Criteria</w:t>
      </w:r>
    </w:p>
    <w:p w14:paraId="433DF910" w14:textId="2D65091E" w:rsidR="00C96847" w:rsidRDefault="00F74762" w:rsidP="00C96847">
      <w:pPr>
        <w:numPr>
          <w:ilvl w:val="0"/>
          <w:numId w:val="11"/>
        </w:numPr>
        <w:ind w:left="360"/>
      </w:pPr>
      <w:r>
        <w:rPr>
          <w:bCs/>
          <w:color w:val="000000"/>
        </w:rPr>
        <w:t>It is the policy of</w:t>
      </w:r>
      <w:r w:rsidR="00E97C17">
        <w:rPr>
          <w:bCs/>
          <w:color w:val="000000"/>
        </w:rPr>
        <w:t xml:space="preserve"> </w:t>
      </w:r>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r w:rsidR="00C75BD4" w:rsidRPr="00C75BD4">
        <w:rPr>
          <w:bCs/>
          <w:color w:val="000000"/>
          <w:vertAlign w:val="superscript"/>
        </w:rPr>
        <w:t>®</w:t>
      </w:r>
      <w:r>
        <w:rPr>
          <w:bCs/>
          <w:color w:val="000000"/>
        </w:rPr>
        <w:t xml:space="preserve"> </w:t>
      </w:r>
      <w:r w:rsidR="00C96847">
        <w:t xml:space="preserve">that </w:t>
      </w:r>
      <w:r w:rsidR="00BE5830">
        <w:t xml:space="preserve">repair of </w:t>
      </w:r>
      <w:r w:rsidR="00D626BC">
        <w:t xml:space="preserve">nasal </w:t>
      </w:r>
      <w:r w:rsidR="00BE5830">
        <w:t>valve compromise</w:t>
      </w:r>
      <w:r w:rsidR="009D5928">
        <w:t xml:space="preserve"> </w:t>
      </w:r>
      <w:r w:rsidR="00C96847">
        <w:t xml:space="preserve">is </w:t>
      </w:r>
      <w:r w:rsidR="00C96847" w:rsidRPr="005D6347">
        <w:rPr>
          <w:b/>
        </w:rPr>
        <w:t>medically necessary</w:t>
      </w:r>
      <w:r w:rsidR="00C96847">
        <w:t xml:space="preserve"> </w:t>
      </w:r>
      <w:r w:rsidR="00120410">
        <w:t>when meeting all of the following criteria</w:t>
      </w:r>
      <w:r w:rsidR="00C96847">
        <w:t>:</w:t>
      </w:r>
    </w:p>
    <w:p w14:paraId="3B88ADE9" w14:textId="77777777" w:rsidR="00E361A9" w:rsidRDefault="00B6022E" w:rsidP="003F3D44">
      <w:pPr>
        <w:numPr>
          <w:ilvl w:val="1"/>
          <w:numId w:val="11"/>
        </w:numPr>
        <w:ind w:left="720"/>
      </w:pPr>
      <w:r>
        <w:t>Clinical findings of o</w:t>
      </w:r>
      <w:r w:rsidR="00E361A9">
        <w:t>ne or more of the following</w:t>
      </w:r>
      <w:r w:rsidR="00543761">
        <w:t>:</w:t>
      </w:r>
    </w:p>
    <w:p w14:paraId="058487FC" w14:textId="77777777" w:rsidR="003F3D44" w:rsidRPr="001A681E" w:rsidRDefault="00E361A9" w:rsidP="00E361A9">
      <w:pPr>
        <w:numPr>
          <w:ilvl w:val="2"/>
          <w:numId w:val="11"/>
        </w:numPr>
        <w:ind w:left="1080" w:hanging="360"/>
      </w:pPr>
      <w:r w:rsidRPr="001A681E">
        <w:t>Internal valve collapse or compromise of the upper lateral cartilage</w:t>
      </w:r>
      <w:r w:rsidR="00543761" w:rsidRPr="001A681E">
        <w:t>;</w:t>
      </w:r>
    </w:p>
    <w:p w14:paraId="486174D6" w14:textId="77777777" w:rsidR="003F3D44" w:rsidRPr="001A681E" w:rsidRDefault="00E361A9" w:rsidP="00B6022E">
      <w:pPr>
        <w:numPr>
          <w:ilvl w:val="2"/>
          <w:numId w:val="11"/>
        </w:numPr>
        <w:ind w:left="1080" w:hanging="360"/>
      </w:pPr>
      <w:r w:rsidRPr="001A681E">
        <w:t xml:space="preserve">External nasal valve </w:t>
      </w:r>
      <w:r w:rsidR="00FD6B1C" w:rsidRPr="001A681E">
        <w:t>compromise</w:t>
      </w:r>
      <w:r w:rsidR="00B6022E" w:rsidRPr="001A681E">
        <w:t xml:space="preserve"> due to collapse of the lower lateral cartilage;</w:t>
      </w:r>
    </w:p>
    <w:p w14:paraId="5DCC089D" w14:textId="7B5ACA8D" w:rsidR="00B6022E" w:rsidRPr="001A681E" w:rsidRDefault="00FD6B1C" w:rsidP="00B6022E">
      <w:pPr>
        <w:numPr>
          <w:ilvl w:val="1"/>
          <w:numId w:val="11"/>
        </w:numPr>
        <w:ind w:left="720"/>
      </w:pPr>
      <w:r w:rsidRPr="001A681E">
        <w:t>Complaints</w:t>
      </w:r>
      <w:r w:rsidR="00B6022E" w:rsidRPr="001A681E">
        <w:t xml:space="preserve"> of </w:t>
      </w:r>
      <w:r w:rsidRPr="001A681E">
        <w:t>obstructed</w:t>
      </w:r>
      <w:r w:rsidR="00B6022E" w:rsidRPr="001A681E">
        <w:t xml:space="preserve"> breathing that resolve with the Cottle maneuver or lateralization of the upper lateral cartilage from inside the nose with an object (cotton swab, nasal speculum</w:t>
      </w:r>
      <w:r w:rsidR="002F4417" w:rsidRPr="001A681E">
        <w:t>, outpatient nocturnal trial of external stents such as Breathe Right</w:t>
      </w:r>
      <w:r w:rsidR="00021D15" w:rsidRPr="001A681E">
        <w:rPr>
          <w:vertAlign w:val="superscript"/>
        </w:rPr>
        <w:t>®</w:t>
      </w:r>
      <w:r w:rsidR="002F4417" w:rsidRPr="001A681E">
        <w:t xml:space="preserve"> </w:t>
      </w:r>
      <w:r w:rsidR="00884B4B" w:rsidRPr="001A681E">
        <w:t xml:space="preserve">nasal </w:t>
      </w:r>
      <w:r w:rsidR="002F4417" w:rsidRPr="001A681E">
        <w:t>strips</w:t>
      </w:r>
      <w:r w:rsidR="00BB4A19" w:rsidRPr="001A681E">
        <w:t>,</w:t>
      </w:r>
      <w:r w:rsidR="00D95A85" w:rsidRPr="001A681E">
        <w:t xml:space="preserve"> or</w:t>
      </w:r>
      <w:r w:rsidR="00BB4A19" w:rsidRPr="001A681E">
        <w:t xml:space="preserve"> outpatient nocturnal trial of nasal dilators such as Max-Air Nose Cones</w:t>
      </w:r>
      <w:r w:rsidR="00BB4A19" w:rsidRPr="001A681E">
        <w:rPr>
          <w:vertAlign w:val="superscript"/>
        </w:rPr>
        <w:t>®</w:t>
      </w:r>
      <w:r w:rsidR="00BB4A19" w:rsidRPr="001A681E">
        <w:t xml:space="preserve"> and Sinus Cones</w:t>
      </w:r>
      <w:r w:rsidR="00BB4A19" w:rsidRPr="001A681E">
        <w:rPr>
          <w:vertAlign w:val="superscript"/>
        </w:rPr>
        <w:t>®</w:t>
      </w:r>
      <w:r w:rsidR="002F4417" w:rsidRPr="001A681E">
        <w:t>)</w:t>
      </w:r>
      <w:r w:rsidR="00B6022E" w:rsidRPr="001A681E">
        <w:t>;</w:t>
      </w:r>
    </w:p>
    <w:p w14:paraId="25502038" w14:textId="3A2A5015" w:rsidR="00B6022E" w:rsidRPr="004F04F5" w:rsidRDefault="00B6022E" w:rsidP="004F04F5">
      <w:pPr>
        <w:numPr>
          <w:ilvl w:val="1"/>
          <w:numId w:val="11"/>
        </w:numPr>
        <w:ind w:left="720"/>
        <w:rPr>
          <w:strike/>
        </w:rPr>
      </w:pPr>
      <w:r w:rsidRPr="004F04F5">
        <w:t>Other causes of obstructed breathing have been ruled out</w:t>
      </w:r>
      <w:r w:rsidR="00612DD1" w:rsidRPr="004F04F5">
        <w:t xml:space="preserve"> (e.g., sinusitis, allergic rhinitis, nonallergic rhinitis</w:t>
      </w:r>
      <w:r w:rsidR="00665585" w:rsidRPr="004F04F5">
        <w:t>, nasal polyps, adenoid hypertrophy, nasopharyngeal masses, septal deviation</w:t>
      </w:r>
      <w:r w:rsidR="00AD7ACE" w:rsidRPr="004F04F5">
        <w:t xml:space="preserve"> and turbinate hypertrophy);</w:t>
      </w:r>
    </w:p>
    <w:p w14:paraId="4F3AFC9D" w14:textId="044F09ED" w:rsidR="00AF3DD1" w:rsidRPr="004F04F5" w:rsidRDefault="007F468E" w:rsidP="004F04F5">
      <w:pPr>
        <w:numPr>
          <w:ilvl w:val="1"/>
          <w:numId w:val="11"/>
        </w:numPr>
        <w:ind w:left="720"/>
      </w:pPr>
      <w:r w:rsidRPr="004F04F5">
        <w:t xml:space="preserve">Symptoms persist despite conservative treatment </w:t>
      </w:r>
      <w:r w:rsidR="00404412" w:rsidRPr="004F04F5">
        <w:t>(e.g.,</w:t>
      </w:r>
      <w:r w:rsidR="00C17BA9" w:rsidRPr="004F04F5">
        <w:t xml:space="preserve"> nasal cones, external nasal dilator adhesive strips or a six</w:t>
      </w:r>
      <w:r w:rsidR="00093E9C" w:rsidRPr="004F04F5">
        <w:t>-</w:t>
      </w:r>
      <w:r w:rsidR="00C17BA9" w:rsidRPr="004F04F5">
        <w:t>week trial of nasal steroids</w:t>
      </w:r>
      <w:r w:rsidR="00404412" w:rsidRPr="004F04F5">
        <w:t>)</w:t>
      </w:r>
      <w:r w:rsidR="00EE5CA2" w:rsidRPr="004F04F5">
        <w:t>.</w:t>
      </w:r>
      <w:r w:rsidRPr="004F04F5">
        <w:t xml:space="preserve"> </w:t>
      </w:r>
    </w:p>
    <w:p w14:paraId="2CE9EAEB" w14:textId="77777777" w:rsidR="004F04F5" w:rsidRDefault="004F04F5" w:rsidP="004F04F5">
      <w:pPr>
        <w:ind w:left="720"/>
      </w:pPr>
    </w:p>
    <w:p w14:paraId="24F9E7C8" w14:textId="684A0087" w:rsidR="009C34C8" w:rsidRDefault="009C34C8" w:rsidP="004144C3">
      <w:pPr>
        <w:numPr>
          <w:ilvl w:val="0"/>
          <w:numId w:val="11"/>
        </w:numPr>
        <w:ind w:left="360"/>
      </w:pPr>
      <w:r>
        <w:rPr>
          <w:bCs/>
          <w:color w:val="000000"/>
        </w:rPr>
        <w:t xml:space="preserve">It is the policy of health plans affiliated with Centene Corporation </w:t>
      </w:r>
      <w:r>
        <w:t>that</w:t>
      </w:r>
      <w:r w:rsidR="00862BBD">
        <w:t xml:space="preserve"> </w:t>
      </w:r>
      <w:r w:rsidR="005E58B6">
        <w:t xml:space="preserve">safety and efficacy have not been established for </w:t>
      </w:r>
      <w:r w:rsidR="00862BBD">
        <w:t>the following</w:t>
      </w:r>
      <w:r>
        <w:t xml:space="preserve"> </w:t>
      </w:r>
      <w:r w:rsidR="00862BBD">
        <w:t>procedures for repair of nasal vestibular stenosis</w:t>
      </w:r>
      <w:r w:rsidR="00862BBD" w:rsidRPr="00F42668">
        <w:t>:</w:t>
      </w:r>
      <w:r>
        <w:t xml:space="preserve"> </w:t>
      </w:r>
    </w:p>
    <w:p w14:paraId="223DA7D8" w14:textId="77777777" w:rsidR="00862BBD" w:rsidRDefault="00862BBD" w:rsidP="00F42668">
      <w:pPr>
        <w:numPr>
          <w:ilvl w:val="1"/>
          <w:numId w:val="11"/>
        </w:numPr>
        <w:ind w:left="810"/>
      </w:pPr>
      <w:r>
        <w:t>Radiofrequency ablation (</w:t>
      </w:r>
      <w:proofErr w:type="spellStart"/>
      <w:r>
        <w:t>VivAer</w:t>
      </w:r>
      <w:proofErr w:type="spellEnd"/>
      <w:r w:rsidRPr="00747418">
        <w:rPr>
          <w:vertAlign w:val="superscript"/>
        </w:rPr>
        <w:t>®</w:t>
      </w:r>
      <w:r>
        <w:t>);</w:t>
      </w:r>
    </w:p>
    <w:p w14:paraId="325CC82F" w14:textId="77777777" w:rsidR="00862BBD" w:rsidRDefault="00862BBD" w:rsidP="00F42668">
      <w:pPr>
        <w:numPr>
          <w:ilvl w:val="1"/>
          <w:numId w:val="11"/>
        </w:numPr>
        <w:ind w:left="810"/>
      </w:pPr>
      <w:r>
        <w:t>A</w:t>
      </w:r>
      <w:r w:rsidRPr="0031719C">
        <w:t>bsorbable implants (Latera</w:t>
      </w:r>
      <w:r w:rsidRPr="00747418">
        <w:rPr>
          <w:vertAlign w:val="superscript"/>
        </w:rPr>
        <w:t>®</w:t>
      </w:r>
      <w:r w:rsidRPr="0031719C">
        <w:t>)</w:t>
      </w:r>
      <w:r>
        <w:t>;</w:t>
      </w:r>
    </w:p>
    <w:p w14:paraId="2C788E30" w14:textId="77777777" w:rsidR="00862BBD" w:rsidRDefault="00862BBD" w:rsidP="00F42668">
      <w:pPr>
        <w:numPr>
          <w:ilvl w:val="1"/>
          <w:numId w:val="11"/>
        </w:numPr>
        <w:ind w:left="810"/>
      </w:pPr>
      <w:r>
        <w:t>N</w:t>
      </w:r>
      <w:r w:rsidRPr="00862BBD">
        <w:t>asal valve suspension surgery</w:t>
      </w:r>
      <w:r>
        <w:t>.</w:t>
      </w:r>
    </w:p>
    <w:p w14:paraId="27F39C7C" w14:textId="77777777" w:rsidR="00FB139B" w:rsidRDefault="00FB139B" w:rsidP="003840CC">
      <w:pPr>
        <w:rPr>
          <w:bCs/>
          <w:color w:val="000000"/>
        </w:rPr>
      </w:pPr>
    </w:p>
    <w:p w14:paraId="47C6FABE" w14:textId="77777777" w:rsidR="00336C8C" w:rsidRPr="00AC498F" w:rsidRDefault="00FB0592" w:rsidP="00AC498F">
      <w:pPr>
        <w:pStyle w:val="Heading2"/>
        <w:rPr>
          <w:u w:val="none"/>
        </w:rPr>
      </w:pPr>
      <w:r w:rsidRPr="00B777AF">
        <w:rPr>
          <w:u w:val="none"/>
        </w:rPr>
        <w:t>Background</w:t>
      </w:r>
    </w:p>
    <w:p w14:paraId="378E1F9E" w14:textId="58059722" w:rsidR="00FC6568" w:rsidRDefault="00FC6568" w:rsidP="00336C8C">
      <w:r>
        <w:t xml:space="preserve">Nasal valve </w:t>
      </w:r>
      <w:r w:rsidR="00AC498F">
        <w:t>compromise</w:t>
      </w:r>
      <w:r>
        <w:t xml:space="preserve"> (NVC</w:t>
      </w:r>
      <w:r w:rsidR="00AC498F">
        <w:t>)</w:t>
      </w:r>
      <w:r w:rsidR="0027074A">
        <w:t>, also known as nasal valve collapse,</w:t>
      </w:r>
      <w:r>
        <w:t xml:space="preserve"> is </w:t>
      </w:r>
      <w:r w:rsidR="00A32ABB">
        <w:t xml:space="preserve">a narrowing of the nasal passageway </w:t>
      </w:r>
      <w:r w:rsidR="0027074A">
        <w:t xml:space="preserve">causing </w:t>
      </w:r>
      <w:r w:rsidR="00A32ABB">
        <w:t>difficult, obstructed breathing.</w:t>
      </w:r>
      <w:r w:rsidR="0027074A">
        <w:t xml:space="preserve"> Reasons for NVC are often multifactorial and can be caused by </w:t>
      </w:r>
      <w:r w:rsidR="00FA00A1">
        <w:t>structural</w:t>
      </w:r>
      <w:r w:rsidR="00A32ABB">
        <w:t xml:space="preserve"> weakness or collapse</w:t>
      </w:r>
      <w:r w:rsidR="0027074A">
        <w:t xml:space="preserve"> of the nasal valve</w:t>
      </w:r>
      <w:r w:rsidR="00604996">
        <w:t xml:space="preserve"> due to injury or trauma, nasal surgery, chronic inflammation, congenital defects </w:t>
      </w:r>
      <w:r w:rsidR="00AC498F">
        <w:t>or</w:t>
      </w:r>
      <w:r w:rsidR="00604996">
        <w:t xml:space="preserve"> the natural aging process</w:t>
      </w:r>
      <w:r w:rsidR="00AC498F">
        <w:t xml:space="preserve">. </w:t>
      </w:r>
      <w:r w:rsidR="0027074A">
        <w:t>NVC</w:t>
      </w:r>
      <w:r w:rsidR="00FA00A1">
        <w:t xml:space="preserve"> may also present as a symptom of rhinitis, sinusitis, septal deviation or adenoid hypertrophy</w:t>
      </w:r>
      <w:r w:rsidR="00604996">
        <w:t>.</w:t>
      </w:r>
      <w:r w:rsidR="00846ED4">
        <w:rPr>
          <w:vertAlign w:val="superscript"/>
        </w:rPr>
        <w:t>1</w:t>
      </w:r>
      <w:r w:rsidR="001C7295">
        <w:rPr>
          <w:vertAlign w:val="superscript"/>
        </w:rPr>
        <w:t>,2,3,4,5</w:t>
      </w:r>
      <w:r w:rsidR="00AC498F">
        <w:t xml:space="preserve"> </w:t>
      </w:r>
    </w:p>
    <w:p w14:paraId="625FCD02" w14:textId="77777777" w:rsidR="00AC498F" w:rsidRPr="00B533F1" w:rsidRDefault="00AC498F" w:rsidP="00336C8C"/>
    <w:p w14:paraId="1048B30D" w14:textId="2D81C5DD" w:rsidR="00FC6568" w:rsidRPr="00301928" w:rsidRDefault="00FC6568" w:rsidP="00FC6568">
      <w:r w:rsidRPr="00B533F1">
        <w:t xml:space="preserve">Epidemiology </w:t>
      </w:r>
      <w:r w:rsidR="003B2A24">
        <w:t xml:space="preserve">information proposes </w:t>
      </w:r>
      <w:r w:rsidRPr="00B533F1">
        <w:t>that up to 13% of patients with chronic nasal obstruction have NVC</w:t>
      </w:r>
      <w:r w:rsidR="003B2A24">
        <w:t>, and it</w:t>
      </w:r>
      <w:r w:rsidRPr="00B533F1">
        <w:t xml:space="preserve"> is </w:t>
      </w:r>
      <w:r w:rsidR="003B2A24">
        <w:t xml:space="preserve">primarily </w:t>
      </w:r>
      <w:r w:rsidRPr="00B533F1">
        <w:t>a unilateral condition in as many as 88% of patients.</w:t>
      </w:r>
      <w:r w:rsidR="002E307F">
        <w:rPr>
          <w:vertAlign w:val="superscript"/>
        </w:rPr>
        <w:t>6</w:t>
      </w:r>
      <w:r w:rsidR="003B2A24" w:rsidRPr="003B2A24">
        <w:t xml:space="preserve"> </w:t>
      </w:r>
    </w:p>
    <w:p w14:paraId="5009ADB9" w14:textId="77777777" w:rsidR="00256D56" w:rsidRDefault="00256D56" w:rsidP="00FC6568">
      <w:pPr>
        <w:rPr>
          <w:color w:val="403152" w:themeColor="accent4" w:themeShade="80"/>
        </w:rPr>
      </w:pPr>
    </w:p>
    <w:p w14:paraId="1E5A6E4C" w14:textId="48189FA1" w:rsidR="00336C8C" w:rsidRPr="00301928" w:rsidRDefault="00256D56" w:rsidP="00336C8C">
      <w:pPr>
        <w:rPr>
          <w:vertAlign w:val="superscript"/>
        </w:rPr>
      </w:pPr>
      <w:r w:rsidRPr="00320495">
        <w:t xml:space="preserve">Symptoms of NVC include </w:t>
      </w:r>
      <w:r w:rsidR="00336C8C" w:rsidRPr="00320495">
        <w:t>difficulty inhaling through the n</w:t>
      </w:r>
      <w:r w:rsidRPr="00320495">
        <w:t>ose, sensation of congestion, stuffiness, fullness or blockage</w:t>
      </w:r>
      <w:r w:rsidR="00336C8C" w:rsidRPr="00320495">
        <w:t xml:space="preserve">, nasal bleeding, and snoring. </w:t>
      </w:r>
      <w:r w:rsidRPr="00320495">
        <w:t>Symptoms may become exacerbated at different times of the day, seasonally</w:t>
      </w:r>
      <w:r w:rsidR="00320495">
        <w:t>,</w:t>
      </w:r>
      <w:r w:rsidRPr="00320495">
        <w:t xml:space="preserve"> with exposure to different environmental stimuli and in </w:t>
      </w:r>
      <w:r w:rsidR="00336C8C" w:rsidRPr="00320495">
        <w:t>the supine position.</w:t>
      </w:r>
      <w:r w:rsidR="005920CA">
        <w:rPr>
          <w:vertAlign w:val="superscript"/>
        </w:rPr>
        <w:t>1</w:t>
      </w:r>
    </w:p>
    <w:p w14:paraId="0E461628" w14:textId="77777777" w:rsidR="00336C8C" w:rsidRDefault="00336C8C" w:rsidP="00336C8C">
      <w:pPr>
        <w:rPr>
          <w:color w:val="403152" w:themeColor="accent4" w:themeShade="80"/>
        </w:rPr>
      </w:pPr>
    </w:p>
    <w:p w14:paraId="31CCA704" w14:textId="48BC93C2" w:rsidR="00FC6568" w:rsidRDefault="00320495" w:rsidP="00336C8C">
      <w:r>
        <w:t>When diagnosing NVC there are several specific questions and tests a physician may use in addition to a thorough</w:t>
      </w:r>
      <w:r w:rsidR="008504F1">
        <w:t xml:space="preserve"> medial</w:t>
      </w:r>
      <w:r>
        <w:t xml:space="preserve"> history and physical exam of the nose,</w:t>
      </w:r>
      <w:r w:rsidRPr="00320495">
        <w:t xml:space="preserve"> </w:t>
      </w:r>
      <w:r>
        <w:t>nasal cavity, and</w:t>
      </w:r>
      <w:r w:rsidRPr="00320495">
        <w:t xml:space="preserve"> nasopharynx</w:t>
      </w:r>
      <w:r>
        <w:t>.</w:t>
      </w:r>
      <w:r w:rsidR="00212F21">
        <w:rPr>
          <w:vertAlign w:val="superscript"/>
        </w:rPr>
        <w:t>1,</w:t>
      </w:r>
      <w:r w:rsidR="002E307F">
        <w:rPr>
          <w:vertAlign w:val="superscript"/>
        </w:rPr>
        <w:t>3</w:t>
      </w:r>
      <w:r>
        <w:t xml:space="preserve"> </w:t>
      </w:r>
    </w:p>
    <w:p w14:paraId="13301DEC" w14:textId="77777777" w:rsidR="00320495" w:rsidRDefault="00320495" w:rsidP="00336C8C"/>
    <w:p w14:paraId="37F89591" w14:textId="77777777" w:rsidR="00320495" w:rsidRPr="004B14F4" w:rsidRDefault="00320495" w:rsidP="00320495">
      <w:pPr>
        <w:rPr>
          <w:vertAlign w:val="superscript"/>
        </w:rPr>
      </w:pPr>
      <w:r>
        <w:t>Important medical history questions include:</w:t>
      </w:r>
      <w:r w:rsidR="004B14F4">
        <w:rPr>
          <w:vertAlign w:val="superscript"/>
        </w:rPr>
        <w:t>1</w:t>
      </w:r>
    </w:p>
    <w:p w14:paraId="568EA34E" w14:textId="5CA4764C" w:rsidR="00320495" w:rsidRPr="00B533F1" w:rsidRDefault="00320495" w:rsidP="00320495">
      <w:pPr>
        <w:numPr>
          <w:ilvl w:val="0"/>
          <w:numId w:val="6"/>
        </w:numPr>
      </w:pPr>
      <w:r w:rsidRPr="00B533F1">
        <w:t xml:space="preserve">Location – Whether </w:t>
      </w:r>
      <w:r w:rsidR="00AF22AE" w:rsidRPr="00B533F1">
        <w:t xml:space="preserve">or not </w:t>
      </w:r>
      <w:r w:rsidRPr="00B533F1">
        <w:t>symptoms are unilateral</w:t>
      </w:r>
      <w:r w:rsidR="0022707F">
        <w:t xml:space="preserve"> or bilateral</w:t>
      </w:r>
    </w:p>
    <w:p w14:paraId="391BDA0D" w14:textId="21315AE4" w:rsidR="00320495" w:rsidRPr="00B533F1" w:rsidRDefault="00320495" w:rsidP="00320495">
      <w:pPr>
        <w:numPr>
          <w:ilvl w:val="0"/>
          <w:numId w:val="6"/>
        </w:numPr>
      </w:pPr>
      <w:r w:rsidRPr="00B533F1">
        <w:t xml:space="preserve">Time course – </w:t>
      </w:r>
      <w:r w:rsidR="00AF22AE" w:rsidRPr="00B533F1">
        <w:t>History</w:t>
      </w:r>
      <w:r w:rsidRPr="00B533F1">
        <w:t xml:space="preserve"> of the nasal symptoms, including </w:t>
      </w:r>
      <w:r w:rsidR="00AF22AE" w:rsidRPr="00B533F1">
        <w:t>time of day</w:t>
      </w:r>
      <w:r w:rsidRPr="00B533F1">
        <w:t xml:space="preserve"> and seasonal variation </w:t>
      </w:r>
      <w:r w:rsidR="00AF22AE" w:rsidRPr="00B533F1">
        <w:t xml:space="preserve">to rule out </w:t>
      </w:r>
      <w:r w:rsidRPr="00B533F1">
        <w:t>allergic process</w:t>
      </w:r>
      <w:r w:rsidR="00F017C1">
        <w:t>es</w:t>
      </w:r>
    </w:p>
    <w:p w14:paraId="7C890214" w14:textId="77777777" w:rsidR="00320495" w:rsidRPr="00B533F1" w:rsidRDefault="00320495" w:rsidP="00320495">
      <w:pPr>
        <w:numPr>
          <w:ilvl w:val="0"/>
          <w:numId w:val="6"/>
        </w:numPr>
      </w:pPr>
      <w:r w:rsidRPr="00B533F1">
        <w:t>Triggers – Allergic stimuli and airborne exposures</w:t>
      </w:r>
    </w:p>
    <w:p w14:paraId="2F21C5E8" w14:textId="77777777" w:rsidR="00320495" w:rsidRPr="00B533F1" w:rsidRDefault="00320495" w:rsidP="00320495">
      <w:pPr>
        <w:numPr>
          <w:ilvl w:val="0"/>
          <w:numId w:val="6"/>
        </w:numPr>
      </w:pPr>
      <w:r w:rsidRPr="00B533F1">
        <w:t xml:space="preserve">Symptoms of rhinosinusitis – Facial pain or pressure, nasal congestion, </w:t>
      </w:r>
      <w:proofErr w:type="spellStart"/>
      <w:r w:rsidRPr="00B533F1">
        <w:t>dysosmia</w:t>
      </w:r>
      <w:proofErr w:type="spellEnd"/>
      <w:r w:rsidRPr="00B533F1">
        <w:t>, headache, purulent nasal discharge</w:t>
      </w:r>
    </w:p>
    <w:p w14:paraId="3DB22CDF" w14:textId="77777777" w:rsidR="00320495" w:rsidRPr="00B533F1" w:rsidRDefault="00320495" w:rsidP="00320495">
      <w:pPr>
        <w:numPr>
          <w:ilvl w:val="0"/>
          <w:numId w:val="6"/>
        </w:numPr>
      </w:pPr>
      <w:r w:rsidRPr="00B533F1">
        <w:t>Symptoms suggesting malignancy – Facial deformity, cranial nerve dysfunction, and unexplained epistaxis</w:t>
      </w:r>
    </w:p>
    <w:p w14:paraId="77704DCF" w14:textId="77777777" w:rsidR="00320495" w:rsidRPr="00B533F1" w:rsidRDefault="00320495" w:rsidP="00320495">
      <w:pPr>
        <w:numPr>
          <w:ilvl w:val="0"/>
          <w:numId w:val="6"/>
        </w:numPr>
      </w:pPr>
      <w:r w:rsidRPr="00B533F1">
        <w:t>Intranasal drug use – Intranasal cocaine or overuse of topical nasal decongestant, such as oxymetazoline or phenylephrine</w:t>
      </w:r>
    </w:p>
    <w:p w14:paraId="2A66067F" w14:textId="77777777" w:rsidR="00320495" w:rsidRPr="00B533F1" w:rsidRDefault="00320495" w:rsidP="00320495">
      <w:pPr>
        <w:numPr>
          <w:ilvl w:val="0"/>
          <w:numId w:val="6"/>
        </w:numPr>
      </w:pPr>
      <w:r w:rsidRPr="00B533F1">
        <w:t>Oral medications – Oral contraceptives, antithyroid medication, antihypertensive medication, antidepressants, and benzodiazepines</w:t>
      </w:r>
    </w:p>
    <w:p w14:paraId="2713F933" w14:textId="77777777" w:rsidR="00320495" w:rsidRPr="00B533F1" w:rsidRDefault="00320495" w:rsidP="00320495">
      <w:pPr>
        <w:numPr>
          <w:ilvl w:val="0"/>
          <w:numId w:val="6"/>
        </w:numPr>
      </w:pPr>
      <w:r w:rsidRPr="00B533F1">
        <w:t>Trauma – History of nasal trauma or previous nasal surgery, particularly rhinoplasty</w:t>
      </w:r>
    </w:p>
    <w:p w14:paraId="444BE2CF" w14:textId="7A27C1D8" w:rsidR="00320495" w:rsidRPr="00B533F1" w:rsidRDefault="00320495" w:rsidP="00320495">
      <w:pPr>
        <w:numPr>
          <w:ilvl w:val="0"/>
          <w:numId w:val="6"/>
        </w:numPr>
      </w:pPr>
      <w:r w:rsidRPr="00B533F1">
        <w:t>Medical history – Granulomatosis with polyangiitis, cystic fibrosis, sarcoidosis, and syphilis</w:t>
      </w:r>
      <w:r w:rsidR="005920CA">
        <w:t>, and asthma</w:t>
      </w:r>
    </w:p>
    <w:p w14:paraId="2E48EB67" w14:textId="77777777" w:rsidR="00336C8C" w:rsidRPr="00B533F1" w:rsidRDefault="00336C8C" w:rsidP="00336C8C"/>
    <w:p w14:paraId="3E7B9DD8" w14:textId="43792A15" w:rsidR="00336C8C" w:rsidRPr="00B533F1" w:rsidRDefault="00336C8C" w:rsidP="00336C8C">
      <w:pPr>
        <w:rPr>
          <w:vertAlign w:val="superscript"/>
        </w:rPr>
      </w:pPr>
      <w:r w:rsidRPr="00B533F1">
        <w:t>Specific tests indicated in cases of suspected NVC include:</w:t>
      </w:r>
      <w:r w:rsidR="004B14F4" w:rsidRPr="00B533F1">
        <w:rPr>
          <w:vertAlign w:val="superscript"/>
        </w:rPr>
        <w:t>1,</w:t>
      </w:r>
      <w:r w:rsidR="002E307F">
        <w:rPr>
          <w:vertAlign w:val="superscript"/>
        </w:rPr>
        <w:t>6</w:t>
      </w:r>
    </w:p>
    <w:p w14:paraId="27632FA0" w14:textId="77777777" w:rsidR="00336C8C" w:rsidRPr="00B533F1" w:rsidRDefault="00336C8C" w:rsidP="00DC406A">
      <w:pPr>
        <w:numPr>
          <w:ilvl w:val="0"/>
          <w:numId w:val="6"/>
        </w:numPr>
      </w:pPr>
      <w:r w:rsidRPr="00B533F1">
        <w:t xml:space="preserve">NOSE score (Nasal Obstruction Symptom Evaluation) </w:t>
      </w:r>
    </w:p>
    <w:p w14:paraId="2326E3E5" w14:textId="77777777" w:rsidR="00320495" w:rsidRPr="00B533F1" w:rsidRDefault="004B14F4" w:rsidP="004B14F4">
      <w:pPr>
        <w:numPr>
          <w:ilvl w:val="0"/>
          <w:numId w:val="6"/>
        </w:numPr>
      </w:pPr>
      <w:r w:rsidRPr="00B533F1">
        <w:t>Cottle's maneuver – W</w:t>
      </w:r>
      <w:r w:rsidR="00336C8C" w:rsidRPr="00B533F1">
        <w:t xml:space="preserve">idening the </w:t>
      </w:r>
      <w:r w:rsidRPr="00B533F1">
        <w:t>nasal valve angle by pulling laterally on the cheeks</w:t>
      </w:r>
      <w:r w:rsidR="00336C8C" w:rsidRPr="00B533F1">
        <w:t xml:space="preserve"> and assessing for improvement in nasal breathing</w:t>
      </w:r>
    </w:p>
    <w:p w14:paraId="260188B5" w14:textId="77777777" w:rsidR="00336C8C" w:rsidRPr="00B533F1" w:rsidRDefault="004B14F4" w:rsidP="00DC406A">
      <w:pPr>
        <w:numPr>
          <w:ilvl w:val="0"/>
          <w:numId w:val="6"/>
        </w:numPr>
      </w:pPr>
      <w:r w:rsidRPr="00B533F1">
        <w:t>Bachman's maneuver – W</w:t>
      </w:r>
      <w:r w:rsidR="00336C8C" w:rsidRPr="00B533F1">
        <w:t>idening and stabilizing the nasal valve using instruments</w:t>
      </w:r>
      <w:r w:rsidR="008D1F26" w:rsidRPr="00B533F1">
        <w:t xml:space="preserve"> </w:t>
      </w:r>
      <w:r w:rsidR="00336C8C" w:rsidRPr="00B533F1">
        <w:t xml:space="preserve">simulating the effect of a surgical procedure while assessing the subjective impact on nasal breathing </w:t>
      </w:r>
    </w:p>
    <w:p w14:paraId="23E64A4B" w14:textId="77777777" w:rsidR="00336C8C" w:rsidRPr="00B533F1" w:rsidRDefault="00336C8C" w:rsidP="00DC406A">
      <w:pPr>
        <w:numPr>
          <w:ilvl w:val="0"/>
          <w:numId w:val="6"/>
        </w:numPr>
      </w:pPr>
      <w:r w:rsidRPr="00B533F1">
        <w:t xml:space="preserve">Nasal decongestant instillation </w:t>
      </w:r>
    </w:p>
    <w:p w14:paraId="54BCDE1C" w14:textId="77777777" w:rsidR="00336C8C" w:rsidRPr="00B533F1" w:rsidRDefault="00336C8C" w:rsidP="00DC406A">
      <w:pPr>
        <w:numPr>
          <w:ilvl w:val="0"/>
          <w:numId w:val="6"/>
        </w:numPr>
      </w:pPr>
      <w:r w:rsidRPr="00B533F1">
        <w:t xml:space="preserve">Rhinomanometry </w:t>
      </w:r>
    </w:p>
    <w:p w14:paraId="6CA1C138" w14:textId="77777777" w:rsidR="00336C8C" w:rsidRPr="00B533F1" w:rsidRDefault="00336C8C" w:rsidP="00DC406A">
      <w:pPr>
        <w:numPr>
          <w:ilvl w:val="0"/>
          <w:numId w:val="6"/>
        </w:numPr>
      </w:pPr>
      <w:r w:rsidRPr="00B533F1">
        <w:t xml:space="preserve">Acoustic rhinometry </w:t>
      </w:r>
    </w:p>
    <w:p w14:paraId="147E7483" w14:textId="77777777" w:rsidR="00336C8C" w:rsidRPr="00B533F1" w:rsidRDefault="00336C8C" w:rsidP="00336C8C">
      <w:pPr>
        <w:numPr>
          <w:ilvl w:val="0"/>
          <w:numId w:val="6"/>
        </w:numPr>
      </w:pPr>
      <w:r w:rsidRPr="00B533F1">
        <w:t xml:space="preserve">Full assessment of facial nerves to detect denervation or paralysis </w:t>
      </w:r>
    </w:p>
    <w:p w14:paraId="5248801C" w14:textId="77777777" w:rsidR="00320495" w:rsidRPr="00B533F1" w:rsidRDefault="00320495" w:rsidP="00320495">
      <w:pPr>
        <w:pStyle w:val="ListParagraph"/>
        <w:numPr>
          <w:ilvl w:val="0"/>
          <w:numId w:val="6"/>
        </w:numPr>
      </w:pPr>
      <w:r w:rsidRPr="00B533F1">
        <w:t xml:space="preserve">Anterior rhinoscopy </w:t>
      </w:r>
    </w:p>
    <w:p w14:paraId="426786B1" w14:textId="77777777" w:rsidR="00320495" w:rsidRPr="00B533F1" w:rsidRDefault="00320495" w:rsidP="00320495">
      <w:pPr>
        <w:pStyle w:val="ListParagraph"/>
        <w:numPr>
          <w:ilvl w:val="0"/>
          <w:numId w:val="6"/>
        </w:numPr>
      </w:pPr>
      <w:r w:rsidRPr="00B533F1">
        <w:t>Nasal</w:t>
      </w:r>
      <w:r w:rsidR="004B14F4" w:rsidRPr="00B533F1">
        <w:t xml:space="preserve"> endoscopy</w:t>
      </w:r>
    </w:p>
    <w:p w14:paraId="18A709F2" w14:textId="77777777" w:rsidR="00B533F1" w:rsidRPr="00B533F1" w:rsidRDefault="00B533F1" w:rsidP="00B533F1">
      <w:pPr>
        <w:pStyle w:val="ListParagraph"/>
        <w:numPr>
          <w:ilvl w:val="0"/>
          <w:numId w:val="6"/>
        </w:numPr>
      </w:pPr>
      <w:r w:rsidRPr="00B533F1">
        <w:t xml:space="preserve">Computed tomography (CT) scan of the nose and paranasal sinuses </w:t>
      </w:r>
    </w:p>
    <w:p w14:paraId="5B3553FE" w14:textId="77777777" w:rsidR="00336C8C" w:rsidRPr="008504F1" w:rsidRDefault="00336C8C" w:rsidP="004335AC">
      <w:pPr>
        <w:numPr>
          <w:ilvl w:val="0"/>
          <w:numId w:val="6"/>
        </w:numPr>
        <w:rPr>
          <w:color w:val="0070C0"/>
        </w:rPr>
      </w:pPr>
      <w:r w:rsidRPr="00B533F1">
        <w:t xml:space="preserve">Peak nasal airflow </w:t>
      </w:r>
    </w:p>
    <w:p w14:paraId="27E41144" w14:textId="77777777" w:rsidR="008504F1" w:rsidRPr="008504F1" w:rsidRDefault="008504F1" w:rsidP="008504F1">
      <w:pPr>
        <w:ind w:left="720"/>
        <w:rPr>
          <w:color w:val="0070C0"/>
        </w:rPr>
      </w:pPr>
    </w:p>
    <w:p w14:paraId="737716F2" w14:textId="23D11374" w:rsidR="00D24025" w:rsidRPr="00301928" w:rsidRDefault="00F44AFA" w:rsidP="00D24025">
      <w:pPr>
        <w:rPr>
          <w:vertAlign w:val="superscript"/>
        </w:rPr>
      </w:pPr>
      <w:r w:rsidRPr="00F44AFA">
        <w:t xml:space="preserve">Surgical intervention is the primary treatment for NVC and typically consists of </w:t>
      </w:r>
      <w:r w:rsidR="008504F1">
        <w:t xml:space="preserve">insertion of </w:t>
      </w:r>
      <w:r w:rsidRPr="00F44AFA">
        <w:t>cartilage grafts to support the existing cartilage in the lateral nasal wall or alar rim.</w:t>
      </w:r>
      <w:r w:rsidR="002E307F">
        <w:rPr>
          <w:vertAlign w:val="superscript"/>
        </w:rPr>
        <w:t>7</w:t>
      </w:r>
      <w:r w:rsidR="00DE5E23">
        <w:rPr>
          <w:vertAlign w:val="superscript"/>
        </w:rPr>
        <w:t>,8,9</w:t>
      </w:r>
      <w:r w:rsidRPr="00F44AFA">
        <w:t xml:space="preserve"> There is also consensus that</w:t>
      </w:r>
      <w:r w:rsidR="008504F1">
        <w:t>,</w:t>
      </w:r>
      <w:r w:rsidRPr="00F44AFA">
        <w:t xml:space="preserve"> although a separate entity, correction of a deviated septum or hypertrophied turbinate can sometimes correct NVC.</w:t>
      </w:r>
      <w:r w:rsidR="002E307F">
        <w:rPr>
          <w:vertAlign w:val="superscript"/>
        </w:rPr>
        <w:t>7</w:t>
      </w:r>
      <w:r w:rsidRPr="00F44AFA">
        <w:t xml:space="preserve"> </w:t>
      </w:r>
    </w:p>
    <w:p w14:paraId="3AB8396D" w14:textId="77777777" w:rsidR="00C368A5" w:rsidRDefault="00C368A5" w:rsidP="00F83974">
      <w:pPr>
        <w:rPr>
          <w:color w:val="7030A0"/>
        </w:rPr>
      </w:pPr>
    </w:p>
    <w:p w14:paraId="751CDE5B" w14:textId="77777777" w:rsidR="005D4B32" w:rsidRDefault="005D4B32" w:rsidP="00F83974">
      <w:pPr>
        <w:rPr>
          <w:color w:val="7030A0"/>
        </w:rPr>
      </w:pPr>
    </w:p>
    <w:p w14:paraId="4A41E6A5" w14:textId="77777777" w:rsidR="005D4B32" w:rsidRDefault="005D4B32" w:rsidP="00F83974">
      <w:pPr>
        <w:rPr>
          <w:color w:val="7030A0"/>
        </w:rPr>
      </w:pPr>
    </w:p>
    <w:p w14:paraId="6ECC1223" w14:textId="1231BE2F" w:rsidR="00E8357E" w:rsidRPr="00D74D57" w:rsidRDefault="00941F79" w:rsidP="00F83974">
      <w:pPr>
        <w:rPr>
          <w:i/>
        </w:rPr>
      </w:pPr>
      <w:proofErr w:type="spellStart"/>
      <w:r w:rsidRPr="00D74D57">
        <w:rPr>
          <w:i/>
        </w:rPr>
        <w:lastRenderedPageBreak/>
        <w:t>VivAe</w:t>
      </w:r>
      <w:r w:rsidRPr="00A06ED5">
        <w:rPr>
          <w:i/>
        </w:rPr>
        <w:t>r</w:t>
      </w:r>
      <w:proofErr w:type="spellEnd"/>
      <w:r w:rsidR="00A06ED5" w:rsidRPr="00A06ED5">
        <w:rPr>
          <w:i/>
          <w:vertAlign w:val="superscript"/>
        </w:rPr>
        <w:t>®</w:t>
      </w:r>
    </w:p>
    <w:p w14:paraId="45DA088E" w14:textId="4967CC62" w:rsidR="00941F79" w:rsidRPr="00D74D57" w:rsidRDefault="00941F79" w:rsidP="00941F79">
      <w:pPr>
        <w:rPr>
          <w:vertAlign w:val="superscript"/>
        </w:rPr>
      </w:pPr>
      <w:r w:rsidRPr="00D74D57">
        <w:t xml:space="preserve">The </w:t>
      </w:r>
      <w:r w:rsidR="0004214D" w:rsidRPr="00D74D57">
        <w:t>Aerin</w:t>
      </w:r>
      <w:r w:rsidR="0004214D" w:rsidRPr="00301928">
        <w:rPr>
          <w:vertAlign w:val="superscript"/>
        </w:rPr>
        <w:t>™</w:t>
      </w:r>
      <w:r w:rsidR="0004214D" w:rsidRPr="00D74D57">
        <w:t xml:space="preserve"> </w:t>
      </w:r>
      <w:proofErr w:type="spellStart"/>
      <w:r w:rsidRPr="00D74D57">
        <w:t>VivAer</w:t>
      </w:r>
      <w:proofErr w:type="spellEnd"/>
      <w:r w:rsidR="008504F1" w:rsidRPr="00A06ED5">
        <w:rPr>
          <w:i/>
          <w:vertAlign w:val="superscript"/>
        </w:rPr>
        <w:t>®</w:t>
      </w:r>
      <w:r w:rsidRPr="00D74D57">
        <w:t xml:space="preserve"> procedure </w:t>
      </w:r>
      <w:r w:rsidR="0004214D" w:rsidRPr="00D74D57">
        <w:t>is a non-invasive, office</w:t>
      </w:r>
      <w:r w:rsidR="003D0BE3">
        <w:t>-</w:t>
      </w:r>
      <w:r w:rsidR="0004214D" w:rsidRPr="00D74D57">
        <w:t xml:space="preserve">based procedure that </w:t>
      </w:r>
      <w:r w:rsidRPr="00D74D57">
        <w:t>employs low-dose radiofrequency (RF) energy to modify soft tissues of the nose with the intent of improving airflow for patients with nasal valve collapse (NVC).</w:t>
      </w:r>
      <w:r w:rsidR="0004214D" w:rsidRPr="00D74D57">
        <w:t xml:space="preserve"> The Aerin</w:t>
      </w:r>
      <w:r w:rsidR="0004214D" w:rsidRPr="00301928">
        <w:rPr>
          <w:vertAlign w:val="superscript"/>
        </w:rPr>
        <w:t>™</w:t>
      </w:r>
      <w:r w:rsidR="0004214D" w:rsidRPr="00D74D57">
        <w:t xml:space="preserve"> System automatically adjusts the power output to maintain target temperature for therapeutic benefit while sparing surrounding tissue, including mucosa. </w:t>
      </w:r>
      <w:r w:rsidRPr="00D74D57">
        <w:t xml:space="preserve">The RF energy allows tissue to be repositioned laterally and creates a coagulation lesion. As the lesion heals, the tissue retracts and stiffens to lessen the degree of obstruction, decrease the airflow resistance, and improve the inhaled flow of air through the nose. </w:t>
      </w:r>
      <w:r w:rsidR="00336C8C" w:rsidRPr="00D74D57">
        <w:t>The device consists of a console and two styluses, one for nasal airway obstructio</w:t>
      </w:r>
      <w:r w:rsidR="00D74D57" w:rsidRPr="00D74D57">
        <w:t>n and one for chroni</w:t>
      </w:r>
      <w:r w:rsidR="0084310D">
        <w:t>c</w:t>
      </w:r>
      <w:r w:rsidR="00D74D57" w:rsidRPr="00D74D57">
        <w:t xml:space="preserve"> rhinitis.</w:t>
      </w:r>
      <w:r w:rsidR="002E307F">
        <w:rPr>
          <w:vertAlign w:val="superscript"/>
        </w:rPr>
        <w:t>6</w:t>
      </w:r>
      <w:r w:rsidR="00D74D57" w:rsidRPr="00D74D57">
        <w:rPr>
          <w:vertAlign w:val="superscript"/>
        </w:rPr>
        <w:t>,</w:t>
      </w:r>
      <w:r w:rsidR="002E307F">
        <w:rPr>
          <w:vertAlign w:val="superscript"/>
        </w:rPr>
        <w:t>10</w:t>
      </w:r>
    </w:p>
    <w:p w14:paraId="588714AA" w14:textId="77777777" w:rsidR="00C368A5" w:rsidRPr="00D74D57" w:rsidRDefault="00C368A5" w:rsidP="00C368A5"/>
    <w:p w14:paraId="5B056CEA" w14:textId="2F23B7E3" w:rsidR="00083F95" w:rsidRDefault="00941F79" w:rsidP="00C368A5">
      <w:r w:rsidRPr="00D74D57">
        <w:t>According to the Hayes Evolving Evidence Review, a</w:t>
      </w:r>
      <w:r w:rsidR="00C368A5" w:rsidRPr="00D74D57">
        <w:t xml:space="preserve"> review of full-text clinical studies suggests minimal support for using the </w:t>
      </w:r>
      <w:proofErr w:type="spellStart"/>
      <w:r w:rsidR="00C368A5" w:rsidRPr="00D74D57">
        <w:t>VivAer</w:t>
      </w:r>
      <w:proofErr w:type="spellEnd"/>
      <w:r w:rsidR="00C368A5" w:rsidRPr="00D74D57">
        <w:t xml:space="preserve"> radiofrequency procedure for remodeling the nasal valve area when collapse of the nasal valve is associated with chronic nasal obstructive symptoms. </w:t>
      </w:r>
      <w:proofErr w:type="spellStart"/>
      <w:r w:rsidR="001B5BFE">
        <w:t>Viv</w:t>
      </w:r>
      <w:r w:rsidR="00027E06">
        <w:t>Aer</w:t>
      </w:r>
      <w:proofErr w:type="spellEnd"/>
      <w:r w:rsidR="00027E06">
        <w:t xml:space="preserve"> is a novel treatment for nasal airway obstruction</w:t>
      </w:r>
      <w:r w:rsidR="00AD2A17">
        <w:t xml:space="preserve"> that allows delivery of energy to multiple intranasal surfaces (as opposed to only the turbinate) during a treatment session. </w:t>
      </w:r>
      <w:proofErr w:type="spellStart"/>
      <w:r w:rsidR="00765F54">
        <w:t>VivAer</w:t>
      </w:r>
      <w:proofErr w:type="spellEnd"/>
      <w:r w:rsidR="00D5502B">
        <w:t xml:space="preserve"> can </w:t>
      </w:r>
      <w:r w:rsidR="00A375D1">
        <w:t xml:space="preserve">also be used following nasal surgeries, which are a common </w:t>
      </w:r>
      <w:r w:rsidR="00A1453D">
        <w:t xml:space="preserve">cause of nasal valve dysfunction. </w:t>
      </w:r>
      <w:r w:rsidR="003C42CF">
        <w:t xml:space="preserve">Four </w:t>
      </w:r>
      <w:r w:rsidR="003A3CA6">
        <w:t xml:space="preserve">clinical </w:t>
      </w:r>
      <w:r w:rsidR="003C42CF">
        <w:t xml:space="preserve">studies </w:t>
      </w:r>
      <w:r w:rsidR="00B81364">
        <w:t xml:space="preserve">(one fair quality, two poor quality, one very poor quality) suggest that nasal airway remodeling with </w:t>
      </w:r>
      <w:proofErr w:type="spellStart"/>
      <w:r w:rsidR="00B81364">
        <w:t>VivAer</w:t>
      </w:r>
      <w:proofErr w:type="spellEnd"/>
      <w:r w:rsidR="00B81364">
        <w:t xml:space="preserve"> is safe and may result in clinically and statistically significant improvements in patient-reported nasal symptoms due to </w:t>
      </w:r>
      <w:r w:rsidR="00BA2FAF">
        <w:t xml:space="preserve">nasal airway obstruction up to four years posttreatment. </w:t>
      </w:r>
      <w:r w:rsidR="0005048C">
        <w:t xml:space="preserve">It is unclear whether </w:t>
      </w:r>
      <w:proofErr w:type="spellStart"/>
      <w:r w:rsidR="0005048C">
        <w:t>VivAer</w:t>
      </w:r>
      <w:proofErr w:type="spellEnd"/>
      <w:r w:rsidR="0005048C">
        <w:t xml:space="preserve"> si</w:t>
      </w:r>
      <w:r w:rsidR="00F55489">
        <w:t xml:space="preserve">gnificantly improves objective measures of nasal patency and airflow, and no studies compared </w:t>
      </w:r>
      <w:proofErr w:type="spellStart"/>
      <w:r w:rsidR="00F55489">
        <w:t>VivAer</w:t>
      </w:r>
      <w:proofErr w:type="spellEnd"/>
      <w:r w:rsidR="00F55489">
        <w:t xml:space="preserve"> to active treatment.</w:t>
      </w:r>
      <w:r w:rsidR="00672E2B">
        <w:t xml:space="preserve"> </w:t>
      </w:r>
    </w:p>
    <w:p w14:paraId="5FE36E26" w14:textId="77777777" w:rsidR="00083F95" w:rsidRDefault="00083F95" w:rsidP="00C368A5"/>
    <w:p w14:paraId="513098DF" w14:textId="51EB6104" w:rsidR="00C368A5" w:rsidRPr="00D74D57" w:rsidRDefault="00C214C8" w:rsidP="00C368A5">
      <w:pPr>
        <w:rPr>
          <w:vertAlign w:val="superscript"/>
        </w:rPr>
      </w:pPr>
      <w:r>
        <w:t xml:space="preserve">Although there are several ongoing clinical studies of </w:t>
      </w:r>
      <w:proofErr w:type="spellStart"/>
      <w:r>
        <w:t>VivAer</w:t>
      </w:r>
      <w:proofErr w:type="spellEnd"/>
      <w:r>
        <w:t>, most are single-arm and the one comparative study uses a sham control. Additional well-designed comparative studies are neede</w:t>
      </w:r>
      <w:r w:rsidR="00D06558">
        <w:t>d to determine the effectiveness, sa</w:t>
      </w:r>
      <w:r w:rsidR="00DF3B57">
        <w:t xml:space="preserve">fety, and durability of effect of </w:t>
      </w:r>
      <w:proofErr w:type="spellStart"/>
      <w:r w:rsidR="00DF3B57">
        <w:t>VivAer</w:t>
      </w:r>
      <w:proofErr w:type="spellEnd"/>
      <w:r w:rsidR="00DF3B57">
        <w:t xml:space="preserve"> and </w:t>
      </w:r>
      <w:r w:rsidR="00974BB1">
        <w:t xml:space="preserve">how </w:t>
      </w:r>
      <w:proofErr w:type="spellStart"/>
      <w:r w:rsidR="00974BB1">
        <w:t>VivAer</w:t>
      </w:r>
      <w:proofErr w:type="spellEnd"/>
      <w:r w:rsidR="00974BB1">
        <w:t xml:space="preserve"> compares to other active treatments for nasal airway obstruction associated with n</w:t>
      </w:r>
      <w:r w:rsidR="00BD14FE">
        <w:t>asal valve dysfunction.</w:t>
      </w:r>
      <w:r w:rsidR="003C42CF">
        <w:t xml:space="preserve"> </w:t>
      </w:r>
      <w:r w:rsidR="00C368A5" w:rsidRPr="00D74D57">
        <w:t xml:space="preserve">A review of full-text systematic reviews suggests no support for using </w:t>
      </w:r>
      <w:proofErr w:type="spellStart"/>
      <w:r w:rsidR="00C368A5" w:rsidRPr="00D74D57">
        <w:t>VivAer</w:t>
      </w:r>
      <w:proofErr w:type="spellEnd"/>
      <w:r w:rsidR="00C368A5" w:rsidRPr="00D74D57">
        <w:t xml:space="preserve"> for the management of nasal obstruction related to </w:t>
      </w:r>
      <w:r w:rsidR="003C42CF">
        <w:t>NVC</w:t>
      </w:r>
      <w:r w:rsidR="00D74D57" w:rsidRPr="00D74D57">
        <w:t>,</w:t>
      </w:r>
      <w:r w:rsidR="00941F79" w:rsidRPr="00D74D57">
        <w:t xml:space="preserve"> as there were n</w:t>
      </w:r>
      <w:r w:rsidR="00C368A5" w:rsidRPr="00D74D57">
        <w:t>o systematic reviews identified</w:t>
      </w:r>
      <w:r w:rsidR="00941F79" w:rsidRPr="00D74D57">
        <w:t>.</w:t>
      </w:r>
      <w:r w:rsidR="003C42CF">
        <w:t xml:space="preserve"> Additionally, a full-text review of clinical practice guidelines and position statements suggests no support for using </w:t>
      </w:r>
      <w:proofErr w:type="spellStart"/>
      <w:r w:rsidR="003C42CF">
        <w:t>VivAer</w:t>
      </w:r>
      <w:proofErr w:type="spellEnd"/>
      <w:r w:rsidR="003C42CF">
        <w:t xml:space="preserve"> for the management of nasal obstruction related to NVC due to no guidelines being identified.</w:t>
      </w:r>
      <w:r w:rsidR="002E307F">
        <w:rPr>
          <w:vertAlign w:val="superscript"/>
        </w:rPr>
        <w:t>6</w:t>
      </w:r>
    </w:p>
    <w:p w14:paraId="09C40E46" w14:textId="77777777" w:rsidR="00CF0A86" w:rsidRDefault="00CF0A86" w:rsidP="00C368A5">
      <w:pPr>
        <w:rPr>
          <w:color w:val="403152" w:themeColor="accent4" w:themeShade="80"/>
        </w:rPr>
      </w:pPr>
    </w:p>
    <w:p w14:paraId="39BC0D09" w14:textId="7DDA976A" w:rsidR="00A06ED5" w:rsidRDefault="00A06ED5" w:rsidP="00AF4482">
      <w:pPr>
        <w:rPr>
          <w:i/>
          <w:color w:val="7030A0"/>
        </w:rPr>
      </w:pPr>
      <w:r w:rsidRPr="00877BCC">
        <w:rPr>
          <w:i/>
        </w:rPr>
        <w:t>Latera</w:t>
      </w:r>
      <w:r w:rsidRPr="00877BCC">
        <w:rPr>
          <w:i/>
          <w:vertAlign w:val="superscript"/>
        </w:rPr>
        <w:t>®</w:t>
      </w:r>
    </w:p>
    <w:p w14:paraId="7E4CEEE1" w14:textId="7BC335C5" w:rsidR="00394567" w:rsidRPr="00877BCC" w:rsidRDefault="00A06ED5" w:rsidP="00AF4482">
      <w:pPr>
        <w:rPr>
          <w:color w:val="FF0000"/>
        </w:rPr>
      </w:pPr>
      <w:r w:rsidRPr="00877BCC">
        <w:t>L</w:t>
      </w:r>
      <w:r w:rsidR="00877BCC">
        <w:t>atera</w:t>
      </w:r>
      <w:r w:rsidRPr="00877BCC">
        <w:rPr>
          <w:vertAlign w:val="superscript"/>
        </w:rPr>
        <w:t>®</w:t>
      </w:r>
      <w:r w:rsidRPr="00877BCC">
        <w:t xml:space="preserve"> is an absorbable nasal implant used to support the upper and lower cartilage inside the lateral wall of </w:t>
      </w:r>
      <w:r w:rsidR="0084310D">
        <w:t>the</w:t>
      </w:r>
      <w:r w:rsidRPr="00877BCC">
        <w:t xml:space="preserve"> nose.</w:t>
      </w:r>
      <w:r w:rsidR="00877BCC" w:rsidRPr="00877BCC">
        <w:t xml:space="preserve"> It is placed under general anesthesia with a 16-gauge cannula via an endonasal access point. Over the course of approximately 12 months following placement, the implant is enveloped by fibrous tissue that helps to maintain stability and positioning. </w:t>
      </w:r>
      <w:r w:rsidR="00B17341">
        <w:t>Within approximately</w:t>
      </w:r>
      <w:r w:rsidR="00877BCC" w:rsidRPr="00877BCC">
        <w:t xml:space="preserve"> 18 months, the implant will have been absorbed and replaced with fibrous collagen matrix that provides continued support. </w:t>
      </w:r>
      <w:r w:rsidR="00394567" w:rsidRPr="00877BCC">
        <w:t>The system consists of the Latera Absorbab</w:t>
      </w:r>
      <w:r w:rsidR="00877BCC" w:rsidRPr="00877BCC">
        <w:t>le Nasal Implant and delivery d</w:t>
      </w:r>
      <w:r w:rsidR="00394567" w:rsidRPr="00877BCC">
        <w:t>evice</w:t>
      </w:r>
      <w:r w:rsidR="00877BCC" w:rsidRPr="00877BCC">
        <w:t xml:space="preserve"> as well as an i</w:t>
      </w:r>
      <w:r w:rsidR="00394567" w:rsidRPr="00877BCC">
        <w:t xml:space="preserve">mplant </w:t>
      </w:r>
      <w:r w:rsidR="00877BCC" w:rsidRPr="00877BCC">
        <w:t>positioning g</w:t>
      </w:r>
      <w:r w:rsidR="00394567" w:rsidRPr="00877BCC">
        <w:t xml:space="preserve">uide </w:t>
      </w:r>
      <w:r w:rsidR="00877BCC" w:rsidRPr="00877BCC">
        <w:t>intended to</w:t>
      </w:r>
      <w:r w:rsidR="00394567" w:rsidRPr="00877BCC">
        <w:t xml:space="preserve"> serve as an external visual planning aid prior to </w:t>
      </w:r>
      <w:r w:rsidR="00877BCC" w:rsidRPr="00877BCC">
        <w:t>implant</w:t>
      </w:r>
      <w:r w:rsidR="00394567" w:rsidRPr="00877BCC">
        <w:t xml:space="preserve"> placement. The Implant is composed of a</w:t>
      </w:r>
      <w:r w:rsidR="00394567" w:rsidRPr="00E82D4A">
        <w:t xml:space="preserve"> PLLA-PDLA</w:t>
      </w:r>
      <w:r w:rsidR="00394567" w:rsidRPr="00F8345F">
        <w:t xml:space="preserve"> copo</w:t>
      </w:r>
      <w:r w:rsidR="00394567" w:rsidRPr="00AE6619">
        <w:t>lymer</w:t>
      </w:r>
      <w:r w:rsidR="00394567" w:rsidRPr="00877BCC">
        <w:t>.</w:t>
      </w:r>
      <w:r w:rsidR="002E307F">
        <w:rPr>
          <w:vertAlign w:val="superscript"/>
        </w:rPr>
        <w:t>11</w:t>
      </w:r>
      <w:r w:rsidR="001C7295">
        <w:rPr>
          <w:vertAlign w:val="superscript"/>
        </w:rPr>
        <w:t>,</w:t>
      </w:r>
      <w:r w:rsidR="002E307F">
        <w:rPr>
          <w:vertAlign w:val="superscript"/>
        </w:rPr>
        <w:t>12</w:t>
      </w:r>
    </w:p>
    <w:p w14:paraId="68751B0E" w14:textId="77777777" w:rsidR="00140E6E" w:rsidRDefault="00140E6E" w:rsidP="00AF4482">
      <w:pPr>
        <w:rPr>
          <w:i/>
          <w:color w:val="7030A0"/>
        </w:rPr>
      </w:pPr>
    </w:p>
    <w:p w14:paraId="6F9BE8E3" w14:textId="3E949061" w:rsidR="00A06ED5" w:rsidRPr="003669FD" w:rsidRDefault="00140E6E" w:rsidP="00AF4482">
      <w:r w:rsidRPr="00877BCC">
        <w:lastRenderedPageBreak/>
        <w:t>Per Hayes’ Evolving Evidence Review, clinical evidence suggests absorbable nasal implants are technically feasible to implant and are associated with reductions in na</w:t>
      </w:r>
      <w:r w:rsidR="00877BCC" w:rsidRPr="00877BCC">
        <w:t>sal airway obstruction and pain.</w:t>
      </w:r>
      <w:r w:rsidRPr="00877BCC">
        <w:t xml:space="preserve"> </w:t>
      </w:r>
      <w:r w:rsidR="00877BCC" w:rsidRPr="00877BCC">
        <w:t>H</w:t>
      </w:r>
      <w:r w:rsidRPr="00877BCC">
        <w:t>owever, evidence is of generally very poor quality</w:t>
      </w:r>
      <w:r w:rsidR="00E11C6A">
        <w:t>,</w:t>
      </w:r>
      <w:r w:rsidRPr="00877BCC">
        <w:t xml:space="preserve"> and there is a paucity of studies with control groups to inform whether absorbable nasal implants have clinical performance that is better, worse, or similar to competing technologies</w:t>
      </w:r>
      <w:r w:rsidR="00E11C6A">
        <w:t>,</w:t>
      </w:r>
      <w:r w:rsidRPr="00877BCC">
        <w:t xml:space="preserve"> such as non</w:t>
      </w:r>
      <w:r w:rsidR="00877BCC" w:rsidRPr="00877BCC">
        <w:t>-</w:t>
      </w:r>
      <w:r w:rsidRPr="00877BCC">
        <w:t>absorbable nasal implants.</w:t>
      </w:r>
      <w:r w:rsidR="00A92E7B" w:rsidRPr="00A92E7B">
        <w:t xml:space="preserve"> A review of clinical studies suggests minimal support for using absorbable nasal implants for NVC due to poor quality studies that had limited follow up or provided adjunctive treatment with the absorbable nasal implant.</w:t>
      </w:r>
      <w:r w:rsidR="002E307F">
        <w:rPr>
          <w:vertAlign w:val="superscript"/>
        </w:rPr>
        <w:t>11</w:t>
      </w:r>
    </w:p>
    <w:p w14:paraId="2570273A" w14:textId="77777777" w:rsidR="00800FB3" w:rsidRPr="008504F1" w:rsidRDefault="00800FB3" w:rsidP="00AF4482">
      <w:pPr>
        <w:rPr>
          <w:vertAlign w:val="superscript"/>
        </w:rPr>
      </w:pPr>
    </w:p>
    <w:p w14:paraId="4B422F85" w14:textId="77777777" w:rsidR="00AF4482" w:rsidRPr="00721C72" w:rsidRDefault="00AF4482" w:rsidP="00AF4482">
      <w:pPr>
        <w:rPr>
          <w:b/>
        </w:rPr>
      </w:pPr>
      <w:r w:rsidRPr="00721C72">
        <w:rPr>
          <w:b/>
        </w:rPr>
        <w:t>Coding Implications</w:t>
      </w:r>
    </w:p>
    <w:p w14:paraId="4525E040" w14:textId="1B67D4AE" w:rsidR="00AF4482" w:rsidRDefault="00AF4482" w:rsidP="00AF4482">
      <w:r>
        <w:t>This clinical policy references Current Procedural Terminology (CPT</w:t>
      </w:r>
      <w:r w:rsidRPr="00721C72">
        <w:rPr>
          <w:vertAlign w:val="superscript"/>
        </w:rPr>
        <w:t>®</w:t>
      </w:r>
      <w:r>
        <w:t>). CPT</w:t>
      </w:r>
      <w:r w:rsidRPr="00721C72">
        <w:rPr>
          <w:vertAlign w:val="superscript"/>
        </w:rPr>
        <w:t>®</w:t>
      </w:r>
      <w:r>
        <w:t xml:space="preserve"> is a registered trademark of the American Medical Association. All CPT codes and descriptions are copyrighted </w:t>
      </w:r>
      <w:r w:rsidR="002B6C7F">
        <w:t>2024</w:t>
      </w:r>
      <w:r>
        <w:t>, American Medical Association. All rights reserved. CPT codes and CPT descriptions are from the current manuals and those included herein are not intended to be all-inclusive and are included for informational purposes only. 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5918D668" w14:textId="02994140" w:rsidR="0047051F" w:rsidRPr="00B57ABE" w:rsidRDefault="0047051F" w:rsidP="00AF4482">
      <w:pPr>
        <w:rPr>
          <w:b/>
        </w:rPr>
      </w:pPr>
    </w:p>
    <w:p w14:paraId="4C68ECD2" w14:textId="300CEA17" w:rsidR="00800FB3" w:rsidRPr="00B57ABE" w:rsidRDefault="00800FB3" w:rsidP="00AF4482">
      <w:pPr>
        <w:rPr>
          <w:b/>
        </w:rPr>
      </w:pPr>
      <w:r w:rsidRPr="00B57ABE">
        <w:rPr>
          <w:b/>
        </w:rPr>
        <w:t>CPT Codes That Support Coverage Criteria</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32"/>
        <w:gridCol w:w="8293"/>
      </w:tblGrid>
      <w:tr w:rsidR="00AF4482" w14:paraId="06B2FEAD" w14:textId="77777777" w:rsidTr="00120410">
        <w:trPr>
          <w:tblHeader/>
        </w:trPr>
        <w:tc>
          <w:tcPr>
            <w:tcW w:w="1332" w:type="dxa"/>
            <w:tcBorders>
              <w:top w:val="single" w:sz="4" w:space="0" w:color="auto"/>
              <w:left w:val="single" w:sz="4" w:space="0" w:color="auto"/>
              <w:bottom w:val="single" w:sz="4" w:space="0" w:color="auto"/>
              <w:right w:val="single" w:sz="4" w:space="0" w:color="auto"/>
            </w:tcBorders>
            <w:shd w:val="clear" w:color="auto" w:fill="00548C"/>
            <w:hideMark/>
          </w:tcPr>
          <w:p w14:paraId="255F112C" w14:textId="1D386A49" w:rsidR="00AF4482" w:rsidRDefault="00AF4482" w:rsidP="00A01892">
            <w:pPr>
              <w:rPr>
                <w:b/>
                <w:bCs/>
                <w:color w:val="FFFFFF"/>
              </w:rPr>
            </w:pPr>
            <w:r>
              <w:rPr>
                <w:b/>
                <w:color w:val="FFFFFF"/>
              </w:rPr>
              <w:t>CPT</w:t>
            </w:r>
            <w:r>
              <w:rPr>
                <w:b/>
                <w:color w:val="FFFFFF"/>
                <w:vertAlign w:val="superscript"/>
              </w:rPr>
              <w:t>®*</w:t>
            </w:r>
            <w:r>
              <w:rPr>
                <w:b/>
                <w:color w:val="FFFFFF"/>
              </w:rPr>
              <w:t xml:space="preserve"> Codes </w:t>
            </w:r>
          </w:p>
        </w:tc>
        <w:tc>
          <w:tcPr>
            <w:tcW w:w="8293" w:type="dxa"/>
            <w:tcBorders>
              <w:top w:val="single" w:sz="4" w:space="0" w:color="auto"/>
              <w:left w:val="single" w:sz="4" w:space="0" w:color="auto"/>
              <w:bottom w:val="single" w:sz="4" w:space="0" w:color="auto"/>
              <w:right w:val="single" w:sz="4" w:space="0" w:color="auto"/>
            </w:tcBorders>
            <w:shd w:val="clear" w:color="auto" w:fill="00548C"/>
            <w:hideMark/>
          </w:tcPr>
          <w:p w14:paraId="4B228772" w14:textId="77777777" w:rsidR="00AF4482" w:rsidRDefault="00AF4482" w:rsidP="00A01892">
            <w:pPr>
              <w:rPr>
                <w:b/>
                <w:bCs/>
                <w:color w:val="FFFFFF"/>
              </w:rPr>
            </w:pPr>
            <w:r>
              <w:rPr>
                <w:b/>
                <w:color w:val="FFFFFF"/>
              </w:rPr>
              <w:t>Description</w:t>
            </w:r>
          </w:p>
        </w:tc>
      </w:tr>
      <w:tr w:rsidR="00AF4482" w14:paraId="5D5862D5" w14:textId="77777777" w:rsidTr="00120410">
        <w:tc>
          <w:tcPr>
            <w:tcW w:w="1332" w:type="dxa"/>
            <w:tcBorders>
              <w:top w:val="single" w:sz="4" w:space="0" w:color="auto"/>
              <w:left w:val="single" w:sz="4" w:space="0" w:color="auto"/>
              <w:bottom w:val="single" w:sz="4" w:space="0" w:color="auto"/>
              <w:right w:val="single" w:sz="4" w:space="0" w:color="auto"/>
            </w:tcBorders>
            <w:hideMark/>
          </w:tcPr>
          <w:p w14:paraId="1BE0F9A8" w14:textId="77777777" w:rsidR="00AF4482" w:rsidRDefault="00AF4482" w:rsidP="00A01892">
            <w:pPr>
              <w:rPr>
                <w:bCs/>
              </w:rPr>
            </w:pPr>
          </w:p>
        </w:tc>
        <w:tc>
          <w:tcPr>
            <w:tcW w:w="8293" w:type="dxa"/>
            <w:tcBorders>
              <w:top w:val="single" w:sz="4" w:space="0" w:color="auto"/>
              <w:left w:val="single" w:sz="4" w:space="0" w:color="auto"/>
              <w:bottom w:val="single" w:sz="4" w:space="0" w:color="auto"/>
              <w:right w:val="single" w:sz="4" w:space="0" w:color="auto"/>
            </w:tcBorders>
            <w:hideMark/>
          </w:tcPr>
          <w:p w14:paraId="20D66E76" w14:textId="77777777" w:rsidR="00AF4482" w:rsidRDefault="00AF4482" w:rsidP="00A01892">
            <w:pPr>
              <w:rPr>
                <w:bCs/>
              </w:rPr>
            </w:pPr>
          </w:p>
        </w:tc>
      </w:tr>
      <w:tr w:rsidR="00AF4482" w14:paraId="6C2F91B4" w14:textId="77777777" w:rsidTr="00120410">
        <w:tc>
          <w:tcPr>
            <w:tcW w:w="1332" w:type="dxa"/>
            <w:tcBorders>
              <w:top w:val="single" w:sz="4" w:space="0" w:color="auto"/>
              <w:left w:val="single" w:sz="4" w:space="0" w:color="auto"/>
              <w:bottom w:val="single" w:sz="4" w:space="0" w:color="auto"/>
              <w:right w:val="single" w:sz="4" w:space="0" w:color="auto"/>
            </w:tcBorders>
          </w:tcPr>
          <w:p w14:paraId="22D46789" w14:textId="77777777" w:rsidR="00AF4482" w:rsidRDefault="00882670" w:rsidP="00A01892">
            <w:pPr>
              <w:rPr>
                <w:bCs/>
              </w:rPr>
            </w:pPr>
            <w:r>
              <w:rPr>
                <w:bCs/>
              </w:rPr>
              <w:t>30465</w:t>
            </w:r>
          </w:p>
        </w:tc>
        <w:tc>
          <w:tcPr>
            <w:tcW w:w="8293" w:type="dxa"/>
            <w:tcBorders>
              <w:top w:val="single" w:sz="4" w:space="0" w:color="auto"/>
              <w:left w:val="single" w:sz="4" w:space="0" w:color="auto"/>
              <w:bottom w:val="single" w:sz="4" w:space="0" w:color="auto"/>
              <w:right w:val="single" w:sz="4" w:space="0" w:color="auto"/>
            </w:tcBorders>
          </w:tcPr>
          <w:p w14:paraId="4994CAA9" w14:textId="39FA54F0" w:rsidR="00AF4482" w:rsidRDefault="00354A9A" w:rsidP="00A01892">
            <w:pPr>
              <w:rPr>
                <w:bCs/>
              </w:rPr>
            </w:pPr>
            <w:r w:rsidRPr="00354A9A">
              <w:rPr>
                <w:bCs/>
              </w:rPr>
              <w:t>Repair of nasal vestibular stenosis (</w:t>
            </w:r>
            <w:r w:rsidR="00FB2972" w:rsidRPr="00354A9A">
              <w:rPr>
                <w:bCs/>
              </w:rPr>
              <w:t>e.g.</w:t>
            </w:r>
            <w:r w:rsidRPr="00354A9A">
              <w:rPr>
                <w:bCs/>
              </w:rPr>
              <w:t>, spreader grafting, lateral nasal wall reconstruction)</w:t>
            </w:r>
          </w:p>
        </w:tc>
      </w:tr>
    </w:tbl>
    <w:p w14:paraId="77F59E33" w14:textId="77777777" w:rsidR="0047051F" w:rsidRDefault="0047051F" w:rsidP="0047051F">
      <w:pPr>
        <w:rPr>
          <w:sz w:val="20"/>
        </w:rPr>
      </w:pPr>
    </w:p>
    <w:p w14:paraId="24C2F574" w14:textId="76566FE8" w:rsidR="0047051F" w:rsidRPr="00B57ABE" w:rsidRDefault="0047051F" w:rsidP="0047051F">
      <w:pPr>
        <w:rPr>
          <w:b/>
        </w:rPr>
      </w:pPr>
      <w:r w:rsidRPr="00B57ABE">
        <w:rPr>
          <w:b/>
        </w:rPr>
        <w:t xml:space="preserve">CPT </w:t>
      </w:r>
      <w:r w:rsidR="00B709E7" w:rsidRPr="00B57ABE">
        <w:rPr>
          <w:b/>
        </w:rPr>
        <w:t xml:space="preserve">Codes </w:t>
      </w:r>
      <w:r w:rsidR="00800FB3" w:rsidRPr="00B57ABE">
        <w:rPr>
          <w:b/>
        </w:rPr>
        <w:t>That D</w:t>
      </w:r>
      <w:r w:rsidRPr="00B57ABE">
        <w:rPr>
          <w:b/>
        </w:rPr>
        <w:t xml:space="preserve">o </w:t>
      </w:r>
      <w:r w:rsidR="00E239C6" w:rsidRPr="00B57ABE">
        <w:rPr>
          <w:b/>
        </w:rPr>
        <w:t>Not</w:t>
      </w:r>
      <w:r w:rsidRPr="00B57ABE">
        <w:rPr>
          <w:b/>
        </w:rPr>
        <w:t xml:space="preserve"> </w:t>
      </w:r>
      <w:r w:rsidR="00B709E7" w:rsidRPr="00B57ABE">
        <w:rPr>
          <w:b/>
        </w:rPr>
        <w:t>Support C</w:t>
      </w:r>
      <w:r w:rsidRPr="00B57ABE">
        <w:rPr>
          <w:b/>
        </w:rPr>
        <w:t xml:space="preserve">overage </w:t>
      </w:r>
      <w:r w:rsidR="00B709E7" w:rsidRPr="00B57ABE">
        <w:rPr>
          <w:b/>
        </w:rPr>
        <w:t>C</w:t>
      </w:r>
      <w:r w:rsidRPr="00B57ABE">
        <w:rPr>
          <w:b/>
        </w:rPr>
        <w:t>riteria</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14"/>
        <w:gridCol w:w="8511"/>
      </w:tblGrid>
      <w:tr w:rsidR="0047051F" w14:paraId="501CF98F" w14:textId="77777777" w:rsidTr="000E2109">
        <w:trPr>
          <w:tblHeader/>
        </w:trPr>
        <w:tc>
          <w:tcPr>
            <w:tcW w:w="1114" w:type="dxa"/>
            <w:tcBorders>
              <w:top w:val="single" w:sz="4" w:space="0" w:color="auto"/>
              <w:left w:val="single" w:sz="4" w:space="0" w:color="auto"/>
              <w:bottom w:val="single" w:sz="4" w:space="0" w:color="auto"/>
              <w:right w:val="single" w:sz="4" w:space="0" w:color="auto"/>
            </w:tcBorders>
            <w:shd w:val="clear" w:color="auto" w:fill="00548C"/>
            <w:hideMark/>
          </w:tcPr>
          <w:p w14:paraId="664F1E68" w14:textId="77777777" w:rsidR="0047051F" w:rsidRDefault="0047051F" w:rsidP="000E2109">
            <w:pPr>
              <w:rPr>
                <w:b/>
                <w:bCs/>
                <w:color w:val="FFFFFF"/>
              </w:rPr>
            </w:pPr>
            <w:r>
              <w:rPr>
                <w:b/>
                <w:color w:val="FFFFFF"/>
              </w:rPr>
              <w:t>CPT</w:t>
            </w:r>
            <w:r>
              <w:rPr>
                <w:b/>
                <w:color w:val="FFFFFF"/>
                <w:vertAlign w:val="superscript"/>
              </w:rPr>
              <w:t>®*</w:t>
            </w:r>
            <w:r>
              <w:rPr>
                <w:b/>
                <w:color w:val="FFFFFF"/>
              </w:rPr>
              <w:t xml:space="preserve"> Codes </w:t>
            </w:r>
          </w:p>
        </w:tc>
        <w:tc>
          <w:tcPr>
            <w:tcW w:w="8511" w:type="dxa"/>
            <w:tcBorders>
              <w:top w:val="single" w:sz="4" w:space="0" w:color="auto"/>
              <w:left w:val="single" w:sz="4" w:space="0" w:color="auto"/>
              <w:bottom w:val="single" w:sz="4" w:space="0" w:color="auto"/>
              <w:right w:val="single" w:sz="4" w:space="0" w:color="auto"/>
            </w:tcBorders>
            <w:shd w:val="clear" w:color="auto" w:fill="00548C"/>
            <w:hideMark/>
          </w:tcPr>
          <w:p w14:paraId="044E6FA0" w14:textId="77777777" w:rsidR="0047051F" w:rsidRDefault="0047051F" w:rsidP="000E2109">
            <w:pPr>
              <w:rPr>
                <w:b/>
                <w:bCs/>
                <w:color w:val="FFFFFF"/>
              </w:rPr>
            </w:pPr>
            <w:r>
              <w:rPr>
                <w:b/>
                <w:color w:val="FFFFFF"/>
              </w:rPr>
              <w:t>Description</w:t>
            </w:r>
          </w:p>
        </w:tc>
      </w:tr>
      <w:tr w:rsidR="0047051F" w14:paraId="101F1B8E" w14:textId="77777777" w:rsidTr="000E2109">
        <w:tc>
          <w:tcPr>
            <w:tcW w:w="1114" w:type="dxa"/>
            <w:tcBorders>
              <w:top w:val="single" w:sz="4" w:space="0" w:color="auto"/>
              <w:left w:val="single" w:sz="4" w:space="0" w:color="auto"/>
              <w:bottom w:val="single" w:sz="4" w:space="0" w:color="auto"/>
              <w:right w:val="single" w:sz="4" w:space="0" w:color="auto"/>
            </w:tcBorders>
            <w:hideMark/>
          </w:tcPr>
          <w:p w14:paraId="029EB1C7" w14:textId="77777777" w:rsidR="0047051F" w:rsidRDefault="0047051F" w:rsidP="000E2109">
            <w:pPr>
              <w:rPr>
                <w:bCs/>
              </w:rPr>
            </w:pPr>
          </w:p>
        </w:tc>
        <w:tc>
          <w:tcPr>
            <w:tcW w:w="8511" w:type="dxa"/>
            <w:tcBorders>
              <w:top w:val="single" w:sz="4" w:space="0" w:color="auto"/>
              <w:left w:val="single" w:sz="4" w:space="0" w:color="auto"/>
              <w:bottom w:val="single" w:sz="4" w:space="0" w:color="auto"/>
              <w:right w:val="single" w:sz="4" w:space="0" w:color="auto"/>
            </w:tcBorders>
            <w:hideMark/>
          </w:tcPr>
          <w:p w14:paraId="1D16D611" w14:textId="77777777" w:rsidR="0047051F" w:rsidRDefault="0047051F" w:rsidP="000E2109">
            <w:pPr>
              <w:rPr>
                <w:bCs/>
              </w:rPr>
            </w:pPr>
          </w:p>
        </w:tc>
      </w:tr>
      <w:tr w:rsidR="0047051F" w14:paraId="23F9A534" w14:textId="77777777" w:rsidTr="000E2109">
        <w:tc>
          <w:tcPr>
            <w:tcW w:w="1114" w:type="dxa"/>
            <w:tcBorders>
              <w:top w:val="single" w:sz="4" w:space="0" w:color="auto"/>
              <w:left w:val="single" w:sz="4" w:space="0" w:color="auto"/>
              <w:bottom w:val="single" w:sz="4" w:space="0" w:color="auto"/>
              <w:right w:val="single" w:sz="4" w:space="0" w:color="auto"/>
            </w:tcBorders>
          </w:tcPr>
          <w:p w14:paraId="1470C4BF" w14:textId="77777777" w:rsidR="0047051F" w:rsidRDefault="0047051F" w:rsidP="000E2109">
            <w:pPr>
              <w:rPr>
                <w:bCs/>
              </w:rPr>
            </w:pPr>
            <w:r>
              <w:rPr>
                <w:bCs/>
              </w:rPr>
              <w:t>30468</w:t>
            </w:r>
          </w:p>
        </w:tc>
        <w:tc>
          <w:tcPr>
            <w:tcW w:w="8511" w:type="dxa"/>
            <w:tcBorders>
              <w:top w:val="single" w:sz="4" w:space="0" w:color="auto"/>
              <w:left w:val="single" w:sz="4" w:space="0" w:color="auto"/>
              <w:bottom w:val="single" w:sz="4" w:space="0" w:color="auto"/>
              <w:right w:val="single" w:sz="4" w:space="0" w:color="auto"/>
            </w:tcBorders>
          </w:tcPr>
          <w:p w14:paraId="453882AB" w14:textId="77777777" w:rsidR="0047051F" w:rsidRDefault="00354A9A" w:rsidP="000E2109">
            <w:pPr>
              <w:rPr>
                <w:bCs/>
              </w:rPr>
            </w:pPr>
            <w:r w:rsidRPr="00354A9A">
              <w:rPr>
                <w:bCs/>
              </w:rPr>
              <w:t>Repair of nasal valve collapse with subcutaneous/submucosal lateral wall implant(s)</w:t>
            </w:r>
          </w:p>
        </w:tc>
      </w:tr>
      <w:tr w:rsidR="00933A37" w14:paraId="17885384" w14:textId="77777777" w:rsidTr="000E2109">
        <w:tc>
          <w:tcPr>
            <w:tcW w:w="1114" w:type="dxa"/>
            <w:tcBorders>
              <w:top w:val="single" w:sz="4" w:space="0" w:color="auto"/>
              <w:left w:val="single" w:sz="4" w:space="0" w:color="auto"/>
              <w:bottom w:val="single" w:sz="4" w:space="0" w:color="auto"/>
              <w:right w:val="single" w:sz="4" w:space="0" w:color="auto"/>
            </w:tcBorders>
          </w:tcPr>
          <w:p w14:paraId="06CF8B00" w14:textId="2A05143B" w:rsidR="00933A37" w:rsidRDefault="00D94AF5" w:rsidP="000E2109">
            <w:pPr>
              <w:rPr>
                <w:bCs/>
              </w:rPr>
            </w:pPr>
            <w:r w:rsidRPr="00D94AF5">
              <w:rPr>
                <w:bCs/>
              </w:rPr>
              <w:t>30469</w:t>
            </w:r>
          </w:p>
        </w:tc>
        <w:tc>
          <w:tcPr>
            <w:tcW w:w="8511" w:type="dxa"/>
            <w:tcBorders>
              <w:top w:val="single" w:sz="4" w:space="0" w:color="auto"/>
              <w:left w:val="single" w:sz="4" w:space="0" w:color="auto"/>
              <w:bottom w:val="single" w:sz="4" w:space="0" w:color="auto"/>
              <w:right w:val="single" w:sz="4" w:space="0" w:color="auto"/>
            </w:tcBorders>
          </w:tcPr>
          <w:p w14:paraId="6314297C" w14:textId="5CEF7D7C" w:rsidR="00933A37" w:rsidRPr="00354A9A" w:rsidRDefault="002D44B7" w:rsidP="000E2109">
            <w:pPr>
              <w:rPr>
                <w:bCs/>
              </w:rPr>
            </w:pPr>
            <w:r w:rsidRPr="002D44B7">
              <w:rPr>
                <w:bCs/>
              </w:rPr>
              <w:t>Repair of nasal valve collapse with low energy, temperature-controlled (</w:t>
            </w:r>
            <w:r w:rsidR="00971E00" w:rsidRPr="002D44B7">
              <w:rPr>
                <w:bCs/>
              </w:rPr>
              <w:t>i.e.</w:t>
            </w:r>
            <w:r w:rsidRPr="002D44B7">
              <w:rPr>
                <w:bCs/>
              </w:rPr>
              <w:t>, radiofrequency) subcutaneous/submucosal remodeling</w:t>
            </w:r>
          </w:p>
        </w:tc>
      </w:tr>
    </w:tbl>
    <w:p w14:paraId="049D2C3A"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70"/>
        <w:gridCol w:w="1198"/>
      </w:tblGrid>
      <w:tr w:rsidR="00B777AF" w:rsidRPr="00B777AF" w14:paraId="60E74403" w14:textId="77777777" w:rsidTr="003669F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1CB662A6" w14:textId="77777777" w:rsidR="00B777AF" w:rsidRPr="00B777AF" w:rsidRDefault="00B777AF" w:rsidP="00B777AF">
            <w:pPr>
              <w:rPr>
                <w:bCs w:val="0"/>
              </w:rPr>
            </w:pPr>
            <w:bookmarkStart w:id="0" w:name="Revision_Log"/>
            <w:r w:rsidRPr="00B777AF">
              <w:rPr>
                <w:bCs w:val="0"/>
              </w:rPr>
              <w:t>Reviews</w:t>
            </w:r>
            <w:r>
              <w:rPr>
                <w:bCs w:val="0"/>
              </w:rPr>
              <w:t>, Revisions, and Approvals</w:t>
            </w:r>
            <w:bookmarkEnd w:id="0"/>
          </w:p>
        </w:tc>
        <w:tc>
          <w:tcPr>
            <w:tcW w:w="1170" w:type="dxa"/>
            <w:shd w:val="clear" w:color="auto" w:fill="00548C"/>
          </w:tcPr>
          <w:p w14:paraId="1BF328EA" w14:textId="7480C796" w:rsidR="00B777AF" w:rsidRPr="00B777AF" w:rsidRDefault="005755B2"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Rev</w:t>
            </w:r>
            <w:r w:rsidR="00EE1BD2">
              <w:rPr>
                <w:bCs w:val="0"/>
              </w:rPr>
              <w:t>ision</w:t>
            </w:r>
            <w:r>
              <w:rPr>
                <w:bCs w:val="0"/>
              </w:rPr>
              <w:t xml:space="preserve">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198" w:type="dxa"/>
            <w:tcBorders>
              <w:left w:val="none" w:sz="0" w:space="0" w:color="auto"/>
              <w:right w:val="none" w:sz="0" w:space="0" w:color="auto"/>
            </w:tcBorders>
            <w:shd w:val="clear" w:color="auto" w:fill="00548C"/>
          </w:tcPr>
          <w:p w14:paraId="5A754BBC"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646836CF" w14:textId="77777777" w:rsidTr="003669FD">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7280" w:type="dxa"/>
            <w:tcBorders>
              <w:top w:val="none" w:sz="0" w:space="0" w:color="auto"/>
              <w:left w:val="none" w:sz="0" w:space="0" w:color="auto"/>
              <w:bottom w:val="none" w:sz="0" w:space="0" w:color="auto"/>
              <w:right w:val="none" w:sz="0" w:space="0" w:color="auto"/>
            </w:tcBorders>
          </w:tcPr>
          <w:p w14:paraId="23290354" w14:textId="55A56ECA" w:rsidR="00B777AF" w:rsidRDefault="00120410" w:rsidP="008F2A00">
            <w:pPr>
              <w:tabs>
                <w:tab w:val="num" w:pos="720"/>
              </w:tabs>
            </w:pPr>
            <w:r>
              <w:t>Policy developed.</w:t>
            </w:r>
          </w:p>
        </w:tc>
        <w:tc>
          <w:tcPr>
            <w:tcW w:w="1170" w:type="dxa"/>
            <w:tcBorders>
              <w:top w:val="none" w:sz="0" w:space="0" w:color="auto"/>
              <w:bottom w:val="none" w:sz="0" w:space="0" w:color="auto"/>
            </w:tcBorders>
          </w:tcPr>
          <w:p w14:paraId="777177FE" w14:textId="033FB9FD" w:rsidR="00B777AF" w:rsidRDefault="00120410" w:rsidP="005776FD">
            <w:pPr>
              <w:jc w:val="center"/>
              <w:cnfStyle w:val="000000100000" w:firstRow="0" w:lastRow="0" w:firstColumn="0" w:lastColumn="0" w:oddVBand="0" w:evenVBand="0" w:oddHBand="1" w:evenHBand="0" w:firstRowFirstColumn="0" w:firstRowLastColumn="0" w:lastRowFirstColumn="0" w:lastRowLastColumn="0"/>
            </w:pPr>
            <w:r>
              <w:t>04/21</w:t>
            </w:r>
          </w:p>
        </w:tc>
        <w:tc>
          <w:tcPr>
            <w:cnfStyle w:val="000010000000" w:firstRow="0" w:lastRow="0" w:firstColumn="0" w:lastColumn="0" w:oddVBand="1" w:evenVBand="0" w:oddHBand="0" w:evenHBand="0" w:firstRowFirstColumn="0" w:firstRowLastColumn="0" w:lastRowFirstColumn="0" w:lastRowLastColumn="0"/>
            <w:tcW w:w="1198" w:type="dxa"/>
            <w:tcBorders>
              <w:top w:val="none" w:sz="0" w:space="0" w:color="auto"/>
              <w:left w:val="none" w:sz="0" w:space="0" w:color="auto"/>
              <w:bottom w:val="none" w:sz="0" w:space="0" w:color="auto"/>
              <w:right w:val="none" w:sz="0" w:space="0" w:color="auto"/>
            </w:tcBorders>
          </w:tcPr>
          <w:p w14:paraId="57153A3E" w14:textId="7E406125" w:rsidR="00B777AF" w:rsidRDefault="00B57ABE" w:rsidP="00857C10">
            <w:pPr>
              <w:jc w:val="center"/>
            </w:pPr>
            <w:r>
              <w:t>05/21</w:t>
            </w:r>
          </w:p>
        </w:tc>
      </w:tr>
      <w:tr w:rsidR="005755B2" w14:paraId="55E7F6BA" w14:textId="77777777" w:rsidTr="003669FD">
        <w:tc>
          <w:tcPr>
            <w:cnfStyle w:val="000010000000" w:firstRow="0" w:lastRow="0" w:firstColumn="0" w:lastColumn="0" w:oddVBand="1" w:evenVBand="0" w:oddHBand="0" w:evenHBand="0" w:firstRowFirstColumn="0" w:firstRowLastColumn="0" w:lastRowFirstColumn="0" w:lastRowLastColumn="0"/>
            <w:tcW w:w="7280" w:type="dxa"/>
          </w:tcPr>
          <w:p w14:paraId="1D3B1D12" w14:textId="75FE0448" w:rsidR="005755B2" w:rsidRDefault="005755B2" w:rsidP="008F2A00">
            <w:pPr>
              <w:tabs>
                <w:tab w:val="num" w:pos="720"/>
              </w:tabs>
            </w:pPr>
            <w:r>
              <w:t xml:space="preserve">Annual Review. </w:t>
            </w:r>
            <w:r w:rsidR="00D95A85">
              <w:t xml:space="preserve">Updated Criteria I.B. to include nasal dilators </w:t>
            </w:r>
            <w:r w:rsidR="00D95A85" w:rsidRPr="0067418F">
              <w:t>such as Max-Air Nose Cones</w:t>
            </w:r>
            <w:r w:rsidR="00D95A85" w:rsidRPr="003669FD">
              <w:rPr>
                <w:vertAlign w:val="superscript"/>
              </w:rPr>
              <w:t>®</w:t>
            </w:r>
            <w:r w:rsidR="00D95A85" w:rsidRPr="0067418F">
              <w:t xml:space="preserve"> and Sinus Cones</w:t>
            </w:r>
            <w:r w:rsidR="00D95A85" w:rsidRPr="003669FD">
              <w:rPr>
                <w:vertAlign w:val="superscript"/>
              </w:rPr>
              <w:t>®</w:t>
            </w:r>
            <w:r w:rsidR="00D95A85">
              <w:t xml:space="preserve">. Background updated with no impact on criteria. </w:t>
            </w:r>
            <w:r w:rsidR="009C7D35" w:rsidRPr="009C7D35">
              <w:t>References reviewed and updated. Changed “</w:t>
            </w:r>
            <w:r w:rsidR="00174FDE">
              <w:t xml:space="preserve">Last </w:t>
            </w:r>
            <w:r w:rsidR="009C7D35" w:rsidRPr="009C7D35">
              <w:t>Review Date” in policy header to “Date of Last Revision,” and “Date” in the revision log header to “Revision Date.”</w:t>
            </w:r>
            <w:r w:rsidR="00572B03">
              <w:t xml:space="preserve"> </w:t>
            </w:r>
          </w:p>
        </w:tc>
        <w:tc>
          <w:tcPr>
            <w:tcW w:w="1170" w:type="dxa"/>
          </w:tcPr>
          <w:p w14:paraId="7FD6EDE3" w14:textId="750D6D93" w:rsidR="005755B2" w:rsidRDefault="003E5FEB" w:rsidP="003E5FEB">
            <w:pPr>
              <w:jc w:val="center"/>
              <w:cnfStyle w:val="000000000000" w:firstRow="0" w:lastRow="0" w:firstColumn="0" w:lastColumn="0" w:oddVBand="0" w:evenVBand="0" w:oddHBand="0" w:evenHBand="0" w:firstRowFirstColumn="0" w:firstRowLastColumn="0" w:lastRowFirstColumn="0" w:lastRowLastColumn="0"/>
            </w:pPr>
            <w:r>
              <w:t>05/22</w:t>
            </w:r>
          </w:p>
        </w:tc>
        <w:tc>
          <w:tcPr>
            <w:cnfStyle w:val="000010000000" w:firstRow="0" w:lastRow="0" w:firstColumn="0" w:lastColumn="0" w:oddVBand="1" w:evenVBand="0" w:oddHBand="0" w:evenHBand="0" w:firstRowFirstColumn="0" w:firstRowLastColumn="0" w:lastRowFirstColumn="0" w:lastRowLastColumn="0"/>
            <w:tcW w:w="1198" w:type="dxa"/>
          </w:tcPr>
          <w:p w14:paraId="73712010" w14:textId="360456B1" w:rsidR="005755B2" w:rsidRDefault="00D41975" w:rsidP="00857C10">
            <w:pPr>
              <w:jc w:val="center"/>
            </w:pPr>
            <w:r>
              <w:t>05/22</w:t>
            </w:r>
          </w:p>
        </w:tc>
      </w:tr>
      <w:tr w:rsidR="004C029E" w14:paraId="7349F085" w14:textId="77777777" w:rsidTr="003669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17D4E730" w14:textId="380E81BB" w:rsidR="004C029E" w:rsidRDefault="0045467D" w:rsidP="008F2A00">
            <w:pPr>
              <w:tabs>
                <w:tab w:val="num" w:pos="720"/>
              </w:tabs>
            </w:pPr>
            <w:r>
              <w:t xml:space="preserve">Annual review completed. </w:t>
            </w:r>
            <w:r w:rsidR="007915C8">
              <w:t xml:space="preserve">Updated </w:t>
            </w:r>
            <w:r w:rsidR="00F13750">
              <w:t xml:space="preserve">Criteria </w:t>
            </w:r>
            <w:r w:rsidR="007915C8">
              <w:t xml:space="preserve">I.C.3. </w:t>
            </w:r>
            <w:r w:rsidR="00B42378">
              <w:t>to include non</w:t>
            </w:r>
            <w:r w:rsidR="00C67060">
              <w:t xml:space="preserve">allergic rhinitis with examples. </w:t>
            </w:r>
            <w:r w:rsidR="003D2F97">
              <w:t xml:space="preserve">Background updated with no impact to </w:t>
            </w:r>
            <w:r w:rsidR="007A6A36">
              <w:t xml:space="preserve">clinical criteria. </w:t>
            </w:r>
            <w:r w:rsidR="00A91775">
              <w:t>D</w:t>
            </w:r>
            <w:r w:rsidR="00EB2ACF" w:rsidRPr="00EB2ACF">
              <w:t>ashes removed from ranges</w:t>
            </w:r>
            <w:r w:rsidR="00A91775">
              <w:t>.</w:t>
            </w:r>
            <w:r w:rsidR="00EB2ACF" w:rsidRPr="00EB2ACF">
              <w:t xml:space="preserve"> </w:t>
            </w:r>
            <w:r w:rsidR="00823A85">
              <w:t xml:space="preserve">CPT Code 30469 added to </w:t>
            </w:r>
            <w:r w:rsidR="00B76589">
              <w:t xml:space="preserve">Codes </w:t>
            </w:r>
            <w:r w:rsidR="00681641">
              <w:t>T</w:t>
            </w:r>
            <w:r w:rsidR="00B76589">
              <w:t xml:space="preserve">hat </w:t>
            </w:r>
            <w:r w:rsidR="00681641">
              <w:t>D</w:t>
            </w:r>
            <w:r w:rsidR="00B76589">
              <w:t xml:space="preserve">o </w:t>
            </w:r>
            <w:r w:rsidR="00681641">
              <w:t>N</w:t>
            </w:r>
            <w:r w:rsidR="00B76589">
              <w:t xml:space="preserve">ot </w:t>
            </w:r>
            <w:r w:rsidR="00681641">
              <w:t>S</w:t>
            </w:r>
            <w:r w:rsidR="00B76589">
              <w:t xml:space="preserve">upport </w:t>
            </w:r>
            <w:r w:rsidR="00681641">
              <w:t>Coverage</w:t>
            </w:r>
            <w:r w:rsidR="00B76589">
              <w:t xml:space="preserve"> table. </w:t>
            </w:r>
            <w:r w:rsidR="007A6A36">
              <w:t xml:space="preserve">ICD-10 </w:t>
            </w:r>
            <w:r w:rsidR="001841EA">
              <w:t>diagnosis c</w:t>
            </w:r>
            <w:r w:rsidR="007A6A36">
              <w:t xml:space="preserve">ode table removed. </w:t>
            </w:r>
            <w:r w:rsidR="00C66CBF">
              <w:t xml:space="preserve">References reviewed and updated. </w:t>
            </w:r>
            <w:r w:rsidR="001A2987">
              <w:t>External specialist reviewed.</w:t>
            </w:r>
          </w:p>
        </w:tc>
        <w:tc>
          <w:tcPr>
            <w:tcW w:w="1170" w:type="dxa"/>
          </w:tcPr>
          <w:p w14:paraId="5DB5CC8A" w14:textId="0E5492A5" w:rsidR="004C029E" w:rsidRDefault="0045467D" w:rsidP="003E5FEB">
            <w:pPr>
              <w:jc w:val="center"/>
              <w:cnfStyle w:val="000000100000" w:firstRow="0" w:lastRow="0" w:firstColumn="0" w:lastColumn="0" w:oddVBand="0" w:evenVBand="0" w:oddHBand="1" w:evenHBand="0" w:firstRowFirstColumn="0" w:firstRowLastColumn="0" w:lastRowFirstColumn="0" w:lastRowLastColumn="0"/>
            </w:pPr>
            <w:r>
              <w:t>05/23</w:t>
            </w:r>
          </w:p>
        </w:tc>
        <w:tc>
          <w:tcPr>
            <w:cnfStyle w:val="000010000000" w:firstRow="0" w:lastRow="0" w:firstColumn="0" w:lastColumn="0" w:oddVBand="1" w:evenVBand="0" w:oddHBand="0" w:evenHBand="0" w:firstRowFirstColumn="0" w:firstRowLastColumn="0" w:lastRowFirstColumn="0" w:lastRowLastColumn="0"/>
            <w:tcW w:w="1198" w:type="dxa"/>
          </w:tcPr>
          <w:p w14:paraId="2274BB80" w14:textId="414C2B9E" w:rsidR="004C029E" w:rsidRDefault="0010731E" w:rsidP="00857C10">
            <w:pPr>
              <w:jc w:val="center"/>
            </w:pPr>
            <w:r>
              <w:t>05/23</w:t>
            </w:r>
          </w:p>
        </w:tc>
      </w:tr>
      <w:tr w:rsidR="004D6D4F" w14:paraId="6115B97D" w14:textId="77777777" w:rsidTr="003669FD">
        <w:tc>
          <w:tcPr>
            <w:cnfStyle w:val="000010000000" w:firstRow="0" w:lastRow="0" w:firstColumn="0" w:lastColumn="0" w:oddVBand="1" w:evenVBand="0" w:oddHBand="0" w:evenHBand="0" w:firstRowFirstColumn="0" w:firstRowLastColumn="0" w:lastRowFirstColumn="0" w:lastRowLastColumn="0"/>
            <w:tcW w:w="7280" w:type="dxa"/>
          </w:tcPr>
          <w:p w14:paraId="062522CB" w14:textId="4FFF58CC" w:rsidR="004D6D4F" w:rsidRDefault="004D6D4F" w:rsidP="008F2A00">
            <w:pPr>
              <w:tabs>
                <w:tab w:val="num" w:pos="720"/>
              </w:tabs>
            </w:pPr>
            <w:r>
              <w:lastRenderedPageBreak/>
              <w:t>Annual review.</w:t>
            </w:r>
            <w:r w:rsidR="00A13FBC">
              <w:t xml:space="preserve"> Background updated with no impact to criteria.</w:t>
            </w:r>
            <w:r w:rsidR="00AF41D9">
              <w:t xml:space="preserve"> References reviewed and updated.</w:t>
            </w:r>
          </w:p>
        </w:tc>
        <w:tc>
          <w:tcPr>
            <w:tcW w:w="1170" w:type="dxa"/>
          </w:tcPr>
          <w:p w14:paraId="59B4818A" w14:textId="18C48624" w:rsidR="004D6D4F" w:rsidRDefault="004D6D4F" w:rsidP="003E5FEB">
            <w:pPr>
              <w:jc w:val="center"/>
              <w:cnfStyle w:val="000000000000" w:firstRow="0" w:lastRow="0" w:firstColumn="0" w:lastColumn="0" w:oddVBand="0" w:evenVBand="0" w:oddHBand="0" w:evenHBand="0" w:firstRowFirstColumn="0" w:firstRowLastColumn="0" w:lastRowFirstColumn="0" w:lastRowLastColumn="0"/>
            </w:pPr>
            <w:r>
              <w:t>05/24</w:t>
            </w:r>
          </w:p>
        </w:tc>
        <w:tc>
          <w:tcPr>
            <w:cnfStyle w:val="000010000000" w:firstRow="0" w:lastRow="0" w:firstColumn="0" w:lastColumn="0" w:oddVBand="1" w:evenVBand="0" w:oddHBand="0" w:evenHBand="0" w:firstRowFirstColumn="0" w:firstRowLastColumn="0" w:lastRowFirstColumn="0" w:lastRowLastColumn="0"/>
            <w:tcW w:w="1198" w:type="dxa"/>
          </w:tcPr>
          <w:p w14:paraId="7CDA6305" w14:textId="4F8FCD0C" w:rsidR="004D6D4F" w:rsidRDefault="00F31844" w:rsidP="00857C10">
            <w:pPr>
              <w:jc w:val="center"/>
            </w:pPr>
            <w:r>
              <w:t>05/24</w:t>
            </w:r>
          </w:p>
        </w:tc>
      </w:tr>
      <w:tr w:rsidR="002B6C7F" w14:paraId="6DFD6885" w14:textId="77777777" w:rsidTr="003669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3B29D521" w14:textId="0E00B218" w:rsidR="002B6C7F" w:rsidRDefault="004940F9" w:rsidP="00A16890">
            <w:r>
              <w:t xml:space="preserve">Annual review. Under I.C. added (e.g., </w:t>
            </w:r>
            <w:proofErr w:type="gramStart"/>
            <w:r>
              <w:t>sinusitis,…</w:t>
            </w:r>
            <w:proofErr w:type="gramEnd"/>
            <w:r>
              <w:t>) and removed “including all of the following…”. Removed I.C.1.-I.C.4. Sinusitis…Under I.D. added (e.g., nasal cones, …) and removed D.1.-D.4. “</w:t>
            </w:r>
            <w:proofErr w:type="gramStart"/>
            <w:r>
              <w:t>Eight week</w:t>
            </w:r>
            <w:proofErr w:type="gramEnd"/>
            <w:r>
              <w:t xml:space="preserve"> trial…). References reviewed and updated. Reviewed by external specialist.</w:t>
            </w:r>
          </w:p>
        </w:tc>
        <w:tc>
          <w:tcPr>
            <w:tcW w:w="1170" w:type="dxa"/>
          </w:tcPr>
          <w:p w14:paraId="4EE239B7" w14:textId="75F04C91" w:rsidR="002B6C7F" w:rsidRDefault="004940F9" w:rsidP="003E5FEB">
            <w:pPr>
              <w:jc w:val="center"/>
              <w:cnfStyle w:val="000000100000" w:firstRow="0" w:lastRow="0" w:firstColumn="0" w:lastColumn="0" w:oddVBand="0" w:evenVBand="0" w:oddHBand="1" w:evenHBand="0" w:firstRowFirstColumn="0" w:firstRowLastColumn="0" w:lastRowFirstColumn="0" w:lastRowLastColumn="0"/>
            </w:pPr>
            <w:r>
              <w:t>04/25</w:t>
            </w:r>
          </w:p>
        </w:tc>
        <w:tc>
          <w:tcPr>
            <w:cnfStyle w:val="000010000000" w:firstRow="0" w:lastRow="0" w:firstColumn="0" w:lastColumn="0" w:oddVBand="1" w:evenVBand="0" w:oddHBand="0" w:evenHBand="0" w:firstRowFirstColumn="0" w:firstRowLastColumn="0" w:lastRowFirstColumn="0" w:lastRowLastColumn="0"/>
            <w:tcW w:w="1198" w:type="dxa"/>
          </w:tcPr>
          <w:p w14:paraId="57CCFC71" w14:textId="6175D5AE" w:rsidR="002B6C7F" w:rsidRDefault="00677834" w:rsidP="00857C10">
            <w:pPr>
              <w:jc w:val="center"/>
            </w:pPr>
            <w:r>
              <w:t>04/25</w:t>
            </w:r>
          </w:p>
        </w:tc>
      </w:tr>
    </w:tbl>
    <w:p w14:paraId="1C5E269E" w14:textId="77777777" w:rsidR="00B777AF" w:rsidRDefault="00B777AF" w:rsidP="00B777AF">
      <w:pPr>
        <w:pStyle w:val="Heading6"/>
        <w:tabs>
          <w:tab w:val="clear" w:pos="0"/>
        </w:tabs>
      </w:pPr>
    </w:p>
    <w:p w14:paraId="62FC4820" w14:textId="77777777" w:rsidR="00963062" w:rsidRPr="00B777AF" w:rsidRDefault="003F3D44" w:rsidP="00963062">
      <w:pPr>
        <w:pStyle w:val="Heading3"/>
      </w:pPr>
      <w:r>
        <w:t>References</w:t>
      </w:r>
    </w:p>
    <w:p w14:paraId="0367CD78" w14:textId="7D85E8FA" w:rsidR="004B14F4" w:rsidRPr="008E37DA" w:rsidRDefault="004B14F4" w:rsidP="004B14F4">
      <w:pPr>
        <w:pStyle w:val="ListParagraph"/>
        <w:numPr>
          <w:ilvl w:val="0"/>
          <w:numId w:val="21"/>
        </w:numPr>
        <w:ind w:left="360"/>
      </w:pPr>
      <w:bookmarkStart w:id="1" w:name="_Hlk102128283"/>
      <w:r w:rsidRPr="008E37DA">
        <w:t xml:space="preserve">Bhattacharyya N. Nasal obstruction: diagnosis and management. </w:t>
      </w:r>
      <w:r w:rsidR="00720095" w:rsidRPr="008E37DA">
        <w:rPr>
          <w:lang w:val="en"/>
        </w:rPr>
        <w:t xml:space="preserve">UpToDate. </w:t>
      </w:r>
      <w:hyperlink r:id="rId17" w:history="1">
        <w:r w:rsidR="00720095" w:rsidRPr="00720095">
          <w:rPr>
            <w:rStyle w:val="Hyperlink"/>
            <w:lang w:val="en"/>
          </w:rPr>
          <w:t>www.uptodate.com</w:t>
        </w:r>
      </w:hyperlink>
      <w:r w:rsidR="00720095" w:rsidRPr="00720095">
        <w:rPr>
          <w:lang w:val="en"/>
        </w:rPr>
        <w:t xml:space="preserve">. </w:t>
      </w:r>
      <w:r w:rsidR="007B00F6" w:rsidRPr="008E37DA">
        <w:rPr>
          <w:lang w:val="en"/>
        </w:rPr>
        <w:t xml:space="preserve">Updated </w:t>
      </w:r>
      <w:r w:rsidR="003631D6">
        <w:rPr>
          <w:lang w:val="en"/>
        </w:rPr>
        <w:t>June 6</w:t>
      </w:r>
      <w:r w:rsidR="001407FE">
        <w:rPr>
          <w:lang w:val="en"/>
        </w:rPr>
        <w:t>, 2024</w:t>
      </w:r>
      <w:r w:rsidR="00720095" w:rsidRPr="008E37DA">
        <w:rPr>
          <w:lang w:val="en"/>
        </w:rPr>
        <w:t xml:space="preserve">. Accessed </w:t>
      </w:r>
      <w:r w:rsidR="003631D6">
        <w:rPr>
          <w:lang w:val="en"/>
        </w:rPr>
        <w:t>March 17, 2025</w:t>
      </w:r>
      <w:r w:rsidR="00720095" w:rsidRPr="008E37DA">
        <w:rPr>
          <w:lang w:val="en"/>
        </w:rPr>
        <w:t>.</w:t>
      </w:r>
    </w:p>
    <w:p w14:paraId="40421FE7" w14:textId="2A4B634C" w:rsidR="004B14F4" w:rsidRPr="008E37DA" w:rsidRDefault="00F8345F" w:rsidP="00F8345F">
      <w:pPr>
        <w:pStyle w:val="ListParagraph"/>
        <w:numPr>
          <w:ilvl w:val="0"/>
          <w:numId w:val="21"/>
        </w:numPr>
        <w:ind w:left="360"/>
      </w:pPr>
      <w:r w:rsidRPr="008E37DA">
        <w:t xml:space="preserve">Ishii LE, Tollefson TT, </w:t>
      </w:r>
      <w:proofErr w:type="spellStart"/>
      <w:r w:rsidRPr="008E37DA">
        <w:t>Basura</w:t>
      </w:r>
      <w:proofErr w:type="spellEnd"/>
      <w:r w:rsidRPr="008E37DA">
        <w:t xml:space="preserve"> GJ, et al. Clinical </w:t>
      </w:r>
      <w:r w:rsidR="00D3077F" w:rsidRPr="008E37DA">
        <w:t>practice guideline: improving nasal form and function after rhinoplasty executive summary</w:t>
      </w:r>
      <w:r w:rsidRPr="008E37DA">
        <w:t>. </w:t>
      </w:r>
      <w:proofErr w:type="spellStart"/>
      <w:r w:rsidRPr="008E37DA">
        <w:rPr>
          <w:i/>
          <w:iCs/>
        </w:rPr>
        <w:t>Otolaryngol</w:t>
      </w:r>
      <w:proofErr w:type="spellEnd"/>
      <w:r w:rsidRPr="008E37DA">
        <w:rPr>
          <w:i/>
          <w:iCs/>
        </w:rPr>
        <w:t xml:space="preserve"> Head Neck Surg</w:t>
      </w:r>
      <w:r w:rsidRPr="008E37DA">
        <w:t>.</w:t>
      </w:r>
      <w:r w:rsidR="00BF09AF" w:rsidRPr="008E37DA">
        <w:t xml:space="preserve"> </w:t>
      </w:r>
      <w:r w:rsidRPr="008E37DA">
        <w:t>2017;156(2):205</w:t>
      </w:r>
      <w:r w:rsidR="009406EA" w:rsidRPr="008E37DA">
        <w:t xml:space="preserve"> to </w:t>
      </w:r>
      <w:r w:rsidRPr="008E37DA">
        <w:t>219. doi:10.1177/0194599816683156</w:t>
      </w:r>
    </w:p>
    <w:p w14:paraId="43CEBA4F" w14:textId="60C3A6FB" w:rsidR="00F44AFA" w:rsidRPr="008E37DA" w:rsidRDefault="00F8345F" w:rsidP="00F8345F">
      <w:pPr>
        <w:pStyle w:val="ListParagraph"/>
        <w:numPr>
          <w:ilvl w:val="0"/>
          <w:numId w:val="21"/>
        </w:numPr>
        <w:ind w:left="360"/>
      </w:pPr>
      <w:r w:rsidRPr="008E37DA">
        <w:t xml:space="preserve">Mohan S, Fuller JC, Ford SF, Lindsay RW. Diagnostic and </w:t>
      </w:r>
      <w:r w:rsidR="00D3077F" w:rsidRPr="008E37DA">
        <w:t>therapeutic management of nasal airway obstruction: advances in diagnosis and treatment</w:t>
      </w:r>
      <w:r w:rsidRPr="008E37DA">
        <w:t>. </w:t>
      </w:r>
      <w:r w:rsidRPr="008E37DA">
        <w:rPr>
          <w:i/>
          <w:iCs/>
        </w:rPr>
        <w:t>JAMA Facial Plast Surg</w:t>
      </w:r>
      <w:r w:rsidRPr="008E37DA">
        <w:t>. 2018;20(5):409</w:t>
      </w:r>
      <w:r w:rsidR="009406EA" w:rsidRPr="008E37DA">
        <w:t xml:space="preserve"> to </w:t>
      </w:r>
      <w:r w:rsidRPr="008E37DA">
        <w:t>418. doi:10.1001/jamafacial.2018.0279</w:t>
      </w:r>
    </w:p>
    <w:p w14:paraId="6CCE36EC" w14:textId="74801E50" w:rsidR="00963062" w:rsidRPr="008E37DA" w:rsidRDefault="00F8345F" w:rsidP="00F8345F">
      <w:pPr>
        <w:pStyle w:val="ListParagraph"/>
        <w:numPr>
          <w:ilvl w:val="0"/>
          <w:numId w:val="21"/>
        </w:numPr>
        <w:ind w:left="360"/>
      </w:pPr>
      <w:r w:rsidRPr="008E37DA">
        <w:t xml:space="preserve">Lee DS, </w:t>
      </w:r>
      <w:proofErr w:type="spellStart"/>
      <w:r w:rsidRPr="008E37DA">
        <w:t>Glasgold</w:t>
      </w:r>
      <w:proofErr w:type="spellEnd"/>
      <w:r w:rsidRPr="008E37DA">
        <w:t xml:space="preserve"> AI. Correction of nasal valve stenosis with lateral suture suspension. </w:t>
      </w:r>
      <w:r w:rsidRPr="008E37DA">
        <w:rPr>
          <w:i/>
          <w:iCs/>
        </w:rPr>
        <w:t>Arch Facial Plast Surg</w:t>
      </w:r>
      <w:r w:rsidRPr="008E37DA">
        <w:t>. 2001;3(4):237</w:t>
      </w:r>
      <w:r w:rsidR="009406EA" w:rsidRPr="008E37DA">
        <w:t xml:space="preserve"> to </w:t>
      </w:r>
      <w:r w:rsidRPr="008E37DA">
        <w:t>240. doi:10.1001/archfaci.3.4.237</w:t>
      </w:r>
    </w:p>
    <w:p w14:paraId="3E1DEDDA" w14:textId="03F636E9" w:rsidR="00E5387D" w:rsidRPr="008E37DA" w:rsidRDefault="00F8345F" w:rsidP="00F8345F">
      <w:pPr>
        <w:pStyle w:val="ListParagraph"/>
        <w:numPr>
          <w:ilvl w:val="0"/>
          <w:numId w:val="21"/>
        </w:numPr>
        <w:ind w:left="360"/>
      </w:pPr>
      <w:r w:rsidRPr="008E37DA">
        <w:t xml:space="preserve">Tasca I, Ceroni </w:t>
      </w:r>
      <w:proofErr w:type="spellStart"/>
      <w:r w:rsidRPr="008E37DA">
        <w:t>Compadretti</w:t>
      </w:r>
      <w:proofErr w:type="spellEnd"/>
      <w:r w:rsidRPr="008E37DA">
        <w:t xml:space="preserve"> G, Sorace F. Nasal valve surgery. </w:t>
      </w:r>
      <w:r w:rsidRPr="008E37DA">
        <w:rPr>
          <w:i/>
          <w:iCs/>
        </w:rPr>
        <w:t xml:space="preserve">Acta </w:t>
      </w:r>
      <w:proofErr w:type="spellStart"/>
      <w:r w:rsidRPr="008E37DA">
        <w:rPr>
          <w:i/>
          <w:iCs/>
        </w:rPr>
        <w:t>Otorhinolaryngol</w:t>
      </w:r>
      <w:proofErr w:type="spellEnd"/>
      <w:r w:rsidRPr="008E37DA">
        <w:rPr>
          <w:i/>
          <w:iCs/>
        </w:rPr>
        <w:t xml:space="preserve"> Ital</w:t>
      </w:r>
      <w:r w:rsidRPr="008E37DA">
        <w:t>. 2013;33(3):196</w:t>
      </w:r>
      <w:r w:rsidR="00015A74" w:rsidRPr="008E37DA">
        <w:t xml:space="preserve"> to </w:t>
      </w:r>
      <w:r w:rsidRPr="008E37DA">
        <w:t>201.</w:t>
      </w:r>
    </w:p>
    <w:p w14:paraId="1D3A9040" w14:textId="37BDD5F5" w:rsidR="004C5524" w:rsidRPr="00A51862" w:rsidRDefault="001220BD" w:rsidP="00AE6619">
      <w:pPr>
        <w:pStyle w:val="ListParagraph"/>
        <w:numPr>
          <w:ilvl w:val="0"/>
          <w:numId w:val="21"/>
        </w:numPr>
        <w:ind w:left="360"/>
      </w:pPr>
      <w:r w:rsidRPr="008E37DA">
        <w:t xml:space="preserve">Evolving </w:t>
      </w:r>
      <w:r w:rsidR="00F8345F" w:rsidRPr="008E37DA">
        <w:t xml:space="preserve">Evidence Review: </w:t>
      </w:r>
      <w:proofErr w:type="spellStart"/>
      <w:r w:rsidR="00F8345F" w:rsidRPr="008E37DA">
        <w:t>VivAer</w:t>
      </w:r>
      <w:proofErr w:type="spellEnd"/>
      <w:r w:rsidR="00F8345F" w:rsidRPr="008E37DA">
        <w:t xml:space="preserve"> (Aerin Medical Inc.) for nasal airway remodeling to treat nasal obstruction. Hayes. </w:t>
      </w:r>
      <w:hyperlink r:id="rId18" w:history="1">
        <w:r w:rsidR="00F8345F" w:rsidRPr="00BF09AF">
          <w:rPr>
            <w:rStyle w:val="Hyperlink"/>
          </w:rPr>
          <w:t>www.hayesinc.com</w:t>
        </w:r>
      </w:hyperlink>
      <w:r w:rsidR="00F8345F" w:rsidRPr="0067418F">
        <w:t xml:space="preserve">. </w:t>
      </w:r>
      <w:r w:rsidR="00F8345F" w:rsidRPr="008E37DA">
        <w:t xml:space="preserve">Updated </w:t>
      </w:r>
      <w:r w:rsidR="002245BF">
        <w:t>February 10, 2025</w:t>
      </w:r>
      <w:r w:rsidR="00F8345F" w:rsidRPr="008E37DA">
        <w:t xml:space="preserve">. Accessed </w:t>
      </w:r>
      <w:r w:rsidR="002245BF">
        <w:t>March 17, 2025</w:t>
      </w:r>
      <w:r w:rsidR="00466EF8" w:rsidRPr="008E37DA">
        <w:t>.</w:t>
      </w:r>
    </w:p>
    <w:p w14:paraId="6ABCA8BC" w14:textId="37C7B98E" w:rsidR="00E5387D" w:rsidRPr="008E37DA" w:rsidRDefault="00AE6619" w:rsidP="00B12AF0">
      <w:pPr>
        <w:pStyle w:val="ListParagraph"/>
        <w:numPr>
          <w:ilvl w:val="0"/>
          <w:numId w:val="21"/>
        </w:numPr>
        <w:ind w:left="360"/>
        <w:rPr>
          <w:lang w:bidi="en-US"/>
        </w:rPr>
      </w:pPr>
      <w:r w:rsidRPr="008E37DA">
        <w:rPr>
          <w:lang w:bidi="en-US"/>
        </w:rPr>
        <w:t xml:space="preserve">Rhee JS, Weaver EM, Park SS, et al. Clinical consensus statement: </w:t>
      </w:r>
      <w:r w:rsidR="00D3077F">
        <w:rPr>
          <w:lang w:bidi="en-US"/>
        </w:rPr>
        <w:t>d</w:t>
      </w:r>
      <w:r w:rsidRPr="008E37DA">
        <w:rPr>
          <w:lang w:bidi="en-US"/>
        </w:rPr>
        <w:t>iagnosis and management of nasal valve compromise. </w:t>
      </w:r>
      <w:proofErr w:type="spellStart"/>
      <w:r w:rsidRPr="008E37DA">
        <w:rPr>
          <w:i/>
          <w:iCs/>
          <w:lang w:bidi="en-US"/>
        </w:rPr>
        <w:t>Otolaryngol</w:t>
      </w:r>
      <w:proofErr w:type="spellEnd"/>
      <w:r w:rsidRPr="008E37DA">
        <w:rPr>
          <w:i/>
          <w:iCs/>
          <w:lang w:bidi="en-US"/>
        </w:rPr>
        <w:t xml:space="preserve"> Head Neck Surg</w:t>
      </w:r>
      <w:r w:rsidRPr="008E37DA">
        <w:rPr>
          <w:lang w:bidi="en-US"/>
        </w:rPr>
        <w:t>. 2010;143(1):48</w:t>
      </w:r>
      <w:r w:rsidR="00015A74" w:rsidRPr="008E37DA">
        <w:rPr>
          <w:lang w:bidi="en-US"/>
        </w:rPr>
        <w:t xml:space="preserve"> to </w:t>
      </w:r>
      <w:r w:rsidRPr="008E37DA">
        <w:rPr>
          <w:lang w:bidi="en-US"/>
        </w:rPr>
        <w:t>59. doi:10.1016/j.otohns.2010.04.019</w:t>
      </w:r>
    </w:p>
    <w:p w14:paraId="62A22B0E" w14:textId="46CB4C66" w:rsidR="002B0710" w:rsidRPr="008E37DA" w:rsidRDefault="00AE6619" w:rsidP="002B0710">
      <w:pPr>
        <w:pStyle w:val="ListParagraph"/>
        <w:numPr>
          <w:ilvl w:val="0"/>
          <w:numId w:val="21"/>
        </w:numPr>
        <w:ind w:left="360"/>
      </w:pPr>
      <w:r w:rsidRPr="008E37DA">
        <w:t xml:space="preserve">Local coverage determination. Cosmetic and reconstructive surgery (L35090). Centers for Medicare and Medicaid Services Web site. </w:t>
      </w:r>
      <w:hyperlink r:id="rId19" w:history="1">
        <w:r w:rsidRPr="00BF09AF">
          <w:rPr>
            <w:rStyle w:val="Hyperlink"/>
          </w:rPr>
          <w:t>http://www.cms.hhs.gov/mcd/search.asp</w:t>
        </w:r>
      </w:hyperlink>
      <w:r w:rsidRPr="0067418F">
        <w:t xml:space="preserve">. </w:t>
      </w:r>
      <w:r w:rsidRPr="008E37DA">
        <w:t xml:space="preserve">Published October 01, 2015 (revised July 11, 2021). Accessed </w:t>
      </w:r>
      <w:r w:rsidR="00550DE0">
        <w:t>March 17, 2025</w:t>
      </w:r>
      <w:r w:rsidRPr="008E37DA">
        <w:t>.</w:t>
      </w:r>
    </w:p>
    <w:p w14:paraId="025AB479" w14:textId="61B51E1D" w:rsidR="007F468E" w:rsidRPr="008E37DA" w:rsidRDefault="00AE6619" w:rsidP="007F468E">
      <w:pPr>
        <w:pStyle w:val="ListParagraph"/>
        <w:numPr>
          <w:ilvl w:val="0"/>
          <w:numId w:val="21"/>
        </w:numPr>
        <w:ind w:left="360"/>
      </w:pPr>
      <w:r w:rsidRPr="008E37DA">
        <w:t xml:space="preserve">Local coverage determination. Cosmetic and reconstructive surgery (L33428). Centers for Medicare and Medicaid Services Web site. </w:t>
      </w:r>
      <w:hyperlink r:id="rId20" w:history="1">
        <w:r w:rsidRPr="003669FD">
          <w:rPr>
            <w:rStyle w:val="Hyperlink"/>
          </w:rPr>
          <w:t>http://www.cms.hhs.gov/mcd/search.asp</w:t>
        </w:r>
      </w:hyperlink>
      <w:r w:rsidRPr="003669FD">
        <w:t xml:space="preserve">. </w:t>
      </w:r>
      <w:r w:rsidRPr="008E37DA">
        <w:t xml:space="preserve">Published October 01, 2015 (revised July 29, 2021). Accessed </w:t>
      </w:r>
      <w:r w:rsidR="00C77928">
        <w:t>March 17, 2025</w:t>
      </w:r>
      <w:r w:rsidRPr="008E37DA">
        <w:t>.</w:t>
      </w:r>
    </w:p>
    <w:p w14:paraId="6CCA2726" w14:textId="18E28DFA" w:rsidR="007F468E" w:rsidRPr="008E37DA" w:rsidRDefault="00AE6619" w:rsidP="005646B8">
      <w:pPr>
        <w:pStyle w:val="ListParagraph"/>
        <w:numPr>
          <w:ilvl w:val="0"/>
          <w:numId w:val="21"/>
        </w:numPr>
        <w:ind w:left="360"/>
      </w:pPr>
      <w:r w:rsidRPr="008E37DA">
        <w:t xml:space="preserve">Aerin Medical website. </w:t>
      </w:r>
      <w:hyperlink r:id="rId21" w:history="1">
        <w:r w:rsidRPr="00BF09AF">
          <w:rPr>
            <w:rStyle w:val="Hyperlink"/>
          </w:rPr>
          <w:t>https://aerinmedical.com/</w:t>
        </w:r>
      </w:hyperlink>
      <w:r w:rsidRPr="0067418F">
        <w:t xml:space="preserve">. </w:t>
      </w:r>
      <w:r w:rsidRPr="008E37DA">
        <w:t xml:space="preserve">Accessed </w:t>
      </w:r>
      <w:r w:rsidR="008B4889">
        <w:t>March 17, 2025</w:t>
      </w:r>
      <w:r w:rsidRPr="008E37DA">
        <w:t>.</w:t>
      </w:r>
    </w:p>
    <w:p w14:paraId="224CC88E" w14:textId="1DD1D6C8" w:rsidR="00B533F1" w:rsidRPr="008E37DA" w:rsidRDefault="00AE6619" w:rsidP="00B533F1">
      <w:pPr>
        <w:pStyle w:val="ListParagraph"/>
        <w:numPr>
          <w:ilvl w:val="0"/>
          <w:numId w:val="21"/>
        </w:numPr>
        <w:ind w:left="360"/>
      </w:pPr>
      <w:r w:rsidRPr="008E37DA">
        <w:t xml:space="preserve">Evolving Evidence Review: Absorbable nasal implants (Latera, Stryker) for the treatment of nasal valve collapse. Hayes. </w:t>
      </w:r>
      <w:hyperlink r:id="rId22" w:history="1">
        <w:r w:rsidRPr="00EF331A">
          <w:rPr>
            <w:rStyle w:val="Hyperlink"/>
          </w:rPr>
          <w:t>www.hayesinc.com</w:t>
        </w:r>
      </w:hyperlink>
      <w:r w:rsidRPr="0067418F">
        <w:t xml:space="preserve">. </w:t>
      </w:r>
      <w:r w:rsidRPr="008E37DA">
        <w:t xml:space="preserve">Published March 10, 2022. </w:t>
      </w:r>
      <w:r w:rsidR="00D03CDD">
        <w:t>March 17, 2025</w:t>
      </w:r>
      <w:r w:rsidRPr="008E37DA">
        <w:t>.</w:t>
      </w:r>
    </w:p>
    <w:p w14:paraId="76B6C1C7" w14:textId="2567C3A8" w:rsidR="00604D32" w:rsidRDefault="00AE6619" w:rsidP="00604D32">
      <w:pPr>
        <w:pStyle w:val="ListParagraph"/>
        <w:numPr>
          <w:ilvl w:val="0"/>
          <w:numId w:val="21"/>
        </w:numPr>
        <w:ind w:left="360"/>
      </w:pPr>
      <w:r w:rsidRPr="008E37DA">
        <w:t xml:space="preserve">Stryker website. </w:t>
      </w:r>
      <w:hyperlink r:id="rId23" w:history="1">
        <w:r w:rsidRPr="00EF331A">
          <w:rPr>
            <w:rStyle w:val="Hyperlink"/>
          </w:rPr>
          <w:t>https://latera.com/</w:t>
        </w:r>
      </w:hyperlink>
      <w:r w:rsidRPr="0067418F">
        <w:t xml:space="preserve">. </w:t>
      </w:r>
      <w:r w:rsidRPr="008E37DA">
        <w:t xml:space="preserve">Accessed </w:t>
      </w:r>
      <w:r w:rsidR="00A95F8F" w:rsidRPr="008E37DA">
        <w:t xml:space="preserve">March </w:t>
      </w:r>
      <w:r w:rsidR="008B4889">
        <w:t>17, 2025</w:t>
      </w:r>
      <w:r w:rsidRPr="008E37DA">
        <w:t xml:space="preserve">.  </w:t>
      </w:r>
    </w:p>
    <w:p w14:paraId="1DDA8FC3" w14:textId="3F31288F" w:rsidR="00FA7BA8" w:rsidRDefault="00FA7BA8" w:rsidP="00604D32">
      <w:pPr>
        <w:pStyle w:val="ListParagraph"/>
        <w:numPr>
          <w:ilvl w:val="0"/>
          <w:numId w:val="21"/>
        </w:numPr>
        <w:ind w:left="360"/>
      </w:pPr>
      <w:r w:rsidRPr="00FA7BA8">
        <w:t xml:space="preserve">Schmale IL, Yao WC, Luong AU, </w:t>
      </w:r>
      <w:proofErr w:type="spellStart"/>
      <w:r w:rsidRPr="00FA7BA8">
        <w:t>Citardi</w:t>
      </w:r>
      <w:proofErr w:type="spellEnd"/>
      <w:r w:rsidRPr="00FA7BA8">
        <w:t xml:space="preserve"> MJ. The role of CT and endoscopy in the evaluation of patients referred for intranasal Cryoablation. </w:t>
      </w:r>
      <w:r w:rsidRPr="00FA7BA8">
        <w:rPr>
          <w:i/>
          <w:iCs/>
        </w:rPr>
        <w:t xml:space="preserve">Am J </w:t>
      </w:r>
      <w:proofErr w:type="spellStart"/>
      <w:r w:rsidRPr="00FA7BA8">
        <w:rPr>
          <w:i/>
          <w:iCs/>
        </w:rPr>
        <w:t>Otolaryngol</w:t>
      </w:r>
      <w:proofErr w:type="spellEnd"/>
      <w:r w:rsidRPr="00FA7BA8">
        <w:t>. 2021;42(4):102971. doi:10.1016/j.amjoto.2021.102971</w:t>
      </w:r>
    </w:p>
    <w:p w14:paraId="3786095D" w14:textId="7A5CE37D" w:rsidR="007554AE" w:rsidRDefault="00B32677" w:rsidP="00604D32">
      <w:pPr>
        <w:pStyle w:val="ListParagraph"/>
        <w:numPr>
          <w:ilvl w:val="0"/>
          <w:numId w:val="21"/>
        </w:numPr>
        <w:ind w:left="360"/>
      </w:pPr>
      <w:r>
        <w:t xml:space="preserve">Lieberman PL. Chronic nonallergic rhinitis. UpToDate. </w:t>
      </w:r>
      <w:hyperlink r:id="rId24" w:history="1">
        <w:r w:rsidRPr="007F6C6A">
          <w:rPr>
            <w:rStyle w:val="Hyperlink"/>
          </w:rPr>
          <w:t>www.uptodate.com</w:t>
        </w:r>
      </w:hyperlink>
      <w:r>
        <w:t xml:space="preserve">. </w:t>
      </w:r>
      <w:r w:rsidR="00BE2D4E">
        <w:t xml:space="preserve">Updated </w:t>
      </w:r>
      <w:r w:rsidR="00DE00F1">
        <w:t>October 22, 2023</w:t>
      </w:r>
      <w:r w:rsidR="00BE2D4E">
        <w:t xml:space="preserve">. Accessed </w:t>
      </w:r>
      <w:r w:rsidR="00343F0F">
        <w:t>March 17, 2025</w:t>
      </w:r>
      <w:r w:rsidR="00BE2D4E">
        <w:t>.</w:t>
      </w:r>
    </w:p>
    <w:p w14:paraId="01A7828A" w14:textId="1520E511" w:rsidR="00230934" w:rsidRDefault="00230934" w:rsidP="00604D32">
      <w:pPr>
        <w:pStyle w:val="ListParagraph"/>
        <w:numPr>
          <w:ilvl w:val="0"/>
          <w:numId w:val="21"/>
        </w:numPr>
        <w:ind w:left="360"/>
      </w:pPr>
      <w:r w:rsidRPr="00230934">
        <w:lastRenderedPageBreak/>
        <w:t xml:space="preserve">Schmale IL, Yao WC, Luong AU, </w:t>
      </w:r>
      <w:proofErr w:type="spellStart"/>
      <w:r w:rsidRPr="00230934">
        <w:t>Citardi</w:t>
      </w:r>
      <w:proofErr w:type="spellEnd"/>
      <w:r w:rsidRPr="00230934">
        <w:t xml:space="preserve"> MJ. The role of CT and endoscopy in the evaluation of patients referred for intranasal Cryoablation. </w:t>
      </w:r>
      <w:r w:rsidRPr="00230934">
        <w:rPr>
          <w:i/>
          <w:iCs/>
        </w:rPr>
        <w:t xml:space="preserve">Am J </w:t>
      </w:r>
      <w:proofErr w:type="spellStart"/>
      <w:r w:rsidRPr="00230934">
        <w:rPr>
          <w:i/>
          <w:iCs/>
        </w:rPr>
        <w:t>Otolaryngol</w:t>
      </w:r>
      <w:proofErr w:type="spellEnd"/>
      <w:r w:rsidRPr="00230934">
        <w:t>. 2021;42(4):102971. doi:10.1016/j.amjoto.2021.102971</w:t>
      </w:r>
      <w:r w:rsidR="00CF3E37">
        <w:t>.</w:t>
      </w:r>
    </w:p>
    <w:p w14:paraId="3A6E3DA6" w14:textId="77777777" w:rsidR="00CF3E37" w:rsidRDefault="00CF3E37" w:rsidP="00093E9C">
      <w:pPr>
        <w:pStyle w:val="ListParagraph"/>
        <w:numPr>
          <w:ilvl w:val="0"/>
          <w:numId w:val="21"/>
        </w:numPr>
        <w:ind w:left="360"/>
      </w:pPr>
      <w:r w:rsidRPr="00D872F5">
        <w:t xml:space="preserve">Sprowl B. Position Statement: Nasal Valve Repair - American Academy of Otolaryngology-Head and Neck Surgery (AAO-HNS). American Academy of Otolaryngology-Head and Neck Surgery (AAO-HNS). Published March 22, 2023. Accessed March </w:t>
      </w:r>
      <w:r>
        <w:t>17</w:t>
      </w:r>
      <w:r w:rsidRPr="00D872F5">
        <w:t xml:space="preserve">, 2025. </w:t>
      </w:r>
      <w:hyperlink r:id="rId25" w:history="1">
        <w:r w:rsidRPr="00D872F5">
          <w:rPr>
            <w:rStyle w:val="Hyperlink"/>
          </w:rPr>
          <w:t>https://www.entnet.org/resource/position-statement-nasal-valve-repair/</w:t>
        </w:r>
      </w:hyperlink>
    </w:p>
    <w:p w14:paraId="73BAA72F" w14:textId="77777777" w:rsidR="00CF3E37" w:rsidRPr="00EF331A" w:rsidRDefault="00CF3E37" w:rsidP="00CF3E37">
      <w:pPr>
        <w:pStyle w:val="ListParagraph"/>
        <w:ind w:left="360"/>
      </w:pPr>
    </w:p>
    <w:bookmarkEnd w:id="1"/>
    <w:p w14:paraId="6E09FCA4" w14:textId="77777777" w:rsidR="00F8345F" w:rsidRDefault="00F8345F" w:rsidP="00963062"/>
    <w:p w14:paraId="458B5E0C" w14:textId="77777777" w:rsidR="00DD6ADB" w:rsidRPr="00146C6E" w:rsidRDefault="00C06257" w:rsidP="00146C6E">
      <w:pPr>
        <w:rPr>
          <w:rFonts w:eastAsiaTheme="minorHAnsi"/>
          <w:b/>
          <w:u w:val="single"/>
        </w:rPr>
      </w:pPr>
      <w:bookmarkStart w:id="2" w:name="Important_Reminder"/>
      <w:r w:rsidRPr="00146C6E">
        <w:rPr>
          <w:rFonts w:eastAsiaTheme="minorHAnsi"/>
          <w:b/>
          <w:bCs/>
          <w:u w:val="single"/>
        </w:rPr>
        <w:t>Important R</w:t>
      </w:r>
      <w:r w:rsidR="005D7B81" w:rsidRPr="00146C6E">
        <w:rPr>
          <w:rFonts w:eastAsiaTheme="minorHAnsi"/>
          <w:b/>
          <w:bCs/>
          <w:u w:val="single"/>
        </w:rPr>
        <w:t>eminder</w:t>
      </w:r>
      <w:bookmarkEnd w:id="2"/>
    </w:p>
    <w:p w14:paraId="0EA3CC34"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3CDD9233" w14:textId="77777777" w:rsidR="00DD6ADB" w:rsidRPr="00146C6E" w:rsidRDefault="00DD6ADB" w:rsidP="00146C6E">
      <w:pPr>
        <w:rPr>
          <w:rFonts w:eastAsiaTheme="minorHAnsi"/>
        </w:rPr>
      </w:pPr>
    </w:p>
    <w:p w14:paraId="1B3E87EB"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48F11099" w14:textId="77777777" w:rsidR="00DD6ADB" w:rsidRPr="00146C6E" w:rsidRDefault="00DD6ADB" w:rsidP="00146C6E">
      <w:pPr>
        <w:rPr>
          <w:rFonts w:eastAsiaTheme="minorHAnsi"/>
        </w:rPr>
      </w:pPr>
    </w:p>
    <w:p w14:paraId="63168955"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729F7437" w14:textId="77777777" w:rsidR="00DD6ADB" w:rsidRPr="00146C6E" w:rsidRDefault="00DD6ADB" w:rsidP="00146C6E">
      <w:pPr>
        <w:rPr>
          <w:rFonts w:eastAsiaTheme="minorHAnsi"/>
        </w:rPr>
      </w:pPr>
    </w:p>
    <w:p w14:paraId="6A3A6939" w14:textId="77777777"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w:t>
      </w:r>
      <w:r w:rsidR="0041728B">
        <w:rPr>
          <w:rFonts w:eastAsiaTheme="minorHAnsi"/>
        </w:rPr>
        <w:t>members/enrollees</w:t>
      </w:r>
      <w:r w:rsidRPr="00146C6E">
        <w:rPr>
          <w:rFonts w:eastAsiaTheme="minorHAnsi"/>
        </w:rPr>
        <w:t xml:space="preserve">.  This clinical policy is not intended to recommend treatment for </w:t>
      </w:r>
      <w:r w:rsidR="0041728B">
        <w:rPr>
          <w:rFonts w:eastAsiaTheme="minorHAnsi"/>
        </w:rPr>
        <w:t>members/enrollees</w:t>
      </w:r>
      <w:r w:rsidRPr="00146C6E">
        <w:rPr>
          <w:rFonts w:eastAsiaTheme="minorHAnsi"/>
        </w:rPr>
        <w:t xml:space="preserve">. </w:t>
      </w:r>
      <w:r w:rsidR="0041728B">
        <w:rPr>
          <w:rFonts w:eastAsiaTheme="minorHAnsi"/>
        </w:rPr>
        <w:t>Members/enrollees</w:t>
      </w:r>
      <w:r w:rsidRPr="00146C6E">
        <w:rPr>
          <w:rFonts w:eastAsiaTheme="minorHAnsi"/>
        </w:rPr>
        <w:t xml:space="preserve"> should consult with their treating physician in connection with diagnosis and treatment decisions. </w:t>
      </w:r>
    </w:p>
    <w:p w14:paraId="5DE3AAAA" w14:textId="77777777" w:rsidR="00DD6ADB" w:rsidRPr="00146C6E" w:rsidRDefault="00DD6ADB" w:rsidP="00146C6E">
      <w:pPr>
        <w:rPr>
          <w:rFonts w:eastAsiaTheme="minorHAnsi"/>
        </w:rPr>
      </w:pPr>
    </w:p>
    <w:p w14:paraId="02171860" w14:textId="77777777" w:rsidR="00DD6ADB" w:rsidRPr="00146C6E" w:rsidRDefault="00DD6ADB" w:rsidP="00146C6E">
      <w:pPr>
        <w:rPr>
          <w:rFonts w:eastAsiaTheme="minorHAnsi"/>
        </w:rPr>
      </w:pPr>
      <w:r w:rsidRPr="00146C6E">
        <w:rPr>
          <w:rFonts w:eastAsiaTheme="minorHAnsi"/>
        </w:rPr>
        <w:lastRenderedPageBreak/>
        <w:t>Providers referred to in this clinical policy are independent contractors who exercise independent judgment and over whom the Health Plan has no control or right of control.  Providers are not agents or employees of the Health Plan.</w:t>
      </w:r>
    </w:p>
    <w:p w14:paraId="4B0EBB78" w14:textId="77777777" w:rsidR="00DD6ADB" w:rsidRPr="00146C6E" w:rsidRDefault="00DD6ADB" w:rsidP="00146C6E">
      <w:pPr>
        <w:rPr>
          <w:rFonts w:eastAsiaTheme="minorHAnsi"/>
        </w:rPr>
      </w:pPr>
    </w:p>
    <w:p w14:paraId="0F3AC4F7" w14:textId="77777777"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41728B">
        <w:rPr>
          <w:rFonts w:eastAsiaTheme="minorHAnsi"/>
        </w:rPr>
        <w:t>members/enrollees</w:t>
      </w:r>
      <w:r w:rsidRPr="00146C6E">
        <w:rPr>
          <w:rFonts w:eastAsiaTheme="minorHAnsi"/>
        </w:rPr>
        <w:t xml:space="preserve"> and their representatives are bound to the terms and conditions expressed herein through the terms of their contracts.  Where no such contract exists, providers, </w:t>
      </w:r>
      <w:r w:rsidR="0041728B">
        <w:rPr>
          <w:rFonts w:eastAsiaTheme="minorHAnsi"/>
        </w:rPr>
        <w:t>members/enrollees</w:t>
      </w:r>
      <w:r w:rsidRPr="00146C6E">
        <w:rPr>
          <w:rFonts w:eastAsiaTheme="minorHAnsi"/>
        </w:rPr>
        <w:t xml:space="preserve"> and their representatives agree to be bound by such terms and conditions by providing services to </w:t>
      </w:r>
      <w:r w:rsidR="0041728B">
        <w:rPr>
          <w:rFonts w:eastAsiaTheme="minorHAnsi"/>
        </w:rPr>
        <w:t>members/enrollees</w:t>
      </w:r>
      <w:r w:rsidRPr="00146C6E">
        <w:rPr>
          <w:rFonts w:eastAsiaTheme="minorHAnsi"/>
        </w:rPr>
        <w:t xml:space="preserve"> and/or submitting claims for payment for such services.  </w:t>
      </w:r>
    </w:p>
    <w:p w14:paraId="5CA2DE18" w14:textId="77777777" w:rsidR="00DD6ADB" w:rsidRPr="00146C6E" w:rsidRDefault="00DD6ADB" w:rsidP="00146C6E">
      <w:pPr>
        <w:autoSpaceDE w:val="0"/>
        <w:autoSpaceDN w:val="0"/>
        <w:adjustRightInd w:val="0"/>
        <w:rPr>
          <w:rFonts w:eastAsiaTheme="minorHAnsi"/>
          <w:color w:val="000000"/>
        </w:rPr>
      </w:pPr>
    </w:p>
    <w:p w14:paraId="6F2F188E" w14:textId="77777777"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41728B">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7CCDF79E" w14:textId="77777777" w:rsidR="00DD6ADB" w:rsidRPr="00146C6E" w:rsidRDefault="00DD6ADB" w:rsidP="00146C6E">
      <w:pPr>
        <w:rPr>
          <w:rFonts w:eastAsiaTheme="minorHAnsi"/>
        </w:rPr>
      </w:pPr>
    </w:p>
    <w:p w14:paraId="04A1684E" w14:textId="77777777"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41728B">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6"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3F2B2E36" w14:textId="77777777" w:rsidR="00875924" w:rsidRPr="00146C6E" w:rsidRDefault="00875924" w:rsidP="00146C6E">
      <w:pPr>
        <w:rPr>
          <w:iCs/>
        </w:rPr>
      </w:pPr>
    </w:p>
    <w:p w14:paraId="76989818" w14:textId="78A033F4" w:rsidR="00C75BD4" w:rsidRPr="00146C6E" w:rsidRDefault="00CB63DD" w:rsidP="00146C6E">
      <w:pPr>
        <w:rPr>
          <w:iCs/>
        </w:rPr>
      </w:pPr>
      <w:r>
        <w:rPr>
          <w:iCs/>
        </w:rPr>
        <w:t>©20</w:t>
      </w:r>
      <w:r w:rsidR="00B14BFD">
        <w:rPr>
          <w:iCs/>
        </w:rPr>
        <w:t>21</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570FBFB0"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6FD7" w14:textId="77777777" w:rsidR="00DE5352" w:rsidRDefault="00DE5352">
      <w:r>
        <w:separator/>
      </w:r>
    </w:p>
  </w:endnote>
  <w:endnote w:type="continuationSeparator" w:id="0">
    <w:p w14:paraId="0C39971D" w14:textId="77777777" w:rsidR="00DE5352" w:rsidRDefault="00DE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FFAA" w14:textId="77777777" w:rsidR="00EE47EF" w:rsidRDefault="00EE4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8260" w14:textId="61472835"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FE5746">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FE5746">
      <w:rPr>
        <w:b/>
        <w:bCs/>
        <w:noProof/>
      </w:rPr>
      <w:t>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4EED" w14:textId="54CD894B" w:rsidR="002C6AAB" w:rsidRDefault="002C6AAB" w:rsidP="002C6AAB">
    <w:pPr>
      <w:pStyle w:val="Footer"/>
      <w:jc w:val="center"/>
    </w:pPr>
    <w:r>
      <w:t xml:space="preserve">Page </w:t>
    </w:r>
    <w:r>
      <w:fldChar w:fldCharType="begin"/>
    </w:r>
    <w:r>
      <w:instrText xml:space="preserve"> PAGE   \* MERGEFORMAT </w:instrText>
    </w:r>
    <w:r>
      <w:fldChar w:fldCharType="separate"/>
    </w:r>
    <w:r w:rsidR="00FE5746">
      <w:rPr>
        <w:noProof/>
      </w:rPr>
      <w:t>1</w:t>
    </w:r>
    <w:r>
      <w:fldChar w:fldCharType="end"/>
    </w:r>
    <w:r>
      <w:t xml:space="preserve"> of </w:t>
    </w:r>
    <w:r w:rsidR="009D6060">
      <w:rPr>
        <w:noProof/>
      </w:rPr>
      <w:fldChar w:fldCharType="begin"/>
    </w:r>
    <w:r w:rsidR="009D6060">
      <w:rPr>
        <w:noProof/>
      </w:rPr>
      <w:instrText xml:space="preserve"> NUMPAGES   \* MERGEFORMAT </w:instrText>
    </w:r>
    <w:r w:rsidR="009D6060">
      <w:rPr>
        <w:noProof/>
      </w:rPr>
      <w:fldChar w:fldCharType="separate"/>
    </w:r>
    <w:r w:rsidR="00FE5746">
      <w:rPr>
        <w:noProof/>
      </w:rPr>
      <w:t>6</w:t>
    </w:r>
    <w:r w:rsidR="009D60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26E9" w14:textId="77777777" w:rsidR="00DE5352" w:rsidRDefault="00DE5352">
      <w:r>
        <w:separator/>
      </w:r>
    </w:p>
  </w:footnote>
  <w:footnote w:type="continuationSeparator" w:id="0">
    <w:p w14:paraId="22B11EC3" w14:textId="77777777" w:rsidR="00DE5352" w:rsidRDefault="00DE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F9B3" w14:textId="77777777" w:rsidR="00EE47EF" w:rsidRDefault="00EE4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1658"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4290A3CF" wp14:editId="41E90C86">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52E3EF28" w14:textId="77777777" w:rsidR="00DD025A" w:rsidRPr="00B777AF" w:rsidRDefault="00B533F1" w:rsidP="00B533F1">
    <w:pPr>
      <w:rPr>
        <w:color w:val="00548C"/>
      </w:rPr>
    </w:pPr>
    <w:r w:rsidRPr="00B533F1">
      <w:rPr>
        <w:rFonts w:ascii="Times New Roman Bold" w:hAnsi="Times New Roman Bold"/>
        <w:b/>
        <w:bCs/>
        <w:color w:val="00548C"/>
      </w:rPr>
      <w:t>Repair of Nasal Valve Compromise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2BBB" w14:textId="77777777" w:rsidR="009135E0" w:rsidRDefault="00A20F73" w:rsidP="00B777AF">
    <w:pPr>
      <w:pStyle w:val="Header"/>
      <w:jc w:val="right"/>
    </w:pPr>
    <w:r>
      <w:rPr>
        <w:noProof/>
      </w:rPr>
      <w:drawing>
        <wp:inline distT="0" distB="0" distL="0" distR="0" wp14:anchorId="24923FBB" wp14:editId="19A3B49D">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3803"/>
    <w:multiLevelType w:val="multilevel"/>
    <w:tmpl w:val="0FC09F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1416E"/>
    <w:multiLevelType w:val="multilevel"/>
    <w:tmpl w:val="9BE8A4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47AD7"/>
    <w:multiLevelType w:val="hybridMultilevel"/>
    <w:tmpl w:val="9D3CA206"/>
    <w:lvl w:ilvl="0" w:tplc="69402B5E">
      <w:start w:val="1"/>
      <w:numFmt w:val="decimal"/>
      <w:lvlText w:val="%1."/>
      <w:lvlJc w:val="left"/>
      <w:pPr>
        <w:ind w:left="840" w:hanging="360"/>
      </w:pPr>
      <w:rPr>
        <w:rFonts w:hint="default"/>
        <w:spacing w:val="-2"/>
        <w:w w:val="99"/>
        <w:lang w:val="en-US" w:eastAsia="en-US" w:bidi="en-US"/>
      </w:rPr>
    </w:lvl>
    <w:lvl w:ilvl="1" w:tplc="FB36FE5A">
      <w:numFmt w:val="bullet"/>
      <w:lvlText w:val="•"/>
      <w:lvlJc w:val="left"/>
      <w:pPr>
        <w:ind w:left="1752" w:hanging="360"/>
      </w:pPr>
      <w:rPr>
        <w:rFonts w:hint="default"/>
        <w:lang w:val="en-US" w:eastAsia="en-US" w:bidi="en-US"/>
      </w:rPr>
    </w:lvl>
    <w:lvl w:ilvl="2" w:tplc="87BA907C">
      <w:numFmt w:val="bullet"/>
      <w:lvlText w:val="•"/>
      <w:lvlJc w:val="left"/>
      <w:pPr>
        <w:ind w:left="2664" w:hanging="360"/>
      </w:pPr>
      <w:rPr>
        <w:rFonts w:hint="default"/>
        <w:lang w:val="en-US" w:eastAsia="en-US" w:bidi="en-US"/>
      </w:rPr>
    </w:lvl>
    <w:lvl w:ilvl="3" w:tplc="68E6BC24">
      <w:numFmt w:val="bullet"/>
      <w:lvlText w:val="•"/>
      <w:lvlJc w:val="left"/>
      <w:pPr>
        <w:ind w:left="3576" w:hanging="360"/>
      </w:pPr>
      <w:rPr>
        <w:rFonts w:hint="default"/>
        <w:lang w:val="en-US" w:eastAsia="en-US" w:bidi="en-US"/>
      </w:rPr>
    </w:lvl>
    <w:lvl w:ilvl="4" w:tplc="377C1C92">
      <w:numFmt w:val="bullet"/>
      <w:lvlText w:val="•"/>
      <w:lvlJc w:val="left"/>
      <w:pPr>
        <w:ind w:left="4488" w:hanging="360"/>
      </w:pPr>
      <w:rPr>
        <w:rFonts w:hint="default"/>
        <w:lang w:val="en-US" w:eastAsia="en-US" w:bidi="en-US"/>
      </w:rPr>
    </w:lvl>
    <w:lvl w:ilvl="5" w:tplc="92C294AC">
      <w:numFmt w:val="bullet"/>
      <w:lvlText w:val="•"/>
      <w:lvlJc w:val="left"/>
      <w:pPr>
        <w:ind w:left="5400" w:hanging="360"/>
      </w:pPr>
      <w:rPr>
        <w:rFonts w:hint="default"/>
        <w:lang w:val="en-US" w:eastAsia="en-US" w:bidi="en-US"/>
      </w:rPr>
    </w:lvl>
    <w:lvl w:ilvl="6" w:tplc="177C4B8E">
      <w:numFmt w:val="bullet"/>
      <w:lvlText w:val="•"/>
      <w:lvlJc w:val="left"/>
      <w:pPr>
        <w:ind w:left="6312" w:hanging="360"/>
      </w:pPr>
      <w:rPr>
        <w:rFonts w:hint="default"/>
        <w:lang w:val="en-US" w:eastAsia="en-US" w:bidi="en-US"/>
      </w:rPr>
    </w:lvl>
    <w:lvl w:ilvl="7" w:tplc="01C41826">
      <w:numFmt w:val="bullet"/>
      <w:lvlText w:val="•"/>
      <w:lvlJc w:val="left"/>
      <w:pPr>
        <w:ind w:left="7224" w:hanging="360"/>
      </w:pPr>
      <w:rPr>
        <w:rFonts w:hint="default"/>
        <w:lang w:val="en-US" w:eastAsia="en-US" w:bidi="en-US"/>
      </w:rPr>
    </w:lvl>
    <w:lvl w:ilvl="8" w:tplc="D0B07624">
      <w:numFmt w:val="bullet"/>
      <w:lvlText w:val="•"/>
      <w:lvlJc w:val="left"/>
      <w:pPr>
        <w:ind w:left="8136" w:hanging="360"/>
      </w:pPr>
      <w:rPr>
        <w:rFonts w:hint="default"/>
        <w:lang w:val="en-US" w:eastAsia="en-US" w:bidi="en-US"/>
      </w:rPr>
    </w:lvl>
  </w:abstractNum>
  <w:abstractNum w:abstractNumId="13"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37E71"/>
    <w:multiLevelType w:val="hybridMultilevel"/>
    <w:tmpl w:val="302A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64A4F"/>
    <w:multiLevelType w:val="hybridMultilevel"/>
    <w:tmpl w:val="F6E42B5A"/>
    <w:lvl w:ilvl="0" w:tplc="8D0ECE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8B1A41"/>
    <w:multiLevelType w:val="hybridMultilevel"/>
    <w:tmpl w:val="F6E42B5A"/>
    <w:lvl w:ilvl="0" w:tplc="8D0ECE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429F0"/>
    <w:multiLevelType w:val="multilevel"/>
    <w:tmpl w:val="2A06B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13CFA"/>
    <w:multiLevelType w:val="hybridMultilevel"/>
    <w:tmpl w:val="0408E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9C1206"/>
    <w:multiLevelType w:val="hybridMultilevel"/>
    <w:tmpl w:val="1F6233A0"/>
    <w:lvl w:ilvl="0" w:tplc="EA5C63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1475F"/>
    <w:multiLevelType w:val="multilevel"/>
    <w:tmpl w:val="8C0E7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484E36"/>
    <w:multiLevelType w:val="hybridMultilevel"/>
    <w:tmpl w:val="83224D4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E3D0A"/>
    <w:multiLevelType w:val="hybridMultilevel"/>
    <w:tmpl w:val="0CA2DFB6"/>
    <w:lvl w:ilvl="0" w:tplc="6BAC0802">
      <w:start w:val="1"/>
      <w:numFmt w:val="upperRoman"/>
      <w:lvlText w:val="%1."/>
      <w:lvlJc w:val="left"/>
      <w:pPr>
        <w:ind w:left="720" w:hanging="360"/>
      </w:pPr>
      <w:rPr>
        <w:rFonts w:hint="default"/>
        <w:b/>
        <w:i w:val="0"/>
      </w:rPr>
    </w:lvl>
    <w:lvl w:ilvl="1" w:tplc="DD849432">
      <w:start w:val="1"/>
      <w:numFmt w:val="upperLetter"/>
      <w:lvlText w:val="%2."/>
      <w:lvlJc w:val="left"/>
      <w:pPr>
        <w:ind w:left="1440" w:hanging="360"/>
      </w:pPr>
      <w:rPr>
        <w:strike w:val="0"/>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A6A8E"/>
    <w:multiLevelType w:val="hybridMultilevel"/>
    <w:tmpl w:val="22F46E9A"/>
    <w:lvl w:ilvl="0" w:tplc="6BAC0802">
      <w:start w:val="1"/>
      <w:numFmt w:val="upperRoman"/>
      <w:lvlText w:val="%1."/>
      <w:lvlJc w:val="left"/>
      <w:pPr>
        <w:ind w:left="720" w:hanging="360"/>
      </w:pPr>
      <w:rPr>
        <w:rFonts w:hint="default"/>
        <w:b/>
        <w:i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9813871">
    <w:abstractNumId w:val="29"/>
  </w:num>
  <w:num w:numId="2" w16cid:durableId="287443641">
    <w:abstractNumId w:val="0"/>
  </w:num>
  <w:num w:numId="3" w16cid:durableId="27878868">
    <w:abstractNumId w:val="9"/>
  </w:num>
  <w:num w:numId="4" w16cid:durableId="953830295">
    <w:abstractNumId w:val="13"/>
  </w:num>
  <w:num w:numId="5" w16cid:durableId="1139958147">
    <w:abstractNumId w:val="14"/>
  </w:num>
  <w:num w:numId="6" w16cid:durableId="1628048267">
    <w:abstractNumId w:val="23"/>
  </w:num>
  <w:num w:numId="7" w16cid:durableId="201484526">
    <w:abstractNumId w:val="25"/>
  </w:num>
  <w:num w:numId="8" w16cid:durableId="877934439">
    <w:abstractNumId w:val="1"/>
  </w:num>
  <w:num w:numId="9" w16cid:durableId="2062747533">
    <w:abstractNumId w:val="18"/>
  </w:num>
  <w:num w:numId="10" w16cid:durableId="434524363">
    <w:abstractNumId w:val="6"/>
  </w:num>
  <w:num w:numId="11" w16cid:durableId="1877310230">
    <w:abstractNumId w:val="28"/>
  </w:num>
  <w:num w:numId="12" w16cid:durableId="1120955006">
    <w:abstractNumId w:val="11"/>
  </w:num>
  <w:num w:numId="13" w16cid:durableId="1850757445">
    <w:abstractNumId w:val="10"/>
  </w:num>
  <w:num w:numId="14" w16cid:durableId="1820997005">
    <w:abstractNumId w:val="4"/>
  </w:num>
  <w:num w:numId="15" w16cid:durableId="1968317802">
    <w:abstractNumId w:val="7"/>
  </w:num>
  <w:num w:numId="16" w16cid:durableId="856428840">
    <w:abstractNumId w:val="26"/>
  </w:num>
  <w:num w:numId="17" w16cid:durableId="2101442427">
    <w:abstractNumId w:val="19"/>
  </w:num>
  <w:num w:numId="18" w16cid:durableId="1054352428">
    <w:abstractNumId w:val="15"/>
  </w:num>
  <w:num w:numId="19" w16cid:durableId="63912840">
    <w:abstractNumId w:val="5"/>
  </w:num>
  <w:num w:numId="20" w16cid:durableId="1332568479">
    <w:abstractNumId w:val="3"/>
  </w:num>
  <w:num w:numId="21" w16cid:durableId="1424037180">
    <w:abstractNumId w:val="20"/>
  </w:num>
  <w:num w:numId="22" w16cid:durableId="432942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7569944">
    <w:abstractNumId w:val="16"/>
  </w:num>
  <w:num w:numId="24" w16cid:durableId="82997303">
    <w:abstractNumId w:val="21"/>
  </w:num>
  <w:num w:numId="25" w16cid:durableId="77144808">
    <w:abstractNumId w:val="21"/>
  </w:num>
  <w:num w:numId="26" w16cid:durableId="1589119709">
    <w:abstractNumId w:val="27"/>
  </w:num>
  <w:num w:numId="27" w16cid:durableId="2145847713">
    <w:abstractNumId w:val="30"/>
  </w:num>
  <w:num w:numId="28" w16cid:durableId="307369167">
    <w:abstractNumId w:val="12"/>
  </w:num>
  <w:num w:numId="29" w16cid:durableId="483621890">
    <w:abstractNumId w:val="17"/>
  </w:num>
  <w:num w:numId="30" w16cid:durableId="1669674112">
    <w:abstractNumId w:val="2"/>
  </w:num>
  <w:num w:numId="31" w16cid:durableId="1208643398">
    <w:abstractNumId w:val="8"/>
  </w:num>
  <w:num w:numId="32" w16cid:durableId="7062249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2748"/>
    <w:rsid w:val="00010D11"/>
    <w:rsid w:val="00015A74"/>
    <w:rsid w:val="0002121F"/>
    <w:rsid w:val="00021D15"/>
    <w:rsid w:val="0002352E"/>
    <w:rsid w:val="00027E06"/>
    <w:rsid w:val="0003092B"/>
    <w:rsid w:val="00032D3F"/>
    <w:rsid w:val="00041A52"/>
    <w:rsid w:val="0004214D"/>
    <w:rsid w:val="000465DE"/>
    <w:rsid w:val="0004733E"/>
    <w:rsid w:val="0005048C"/>
    <w:rsid w:val="00060509"/>
    <w:rsid w:val="00061158"/>
    <w:rsid w:val="00061E31"/>
    <w:rsid w:val="00062636"/>
    <w:rsid w:val="00065DF5"/>
    <w:rsid w:val="0007396E"/>
    <w:rsid w:val="00083740"/>
    <w:rsid w:val="00083F95"/>
    <w:rsid w:val="00093E9C"/>
    <w:rsid w:val="00094136"/>
    <w:rsid w:val="000B0BAC"/>
    <w:rsid w:val="000C17BF"/>
    <w:rsid w:val="000C3003"/>
    <w:rsid w:val="000D1265"/>
    <w:rsid w:val="000E6311"/>
    <w:rsid w:val="000F10C2"/>
    <w:rsid w:val="000F3A8D"/>
    <w:rsid w:val="000F62A0"/>
    <w:rsid w:val="001071D7"/>
    <w:rsid w:val="0010731E"/>
    <w:rsid w:val="001148A8"/>
    <w:rsid w:val="00120410"/>
    <w:rsid w:val="001220BD"/>
    <w:rsid w:val="00132D4D"/>
    <w:rsid w:val="001407FE"/>
    <w:rsid w:val="00140E6E"/>
    <w:rsid w:val="00142B4D"/>
    <w:rsid w:val="0014316D"/>
    <w:rsid w:val="00146A3D"/>
    <w:rsid w:val="00146C6E"/>
    <w:rsid w:val="00150A90"/>
    <w:rsid w:val="0016547F"/>
    <w:rsid w:val="00170B14"/>
    <w:rsid w:val="00174FDE"/>
    <w:rsid w:val="001818D7"/>
    <w:rsid w:val="00183585"/>
    <w:rsid w:val="001841EA"/>
    <w:rsid w:val="00185104"/>
    <w:rsid w:val="00192CB1"/>
    <w:rsid w:val="0019369B"/>
    <w:rsid w:val="001962BE"/>
    <w:rsid w:val="00196689"/>
    <w:rsid w:val="00196935"/>
    <w:rsid w:val="00196E56"/>
    <w:rsid w:val="0019746F"/>
    <w:rsid w:val="001A26AE"/>
    <w:rsid w:val="001A2987"/>
    <w:rsid w:val="001A2D81"/>
    <w:rsid w:val="001A681E"/>
    <w:rsid w:val="001A71CA"/>
    <w:rsid w:val="001B5BFE"/>
    <w:rsid w:val="001B72D5"/>
    <w:rsid w:val="001C1B7D"/>
    <w:rsid w:val="001C7295"/>
    <w:rsid w:val="001D0D34"/>
    <w:rsid w:val="001D45FB"/>
    <w:rsid w:val="001D46BD"/>
    <w:rsid w:val="001D70D4"/>
    <w:rsid w:val="001E7D12"/>
    <w:rsid w:val="00200B74"/>
    <w:rsid w:val="0020675F"/>
    <w:rsid w:val="00212F21"/>
    <w:rsid w:val="0021383A"/>
    <w:rsid w:val="00220736"/>
    <w:rsid w:val="002245BF"/>
    <w:rsid w:val="0022707F"/>
    <w:rsid w:val="00230934"/>
    <w:rsid w:val="00230FE4"/>
    <w:rsid w:val="00233651"/>
    <w:rsid w:val="00254020"/>
    <w:rsid w:val="0025452A"/>
    <w:rsid w:val="002555F2"/>
    <w:rsid w:val="00256D56"/>
    <w:rsid w:val="0027074A"/>
    <w:rsid w:val="00270C43"/>
    <w:rsid w:val="00273A49"/>
    <w:rsid w:val="00274BD9"/>
    <w:rsid w:val="00277703"/>
    <w:rsid w:val="00285997"/>
    <w:rsid w:val="002A0D1C"/>
    <w:rsid w:val="002A39EE"/>
    <w:rsid w:val="002A65FE"/>
    <w:rsid w:val="002A6B53"/>
    <w:rsid w:val="002A7848"/>
    <w:rsid w:val="002B0582"/>
    <w:rsid w:val="002B0710"/>
    <w:rsid w:val="002B0AED"/>
    <w:rsid w:val="002B6C7F"/>
    <w:rsid w:val="002C29E9"/>
    <w:rsid w:val="002C6AAB"/>
    <w:rsid w:val="002D019A"/>
    <w:rsid w:val="002D44B7"/>
    <w:rsid w:val="002D695C"/>
    <w:rsid w:val="002E1467"/>
    <w:rsid w:val="002E307F"/>
    <w:rsid w:val="002E48E7"/>
    <w:rsid w:val="002E5306"/>
    <w:rsid w:val="002E5A73"/>
    <w:rsid w:val="002E730E"/>
    <w:rsid w:val="002F4417"/>
    <w:rsid w:val="002F530D"/>
    <w:rsid w:val="00301928"/>
    <w:rsid w:val="00311EBC"/>
    <w:rsid w:val="003140D6"/>
    <w:rsid w:val="0031719C"/>
    <w:rsid w:val="00320495"/>
    <w:rsid w:val="00324E8E"/>
    <w:rsid w:val="00336C8C"/>
    <w:rsid w:val="00336E37"/>
    <w:rsid w:val="00343F0F"/>
    <w:rsid w:val="00350F22"/>
    <w:rsid w:val="0035188C"/>
    <w:rsid w:val="00354A9A"/>
    <w:rsid w:val="00354C7C"/>
    <w:rsid w:val="003631D6"/>
    <w:rsid w:val="0036639F"/>
    <w:rsid w:val="003669FD"/>
    <w:rsid w:val="003702D6"/>
    <w:rsid w:val="003714C8"/>
    <w:rsid w:val="0037495F"/>
    <w:rsid w:val="003815FD"/>
    <w:rsid w:val="003840CC"/>
    <w:rsid w:val="00394567"/>
    <w:rsid w:val="00397DA3"/>
    <w:rsid w:val="003A3CA6"/>
    <w:rsid w:val="003B2A24"/>
    <w:rsid w:val="003C1ADD"/>
    <w:rsid w:val="003C42CF"/>
    <w:rsid w:val="003D0BE3"/>
    <w:rsid w:val="003D2F97"/>
    <w:rsid w:val="003D5442"/>
    <w:rsid w:val="003D7BE7"/>
    <w:rsid w:val="003E1012"/>
    <w:rsid w:val="003E5C27"/>
    <w:rsid w:val="003E5FEB"/>
    <w:rsid w:val="003F3D44"/>
    <w:rsid w:val="00404412"/>
    <w:rsid w:val="00413750"/>
    <w:rsid w:val="004144C3"/>
    <w:rsid w:val="0041728B"/>
    <w:rsid w:val="00425255"/>
    <w:rsid w:val="00425F4B"/>
    <w:rsid w:val="0045467D"/>
    <w:rsid w:val="0046128B"/>
    <w:rsid w:val="00466EF8"/>
    <w:rsid w:val="0047051F"/>
    <w:rsid w:val="00472C6C"/>
    <w:rsid w:val="00474CEB"/>
    <w:rsid w:val="00480C09"/>
    <w:rsid w:val="0049256A"/>
    <w:rsid w:val="00493710"/>
    <w:rsid w:val="004940F9"/>
    <w:rsid w:val="00496BCF"/>
    <w:rsid w:val="00497AED"/>
    <w:rsid w:val="004A76FD"/>
    <w:rsid w:val="004B14F4"/>
    <w:rsid w:val="004B2109"/>
    <w:rsid w:val="004B5D97"/>
    <w:rsid w:val="004C029E"/>
    <w:rsid w:val="004C2DD5"/>
    <w:rsid w:val="004C5524"/>
    <w:rsid w:val="004C7108"/>
    <w:rsid w:val="004D6D4F"/>
    <w:rsid w:val="004E0B99"/>
    <w:rsid w:val="004F04F5"/>
    <w:rsid w:val="004F5279"/>
    <w:rsid w:val="004F6394"/>
    <w:rsid w:val="00505830"/>
    <w:rsid w:val="005103B8"/>
    <w:rsid w:val="005151F8"/>
    <w:rsid w:val="005175D7"/>
    <w:rsid w:val="00521945"/>
    <w:rsid w:val="005423D4"/>
    <w:rsid w:val="00543761"/>
    <w:rsid w:val="00550DE0"/>
    <w:rsid w:val="005526A5"/>
    <w:rsid w:val="005537B0"/>
    <w:rsid w:val="005646B8"/>
    <w:rsid w:val="00572B03"/>
    <w:rsid w:val="005755B2"/>
    <w:rsid w:val="005775A2"/>
    <w:rsid w:val="005776FD"/>
    <w:rsid w:val="00583376"/>
    <w:rsid w:val="005920CA"/>
    <w:rsid w:val="005A1F30"/>
    <w:rsid w:val="005A31B3"/>
    <w:rsid w:val="005B45C2"/>
    <w:rsid w:val="005B6799"/>
    <w:rsid w:val="005B70BC"/>
    <w:rsid w:val="005C17DF"/>
    <w:rsid w:val="005C3607"/>
    <w:rsid w:val="005D009F"/>
    <w:rsid w:val="005D1297"/>
    <w:rsid w:val="005D2AEB"/>
    <w:rsid w:val="005D4B32"/>
    <w:rsid w:val="005D5146"/>
    <w:rsid w:val="005D7B81"/>
    <w:rsid w:val="005E411E"/>
    <w:rsid w:val="005E58B6"/>
    <w:rsid w:val="005F051C"/>
    <w:rsid w:val="00604996"/>
    <w:rsid w:val="00604D32"/>
    <w:rsid w:val="0060749C"/>
    <w:rsid w:val="00612C2E"/>
    <w:rsid w:val="00612DD1"/>
    <w:rsid w:val="00616A02"/>
    <w:rsid w:val="00634ABD"/>
    <w:rsid w:val="006474BB"/>
    <w:rsid w:val="00652B6D"/>
    <w:rsid w:val="00653ED7"/>
    <w:rsid w:val="00655263"/>
    <w:rsid w:val="00656CA7"/>
    <w:rsid w:val="00661A85"/>
    <w:rsid w:val="00665585"/>
    <w:rsid w:val="006664E9"/>
    <w:rsid w:val="00672E2B"/>
    <w:rsid w:val="00672E5C"/>
    <w:rsid w:val="0067418F"/>
    <w:rsid w:val="00677834"/>
    <w:rsid w:val="00681641"/>
    <w:rsid w:val="00691D8B"/>
    <w:rsid w:val="006A4072"/>
    <w:rsid w:val="006A5EFB"/>
    <w:rsid w:val="006C7399"/>
    <w:rsid w:val="006C74DF"/>
    <w:rsid w:val="006E7F6F"/>
    <w:rsid w:val="006F4D70"/>
    <w:rsid w:val="0070097F"/>
    <w:rsid w:val="007024D7"/>
    <w:rsid w:val="0070720A"/>
    <w:rsid w:val="00711918"/>
    <w:rsid w:val="00714B58"/>
    <w:rsid w:val="007163E2"/>
    <w:rsid w:val="00720095"/>
    <w:rsid w:val="00722C19"/>
    <w:rsid w:val="007276D7"/>
    <w:rsid w:val="00741273"/>
    <w:rsid w:val="00744250"/>
    <w:rsid w:val="00745556"/>
    <w:rsid w:val="00746792"/>
    <w:rsid w:val="00747418"/>
    <w:rsid w:val="007554AE"/>
    <w:rsid w:val="00765F54"/>
    <w:rsid w:val="00772335"/>
    <w:rsid w:val="0077502D"/>
    <w:rsid w:val="007764CE"/>
    <w:rsid w:val="00780147"/>
    <w:rsid w:val="007831BD"/>
    <w:rsid w:val="00786193"/>
    <w:rsid w:val="007915C8"/>
    <w:rsid w:val="007A0BCC"/>
    <w:rsid w:val="007A36CC"/>
    <w:rsid w:val="007A6A36"/>
    <w:rsid w:val="007B00F6"/>
    <w:rsid w:val="007B07AE"/>
    <w:rsid w:val="007B50D0"/>
    <w:rsid w:val="007C0ADF"/>
    <w:rsid w:val="007D1689"/>
    <w:rsid w:val="007D4801"/>
    <w:rsid w:val="007E0EAE"/>
    <w:rsid w:val="007E6419"/>
    <w:rsid w:val="007F1F19"/>
    <w:rsid w:val="007F468E"/>
    <w:rsid w:val="007F64B7"/>
    <w:rsid w:val="008003C1"/>
    <w:rsid w:val="00800FB3"/>
    <w:rsid w:val="00801126"/>
    <w:rsid w:val="00804AD3"/>
    <w:rsid w:val="00822106"/>
    <w:rsid w:val="00823A85"/>
    <w:rsid w:val="0084310D"/>
    <w:rsid w:val="00846ED4"/>
    <w:rsid w:val="008504F1"/>
    <w:rsid w:val="00851394"/>
    <w:rsid w:val="00857C10"/>
    <w:rsid w:val="00862BBD"/>
    <w:rsid w:val="008649B3"/>
    <w:rsid w:val="00870331"/>
    <w:rsid w:val="00875924"/>
    <w:rsid w:val="00875C29"/>
    <w:rsid w:val="00877BCC"/>
    <w:rsid w:val="00877EC7"/>
    <w:rsid w:val="00882670"/>
    <w:rsid w:val="00884B4B"/>
    <w:rsid w:val="00894A13"/>
    <w:rsid w:val="00896E94"/>
    <w:rsid w:val="008A6EA5"/>
    <w:rsid w:val="008B0705"/>
    <w:rsid w:val="008B1708"/>
    <w:rsid w:val="008B282F"/>
    <w:rsid w:val="008B4889"/>
    <w:rsid w:val="008C3DD5"/>
    <w:rsid w:val="008C6B3A"/>
    <w:rsid w:val="008C71B0"/>
    <w:rsid w:val="008D1F26"/>
    <w:rsid w:val="008E37DA"/>
    <w:rsid w:val="00902C9B"/>
    <w:rsid w:val="0090437C"/>
    <w:rsid w:val="009135E0"/>
    <w:rsid w:val="00915CA4"/>
    <w:rsid w:val="00933A37"/>
    <w:rsid w:val="00935817"/>
    <w:rsid w:val="009406EA"/>
    <w:rsid w:val="00941F79"/>
    <w:rsid w:val="00950820"/>
    <w:rsid w:val="00951A30"/>
    <w:rsid w:val="00952B41"/>
    <w:rsid w:val="00961071"/>
    <w:rsid w:val="00961184"/>
    <w:rsid w:val="00963062"/>
    <w:rsid w:val="00963E87"/>
    <w:rsid w:val="00964367"/>
    <w:rsid w:val="00971E00"/>
    <w:rsid w:val="009735FA"/>
    <w:rsid w:val="00974BB1"/>
    <w:rsid w:val="00977ECA"/>
    <w:rsid w:val="00982180"/>
    <w:rsid w:val="009928B2"/>
    <w:rsid w:val="009A75BE"/>
    <w:rsid w:val="009C34C8"/>
    <w:rsid w:val="009C61B2"/>
    <w:rsid w:val="009C7D35"/>
    <w:rsid w:val="009D5928"/>
    <w:rsid w:val="009D6060"/>
    <w:rsid w:val="009D77C9"/>
    <w:rsid w:val="009E605A"/>
    <w:rsid w:val="009E6F29"/>
    <w:rsid w:val="00A037AB"/>
    <w:rsid w:val="00A06ED5"/>
    <w:rsid w:val="00A11FDE"/>
    <w:rsid w:val="00A13FBC"/>
    <w:rsid w:val="00A1453D"/>
    <w:rsid w:val="00A16890"/>
    <w:rsid w:val="00A20F73"/>
    <w:rsid w:val="00A221BD"/>
    <w:rsid w:val="00A24731"/>
    <w:rsid w:val="00A277A8"/>
    <w:rsid w:val="00A32ABB"/>
    <w:rsid w:val="00A375D1"/>
    <w:rsid w:val="00A40CB2"/>
    <w:rsid w:val="00A41969"/>
    <w:rsid w:val="00A4400A"/>
    <w:rsid w:val="00A51862"/>
    <w:rsid w:val="00A5391B"/>
    <w:rsid w:val="00A55AA5"/>
    <w:rsid w:val="00A60413"/>
    <w:rsid w:val="00A63390"/>
    <w:rsid w:val="00A83658"/>
    <w:rsid w:val="00A85489"/>
    <w:rsid w:val="00A87B1F"/>
    <w:rsid w:val="00A901D6"/>
    <w:rsid w:val="00A912E8"/>
    <w:rsid w:val="00A91775"/>
    <w:rsid w:val="00A92E7B"/>
    <w:rsid w:val="00A95F8F"/>
    <w:rsid w:val="00AA336E"/>
    <w:rsid w:val="00AA428E"/>
    <w:rsid w:val="00AA57D0"/>
    <w:rsid w:val="00AC40AC"/>
    <w:rsid w:val="00AC498F"/>
    <w:rsid w:val="00AD1AA6"/>
    <w:rsid w:val="00AD2A17"/>
    <w:rsid w:val="00AD446F"/>
    <w:rsid w:val="00AD7ACE"/>
    <w:rsid w:val="00AE5F5B"/>
    <w:rsid w:val="00AE62F6"/>
    <w:rsid w:val="00AE6619"/>
    <w:rsid w:val="00AE79FF"/>
    <w:rsid w:val="00AF1F2A"/>
    <w:rsid w:val="00AF22AE"/>
    <w:rsid w:val="00AF30EF"/>
    <w:rsid w:val="00AF3DD1"/>
    <w:rsid w:val="00AF41D9"/>
    <w:rsid w:val="00AF4482"/>
    <w:rsid w:val="00AF5490"/>
    <w:rsid w:val="00AF78BC"/>
    <w:rsid w:val="00B01969"/>
    <w:rsid w:val="00B12AF0"/>
    <w:rsid w:val="00B14BFD"/>
    <w:rsid w:val="00B17341"/>
    <w:rsid w:val="00B260EF"/>
    <w:rsid w:val="00B32677"/>
    <w:rsid w:val="00B42378"/>
    <w:rsid w:val="00B4633B"/>
    <w:rsid w:val="00B533F1"/>
    <w:rsid w:val="00B54372"/>
    <w:rsid w:val="00B57ABE"/>
    <w:rsid w:val="00B6022E"/>
    <w:rsid w:val="00B65BAA"/>
    <w:rsid w:val="00B66BCC"/>
    <w:rsid w:val="00B709E7"/>
    <w:rsid w:val="00B73884"/>
    <w:rsid w:val="00B76589"/>
    <w:rsid w:val="00B777AF"/>
    <w:rsid w:val="00B77E75"/>
    <w:rsid w:val="00B8063A"/>
    <w:rsid w:val="00B81364"/>
    <w:rsid w:val="00B81789"/>
    <w:rsid w:val="00B8718D"/>
    <w:rsid w:val="00B91971"/>
    <w:rsid w:val="00B92DF1"/>
    <w:rsid w:val="00B9552E"/>
    <w:rsid w:val="00BA2FAF"/>
    <w:rsid w:val="00BB0154"/>
    <w:rsid w:val="00BB3D49"/>
    <w:rsid w:val="00BB4A19"/>
    <w:rsid w:val="00BB5C79"/>
    <w:rsid w:val="00BC6D67"/>
    <w:rsid w:val="00BC7AE7"/>
    <w:rsid w:val="00BD0310"/>
    <w:rsid w:val="00BD14FE"/>
    <w:rsid w:val="00BE2D4E"/>
    <w:rsid w:val="00BE3122"/>
    <w:rsid w:val="00BE5830"/>
    <w:rsid w:val="00BF09AF"/>
    <w:rsid w:val="00BF1753"/>
    <w:rsid w:val="00BF4150"/>
    <w:rsid w:val="00C01AA6"/>
    <w:rsid w:val="00C06257"/>
    <w:rsid w:val="00C079B0"/>
    <w:rsid w:val="00C1054B"/>
    <w:rsid w:val="00C14250"/>
    <w:rsid w:val="00C17BA9"/>
    <w:rsid w:val="00C214C8"/>
    <w:rsid w:val="00C2297C"/>
    <w:rsid w:val="00C23919"/>
    <w:rsid w:val="00C269C3"/>
    <w:rsid w:val="00C368A5"/>
    <w:rsid w:val="00C403B9"/>
    <w:rsid w:val="00C43990"/>
    <w:rsid w:val="00C613C9"/>
    <w:rsid w:val="00C64BB4"/>
    <w:rsid w:val="00C66CBF"/>
    <w:rsid w:val="00C67060"/>
    <w:rsid w:val="00C6757C"/>
    <w:rsid w:val="00C73CF5"/>
    <w:rsid w:val="00C75BD4"/>
    <w:rsid w:val="00C77928"/>
    <w:rsid w:val="00C96847"/>
    <w:rsid w:val="00CA53B9"/>
    <w:rsid w:val="00CA5C08"/>
    <w:rsid w:val="00CA782A"/>
    <w:rsid w:val="00CB00AC"/>
    <w:rsid w:val="00CB63DD"/>
    <w:rsid w:val="00CC7417"/>
    <w:rsid w:val="00CD3530"/>
    <w:rsid w:val="00CD6AFC"/>
    <w:rsid w:val="00CF0A86"/>
    <w:rsid w:val="00CF2624"/>
    <w:rsid w:val="00CF3E37"/>
    <w:rsid w:val="00D03CDD"/>
    <w:rsid w:val="00D05649"/>
    <w:rsid w:val="00D06558"/>
    <w:rsid w:val="00D10F42"/>
    <w:rsid w:val="00D145BB"/>
    <w:rsid w:val="00D24025"/>
    <w:rsid w:val="00D3077F"/>
    <w:rsid w:val="00D32BA7"/>
    <w:rsid w:val="00D36448"/>
    <w:rsid w:val="00D41975"/>
    <w:rsid w:val="00D43BA5"/>
    <w:rsid w:val="00D547B4"/>
    <w:rsid w:val="00D5502B"/>
    <w:rsid w:val="00D574CA"/>
    <w:rsid w:val="00D626BC"/>
    <w:rsid w:val="00D66BF6"/>
    <w:rsid w:val="00D71063"/>
    <w:rsid w:val="00D71BC4"/>
    <w:rsid w:val="00D74D57"/>
    <w:rsid w:val="00D74DC0"/>
    <w:rsid w:val="00D90073"/>
    <w:rsid w:val="00D919B2"/>
    <w:rsid w:val="00D9394C"/>
    <w:rsid w:val="00D94AF5"/>
    <w:rsid w:val="00D95A85"/>
    <w:rsid w:val="00D96753"/>
    <w:rsid w:val="00DB1DE9"/>
    <w:rsid w:val="00DB6231"/>
    <w:rsid w:val="00DB7073"/>
    <w:rsid w:val="00DC31AD"/>
    <w:rsid w:val="00DC406A"/>
    <w:rsid w:val="00DD025A"/>
    <w:rsid w:val="00DD6ADB"/>
    <w:rsid w:val="00DD7D7A"/>
    <w:rsid w:val="00DE00F1"/>
    <w:rsid w:val="00DE18E2"/>
    <w:rsid w:val="00DE5242"/>
    <w:rsid w:val="00DE5352"/>
    <w:rsid w:val="00DE5E23"/>
    <w:rsid w:val="00DE67FD"/>
    <w:rsid w:val="00DF3B57"/>
    <w:rsid w:val="00E000A7"/>
    <w:rsid w:val="00E05E9F"/>
    <w:rsid w:val="00E11C6A"/>
    <w:rsid w:val="00E1210B"/>
    <w:rsid w:val="00E21BEB"/>
    <w:rsid w:val="00E239C6"/>
    <w:rsid w:val="00E361A9"/>
    <w:rsid w:val="00E5089E"/>
    <w:rsid w:val="00E5387D"/>
    <w:rsid w:val="00E5569E"/>
    <w:rsid w:val="00E6199D"/>
    <w:rsid w:val="00E75E3B"/>
    <w:rsid w:val="00E81EED"/>
    <w:rsid w:val="00E82D4A"/>
    <w:rsid w:val="00E8357E"/>
    <w:rsid w:val="00E919B4"/>
    <w:rsid w:val="00E943CA"/>
    <w:rsid w:val="00E97C17"/>
    <w:rsid w:val="00EA3809"/>
    <w:rsid w:val="00EB2ACF"/>
    <w:rsid w:val="00EC3930"/>
    <w:rsid w:val="00EC4918"/>
    <w:rsid w:val="00ED0A0D"/>
    <w:rsid w:val="00ED66F2"/>
    <w:rsid w:val="00EE1BD2"/>
    <w:rsid w:val="00EE4783"/>
    <w:rsid w:val="00EE47EF"/>
    <w:rsid w:val="00EE5CA2"/>
    <w:rsid w:val="00EF331A"/>
    <w:rsid w:val="00EF41E5"/>
    <w:rsid w:val="00EF472E"/>
    <w:rsid w:val="00EF6A3D"/>
    <w:rsid w:val="00F017C1"/>
    <w:rsid w:val="00F03DC0"/>
    <w:rsid w:val="00F042DB"/>
    <w:rsid w:val="00F11482"/>
    <w:rsid w:val="00F11DFB"/>
    <w:rsid w:val="00F13750"/>
    <w:rsid w:val="00F150C6"/>
    <w:rsid w:val="00F20E87"/>
    <w:rsid w:val="00F21F73"/>
    <w:rsid w:val="00F2705D"/>
    <w:rsid w:val="00F31844"/>
    <w:rsid w:val="00F3530E"/>
    <w:rsid w:val="00F3586E"/>
    <w:rsid w:val="00F422E1"/>
    <w:rsid w:val="00F42668"/>
    <w:rsid w:val="00F44AFA"/>
    <w:rsid w:val="00F51A2A"/>
    <w:rsid w:val="00F55489"/>
    <w:rsid w:val="00F64A72"/>
    <w:rsid w:val="00F67BBD"/>
    <w:rsid w:val="00F71F8E"/>
    <w:rsid w:val="00F74762"/>
    <w:rsid w:val="00F775EA"/>
    <w:rsid w:val="00F8345F"/>
    <w:rsid w:val="00F83974"/>
    <w:rsid w:val="00F84B53"/>
    <w:rsid w:val="00F95133"/>
    <w:rsid w:val="00FA00A1"/>
    <w:rsid w:val="00FA1BEC"/>
    <w:rsid w:val="00FA7BA8"/>
    <w:rsid w:val="00FB0592"/>
    <w:rsid w:val="00FB139B"/>
    <w:rsid w:val="00FB2972"/>
    <w:rsid w:val="00FB63B8"/>
    <w:rsid w:val="00FC3BB5"/>
    <w:rsid w:val="00FC4414"/>
    <w:rsid w:val="00FC529B"/>
    <w:rsid w:val="00FC6568"/>
    <w:rsid w:val="00FD3B49"/>
    <w:rsid w:val="00FD6B1C"/>
    <w:rsid w:val="00FD7D02"/>
    <w:rsid w:val="00FD7D87"/>
    <w:rsid w:val="00FE290A"/>
    <w:rsid w:val="00FE5746"/>
    <w:rsid w:val="00FF1CC0"/>
    <w:rsid w:val="00FF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FAB28"/>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paragraph" w:customStyle="1" w:styleId="Default">
    <w:name w:val="Default"/>
    <w:rsid w:val="00AF3DD1"/>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755B2"/>
    <w:rPr>
      <w:sz w:val="24"/>
      <w:szCs w:val="24"/>
    </w:rPr>
  </w:style>
  <w:style w:type="character" w:styleId="UnresolvedMention">
    <w:name w:val="Unresolved Mention"/>
    <w:basedOn w:val="DefaultParagraphFont"/>
    <w:uiPriority w:val="99"/>
    <w:semiHidden/>
    <w:unhideWhenUsed/>
    <w:rsid w:val="00720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0567">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626664106">
      <w:bodyDiv w:val="1"/>
      <w:marLeft w:val="0"/>
      <w:marRight w:val="0"/>
      <w:marTop w:val="0"/>
      <w:marBottom w:val="0"/>
      <w:divBdr>
        <w:top w:val="none" w:sz="0" w:space="0" w:color="auto"/>
        <w:left w:val="none" w:sz="0" w:space="0" w:color="auto"/>
        <w:bottom w:val="none" w:sz="0" w:space="0" w:color="auto"/>
        <w:right w:val="none" w:sz="0" w:space="0" w:color="auto"/>
      </w:divBdr>
    </w:div>
    <w:div w:id="785153976">
      <w:bodyDiv w:val="1"/>
      <w:marLeft w:val="0"/>
      <w:marRight w:val="0"/>
      <w:marTop w:val="0"/>
      <w:marBottom w:val="0"/>
      <w:divBdr>
        <w:top w:val="none" w:sz="0" w:space="0" w:color="auto"/>
        <w:left w:val="none" w:sz="0" w:space="0" w:color="auto"/>
        <w:bottom w:val="none" w:sz="0" w:space="0" w:color="auto"/>
        <w:right w:val="none" w:sz="0" w:space="0" w:color="auto"/>
      </w:divBdr>
    </w:div>
    <w:div w:id="822281715">
      <w:bodyDiv w:val="1"/>
      <w:marLeft w:val="0"/>
      <w:marRight w:val="0"/>
      <w:marTop w:val="0"/>
      <w:marBottom w:val="0"/>
      <w:divBdr>
        <w:top w:val="none" w:sz="0" w:space="0" w:color="auto"/>
        <w:left w:val="none" w:sz="0" w:space="0" w:color="auto"/>
        <w:bottom w:val="none" w:sz="0" w:space="0" w:color="auto"/>
        <w:right w:val="none" w:sz="0" w:space="0" w:color="auto"/>
      </w:divBdr>
    </w:div>
    <w:div w:id="882252851">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929268522">
      <w:bodyDiv w:val="1"/>
      <w:marLeft w:val="120"/>
      <w:marRight w:val="24"/>
      <w:marTop w:val="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ayesinc.com" TargetMode="External"/><Relationship Id="rId26" Type="http://schemas.openxmlformats.org/officeDocument/2006/relationships/hyperlink" Target="http://www.cms.gov" TargetMode="External"/><Relationship Id="rId3" Type="http://schemas.openxmlformats.org/officeDocument/2006/relationships/customXml" Target="../customXml/item3.xml"/><Relationship Id="rId21" Type="http://schemas.openxmlformats.org/officeDocument/2006/relationships/hyperlink" Target="https://aerinmedical.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ptodate.com" TargetMode="External"/><Relationship Id="rId25" Type="http://schemas.openxmlformats.org/officeDocument/2006/relationships/hyperlink" Target="https://www.entnet.org/resource/position-statement-nasal-valve-repai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ms.hhs.gov/mcd/search.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ptodate.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latera.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ms.hhs.gov/mcd/search.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ayesinc.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72ca965-256a-4485-8fe1-bc861aae90a1">DJFWSFD4XKSH-907611394-1381</_dlc_DocId>
    <_dlc_DocIdUrl xmlns="572ca965-256a-4485-8fe1-bc861aae90a1">
      <Url>https://wellcareportal19.wellcare.com/HealthServices/HSProjects/ClinicalPolicy/_layouts/15/DocIdRedir.aspx?ID=DJFWSFD4XKSH-907611394-1381</Url>
      <Description>DJFWSFD4XKSH-907611394-1381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D8F994DE3F1744FA3A8025D75C9EE4F" ma:contentTypeVersion="0" ma:contentTypeDescription="Create a new document." ma:contentTypeScope="" ma:versionID="fe8c569a58688966afaa53d7deccf5c5">
  <xsd:schema xmlns:xsd="http://www.w3.org/2001/XMLSchema" xmlns:xs="http://www.w3.org/2001/XMLSchema" xmlns:p="http://schemas.microsoft.com/office/2006/metadata/properties" xmlns:ns2="572ca965-256a-4485-8fe1-bc861aae90a1" targetNamespace="http://schemas.microsoft.com/office/2006/metadata/properties" ma:root="true" ma:fieldsID="ade13a7daf685ed9e55b49223c9a7127" ns2:_="">
    <xsd:import namespace="572ca965-256a-4485-8fe1-bc861aae90a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ca965-256a-4485-8fe1-bc861aae9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FB042-211E-49DC-AE95-D5E4519CAE04}">
  <ds:schemaRefs>
    <ds:schemaRef ds:uri="http://schemas.microsoft.com/sharepoint/v3/contenttype/forms"/>
  </ds:schemaRefs>
</ds:datastoreItem>
</file>

<file path=customXml/itemProps2.xml><?xml version="1.0" encoding="utf-8"?>
<ds:datastoreItem xmlns:ds="http://schemas.openxmlformats.org/officeDocument/2006/customXml" ds:itemID="{1BA17327-DDE7-42FD-8775-A3A4AA6B0209}">
  <ds:schemaRefs>
    <ds:schemaRef ds:uri="http://schemas.microsoft.com/office/2006/metadata/properties"/>
    <ds:schemaRef ds:uri="http://schemas.microsoft.com/office/infopath/2007/PartnerControls"/>
    <ds:schemaRef ds:uri="572ca965-256a-4485-8fe1-bc861aae90a1"/>
  </ds:schemaRefs>
</ds:datastoreItem>
</file>

<file path=customXml/itemProps3.xml><?xml version="1.0" encoding="utf-8"?>
<ds:datastoreItem xmlns:ds="http://schemas.openxmlformats.org/officeDocument/2006/customXml" ds:itemID="{7FB9EB85-6469-4622-9F39-A4A1BD69C715}">
  <ds:schemaRefs>
    <ds:schemaRef ds:uri="http://schemas.microsoft.com/sharepoint/events"/>
  </ds:schemaRefs>
</ds:datastoreItem>
</file>

<file path=customXml/itemProps4.xml><?xml version="1.0" encoding="utf-8"?>
<ds:datastoreItem xmlns:ds="http://schemas.openxmlformats.org/officeDocument/2006/customXml" ds:itemID="{934D2B83-784E-4C68-A847-6A37CD9FB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ca965-256a-4485-8fe1-bc861aae9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16605</Characters>
  <Application>Microsoft Office Word</Application>
  <DocSecurity>0</DocSecurity>
  <Lines>327</Lines>
  <Paragraphs>113</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Tiffany Taylor</cp:lastModifiedBy>
  <cp:revision>3</cp:revision>
  <cp:lastPrinted>2015-06-25T20:16:00Z</cp:lastPrinted>
  <dcterms:created xsi:type="dcterms:W3CDTF">2026-01-08T13:12:00Z</dcterms:created>
  <dcterms:modified xsi:type="dcterms:W3CDTF">2026-01-08T13:12:00Z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0x0101002D8F994DE3F1744FA3A8025D75C9EE4F</vt:lpwstr>
  </property>
  <property fmtid="{D5CDD505-2E9C-101B-9397-08002B2CF9AE}" pid="3" name="_dlc_DocIdItemGuid">
    <vt:lpwstr>efaadef1-3f68-496c-96f5-ceb41b79fcd2</vt:lpwstr>
  </property>
  <property fmtid="{D5CDD505-2E9C-101B-9397-08002B2CF9AE}" pid="4" name="MSIP_Label_5a776955-85f6-4fec-9553-96dd3e0373c4_Enabled">
    <vt:lpwstr>true</vt:lpwstr>
  </property>
  <property fmtid="{D5CDD505-2E9C-101B-9397-08002B2CF9AE}" pid="5" name="MSIP_Label_5a776955-85f6-4fec-9553-96dd3e0373c4_SetDate">
    <vt:lpwstr>2022-04-25T11:54:40Z</vt:lpwstr>
  </property>
  <property fmtid="{D5CDD505-2E9C-101B-9397-08002B2CF9AE}" pid="6" name="MSIP_Label_5a776955-85f6-4fec-9553-96dd3e0373c4_Method">
    <vt:lpwstr>Standard</vt:lpwstr>
  </property>
  <property fmtid="{D5CDD505-2E9C-101B-9397-08002B2CF9AE}" pid="7" name="MSIP_Label_5a776955-85f6-4fec-9553-96dd3e0373c4_Name">
    <vt:lpwstr>Confidential</vt:lpwstr>
  </property>
  <property fmtid="{D5CDD505-2E9C-101B-9397-08002B2CF9AE}" pid="8" name="MSIP_Label_5a776955-85f6-4fec-9553-96dd3e0373c4_SiteId">
    <vt:lpwstr>f45ccc07-e57e-4d15-bf6f-f6cbccd2d395</vt:lpwstr>
  </property>
  <property fmtid="{D5CDD505-2E9C-101B-9397-08002B2CF9AE}" pid="9" name="MSIP_Label_5a776955-85f6-4fec-9553-96dd3e0373c4_ActionId">
    <vt:lpwstr>b022217f-aeef-4cf6-a21f-4faed081472d</vt:lpwstr>
  </property>
  <property fmtid="{D5CDD505-2E9C-101B-9397-08002B2CF9AE}" pid="10" name="MSIP_Label_5a776955-85f6-4fec-9553-96dd3e0373c4_ContentBits">
    <vt:lpwstr>0</vt:lpwstr>
  </property>
</Properties>
</file>