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F714" w14:textId="77777777"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A113AB">
        <w:rPr>
          <w:rFonts w:ascii="Times New Roman" w:hAnsi="Times New Roman"/>
          <w:color w:val="00548C"/>
          <w:sz w:val="36"/>
        </w:rPr>
        <w:t>Osteogenic Stimulation</w:t>
      </w:r>
    </w:p>
    <w:p w14:paraId="5E73BD8A" w14:textId="77777777"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A113AB">
        <w:rPr>
          <w:rFonts w:ascii="Times New Roman" w:hAnsi="Times New Roman"/>
          <w:color w:val="00548C"/>
          <w:sz w:val="24"/>
          <w:szCs w:val="24"/>
        </w:rPr>
        <w:t>19</w:t>
      </w:r>
      <w:r w:rsidR="00680F35">
        <w:rPr>
          <w:rFonts w:ascii="Times New Roman" w:hAnsi="Times New Roman"/>
          <w:color w:val="00548C"/>
          <w:sz w:val="24"/>
          <w:szCs w:val="24"/>
        </w:rPr>
        <w:t>4</w:t>
      </w:r>
      <w:r w:rsidR="00A113AB">
        <w:rPr>
          <w:rFonts w:ascii="Times New Roman" w:hAnsi="Times New Roman"/>
          <w:color w:val="00548C"/>
          <w:sz w:val="24"/>
          <w:szCs w:val="24"/>
        </w:rPr>
        <w:t xml:space="preserve">  </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193B39F7" w14:textId="77777777" w:rsidR="00875924" w:rsidRDefault="000B3001"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F63885">
        <w:rPr>
          <w:rFonts w:ascii="Times New Roman" w:hAnsi="Times New Roman"/>
          <w:color w:val="00548C"/>
          <w:sz w:val="24"/>
          <w:szCs w:val="24"/>
        </w:rPr>
        <w:t>06/25</w:t>
      </w:r>
    </w:p>
    <w:p w14:paraId="102B829D"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703E7841"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279850CC"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19606D44" w14:textId="77777777" w:rsidR="00CC52A7" w:rsidRDefault="00CC52A7">
      <w:pPr>
        <w:pStyle w:val="Heading2"/>
        <w:rPr>
          <w:u w:val="none"/>
        </w:rPr>
      </w:pPr>
    </w:p>
    <w:p w14:paraId="234C844D" w14:textId="77777777" w:rsidR="00583376" w:rsidRPr="00B777AF" w:rsidRDefault="00583376">
      <w:pPr>
        <w:pStyle w:val="Heading2"/>
        <w:rPr>
          <w:u w:val="none"/>
        </w:rPr>
      </w:pPr>
      <w:r w:rsidRPr="00B777AF">
        <w:rPr>
          <w:u w:val="none"/>
        </w:rPr>
        <w:t xml:space="preserve">Description </w:t>
      </w:r>
    </w:p>
    <w:p w14:paraId="497C3319" w14:textId="77777777" w:rsidR="008334C6" w:rsidRDefault="0050776E" w:rsidP="001F3D90">
      <w:pPr>
        <w:autoSpaceDE w:val="0"/>
        <w:autoSpaceDN w:val="0"/>
        <w:adjustRightInd w:val="0"/>
      </w:pPr>
      <w:r w:rsidRPr="001F3D90">
        <w:t xml:space="preserve">Electrical </w:t>
      </w:r>
      <w:r w:rsidR="0010211D">
        <w:t xml:space="preserve">osteogenic </w:t>
      </w:r>
      <w:r w:rsidRPr="001F3D90">
        <w:t xml:space="preserve">stimulation can be </w:t>
      </w:r>
      <w:r w:rsidR="00680F35">
        <w:t>performed</w:t>
      </w:r>
      <w:r w:rsidRPr="001F3D90">
        <w:t xml:space="preserve"> invasively or non-invasively. Invasive osteogenic stimulators </w:t>
      </w:r>
      <w:r w:rsidR="008334C6" w:rsidRPr="001F3D90">
        <w:t>provide electrical</w:t>
      </w:r>
      <w:r w:rsidR="001F3D90">
        <w:t xml:space="preserve"> stimulation direct</w:t>
      </w:r>
      <w:r w:rsidR="008334C6" w:rsidRPr="001F3D90">
        <w:t xml:space="preserve">ly to the non-healing fracture or bone fusion site through </w:t>
      </w:r>
      <w:r w:rsidR="008334C6" w:rsidRPr="001F3D90">
        <w:rPr>
          <w:color w:val="000000"/>
        </w:rPr>
        <w:t xml:space="preserve">percutaneously placed cathodes or by implantation of a coiled cathode wire. </w:t>
      </w:r>
      <w:r w:rsidR="001F3D90" w:rsidRPr="001F3D90">
        <w:t>Noninvasive osteogenic stimulators deliver an electrical</w:t>
      </w:r>
      <w:r w:rsidR="001F3D90">
        <w:t xml:space="preserve"> </w:t>
      </w:r>
      <w:r w:rsidR="001F3D90" w:rsidRPr="001F3D90">
        <w:t>current to the fracture site via capacitive coupling</w:t>
      </w:r>
      <w:r w:rsidR="00E47CDC">
        <w:t xml:space="preserve"> (CC)</w:t>
      </w:r>
      <w:r w:rsidR="001F3D90" w:rsidRPr="001F3D90">
        <w:t>, pulsed electromagnetic field (PEMF),</w:t>
      </w:r>
      <w:r w:rsidR="001F3D90">
        <w:t xml:space="preserve"> </w:t>
      </w:r>
      <w:r w:rsidR="001F3D90" w:rsidRPr="001F3D90">
        <w:t>or combined magnetic field technology</w:t>
      </w:r>
      <w:r w:rsidR="00E42310">
        <w:t xml:space="preserve"> (CMFT)</w:t>
      </w:r>
      <w:r w:rsidR="001F3D90" w:rsidRPr="001F3D90">
        <w:t xml:space="preserve"> through treatment coils that are placed </w:t>
      </w:r>
      <w:r w:rsidR="001F3D90" w:rsidRPr="007E7E69">
        <w:t>externally around the fracture.</w:t>
      </w:r>
      <w:r w:rsidR="00960B9D">
        <w:rPr>
          <w:vertAlign w:val="superscript"/>
        </w:rPr>
        <w:t>1</w:t>
      </w:r>
      <w:r w:rsidR="001F3D90" w:rsidRPr="007E7E69">
        <w:t xml:space="preserve"> An u</w:t>
      </w:r>
      <w:r w:rsidR="008334C6" w:rsidRPr="007E7E69">
        <w:t>ltrasonic osteogenic stimulator</w:t>
      </w:r>
      <w:r w:rsidR="001F3D90" w:rsidRPr="007E7E69">
        <w:t xml:space="preserve"> is a</w:t>
      </w:r>
      <w:r w:rsidR="008334C6" w:rsidRPr="007E7E69">
        <w:t xml:space="preserve"> noninvasive device</w:t>
      </w:r>
      <w:r w:rsidR="001F3D90" w:rsidRPr="007E7E69">
        <w:t xml:space="preserve"> that emits</w:t>
      </w:r>
      <w:r w:rsidR="008334C6" w:rsidRPr="007E7E69">
        <w:t xml:space="preserve"> low intensity, pulsed ultrasound. The device is applied to the surface of the skin at the fracture site and ultrasound waves are emitted via a conductive coupling gel to stimulate fracture healing.</w:t>
      </w:r>
      <w:r w:rsidR="00960B9D">
        <w:rPr>
          <w:vertAlign w:val="superscript"/>
        </w:rPr>
        <w:t>2</w:t>
      </w:r>
      <w:r w:rsidR="008334C6" w:rsidRPr="001F3D90">
        <w:t xml:space="preserve"> </w:t>
      </w:r>
    </w:p>
    <w:p w14:paraId="3CC1179B" w14:textId="77777777" w:rsidR="0010211D" w:rsidRDefault="0010211D" w:rsidP="001F3D90">
      <w:pPr>
        <w:autoSpaceDE w:val="0"/>
        <w:autoSpaceDN w:val="0"/>
        <w:adjustRightInd w:val="0"/>
      </w:pPr>
    </w:p>
    <w:p w14:paraId="56B360C3" w14:textId="77777777" w:rsidR="0010211D" w:rsidRPr="001F3D90" w:rsidRDefault="0010211D" w:rsidP="001F3D90">
      <w:pPr>
        <w:autoSpaceDE w:val="0"/>
        <w:autoSpaceDN w:val="0"/>
        <w:adjustRightInd w:val="0"/>
      </w:pPr>
      <w:r w:rsidRPr="001F3D90">
        <w:t xml:space="preserve">This policy outlines the medical necessity criteria for electrical and ultrasonic osteogenic stimulators to enhance the bone healing process. </w:t>
      </w:r>
    </w:p>
    <w:p w14:paraId="3A93EF4F" w14:textId="77777777" w:rsidR="005D7B81" w:rsidRPr="00B777AF" w:rsidRDefault="005D7B81" w:rsidP="00196935"/>
    <w:p w14:paraId="585074B4" w14:textId="77777777" w:rsidR="00583376" w:rsidRPr="00B777AF" w:rsidRDefault="00583376">
      <w:pPr>
        <w:pStyle w:val="Heading2"/>
        <w:rPr>
          <w:u w:val="none"/>
        </w:rPr>
      </w:pPr>
      <w:r w:rsidRPr="00B777AF">
        <w:rPr>
          <w:u w:val="none"/>
        </w:rPr>
        <w:t>Policy/Criteria</w:t>
      </w:r>
    </w:p>
    <w:p w14:paraId="2199F06A" w14:textId="77777777" w:rsidR="00C96847" w:rsidRDefault="00F74762" w:rsidP="00C96847">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 xml:space="preserve">that </w:t>
      </w:r>
      <w:r w:rsidR="00A332C9" w:rsidRPr="00B41F9C">
        <w:rPr>
          <w:i/>
        </w:rPr>
        <w:t xml:space="preserve">noninvasive </w:t>
      </w:r>
      <w:r w:rsidR="007E3705">
        <w:rPr>
          <w:i/>
        </w:rPr>
        <w:t>electr</w:t>
      </w:r>
      <w:r w:rsidR="00F669B1">
        <w:rPr>
          <w:i/>
        </w:rPr>
        <w:t xml:space="preserve">ical </w:t>
      </w:r>
      <w:r w:rsidR="00092E17" w:rsidRPr="00B41F9C">
        <w:rPr>
          <w:i/>
        </w:rPr>
        <w:t>osteogenesis stimulators</w:t>
      </w:r>
      <w:r w:rsidR="009D5928" w:rsidRPr="00B41F9C">
        <w:rPr>
          <w:i/>
        </w:rPr>
        <w:t xml:space="preserve"> </w:t>
      </w:r>
      <w:r w:rsidR="00092E17">
        <w:t>are</w:t>
      </w:r>
      <w:r w:rsidR="00C96847">
        <w:t xml:space="preserve"> </w:t>
      </w:r>
      <w:r w:rsidR="00C96847" w:rsidRPr="005D6347">
        <w:rPr>
          <w:b/>
        </w:rPr>
        <w:t>medically necessary</w:t>
      </w:r>
      <w:r w:rsidR="00C96847">
        <w:t xml:space="preserve"> </w:t>
      </w:r>
      <w:r w:rsidR="00C85F34">
        <w:t>when</w:t>
      </w:r>
      <w:r w:rsidR="00C60387">
        <w:t xml:space="preserve"> any of t</w:t>
      </w:r>
      <w:r w:rsidR="00C85F34">
        <w:t>he following apply</w:t>
      </w:r>
      <w:r w:rsidR="00C96847">
        <w:t>:</w:t>
      </w:r>
    </w:p>
    <w:p w14:paraId="29A8CFE0" w14:textId="77777777" w:rsidR="00C60387" w:rsidRPr="00E4090C" w:rsidRDefault="00C60387" w:rsidP="00C60387">
      <w:pPr>
        <w:pStyle w:val="ListParagraph"/>
        <w:numPr>
          <w:ilvl w:val="1"/>
          <w:numId w:val="11"/>
        </w:numPr>
        <w:ind w:left="720"/>
      </w:pPr>
      <w:r w:rsidRPr="00E4090C">
        <w:t>Nonunion of long bone fracture (i.e., clavicle, humerus, radius, ulna, femur, tibia, fibula, phalanges, metacarpal or metatarsal bone) and at least 90 days have passed since the date of fracture or the date of surgical treatment of the fracture and all of the following:</w:t>
      </w:r>
    </w:p>
    <w:p w14:paraId="4C3B9526" w14:textId="77777777" w:rsidR="00C60387" w:rsidRPr="00E4090C" w:rsidRDefault="00C60387" w:rsidP="00C60387">
      <w:pPr>
        <w:pStyle w:val="ListParagraph"/>
        <w:numPr>
          <w:ilvl w:val="2"/>
          <w:numId w:val="11"/>
        </w:numPr>
        <w:ind w:left="1080" w:hanging="360"/>
      </w:pPr>
      <w:r w:rsidRPr="00E4090C">
        <w:t>The bone is no</w:t>
      </w:r>
      <w:r w:rsidR="00C459A2" w:rsidRPr="00E4090C">
        <w:t xml:space="preserve">t </w:t>
      </w:r>
      <w:r w:rsidRPr="00E4090C">
        <w:t xml:space="preserve">infected; </w:t>
      </w:r>
      <w:r w:rsidR="00E72105" w:rsidRPr="00E4090C">
        <w:t xml:space="preserve"> </w:t>
      </w:r>
    </w:p>
    <w:p w14:paraId="24D5A54D" w14:textId="77777777" w:rsidR="00C60387" w:rsidRPr="00E4090C" w:rsidRDefault="00C60387" w:rsidP="00C60387">
      <w:pPr>
        <w:pStyle w:val="ListParagraph"/>
        <w:numPr>
          <w:ilvl w:val="2"/>
          <w:numId w:val="11"/>
        </w:numPr>
        <w:ind w:left="1080" w:hanging="360"/>
      </w:pPr>
      <w:r w:rsidRPr="00E4090C">
        <w:rPr>
          <w:bCs/>
        </w:rPr>
        <w:t xml:space="preserve">The two portions of the bone involved in the non‐union are separated by less than </w:t>
      </w:r>
      <w:r w:rsidR="00C459A2" w:rsidRPr="00E4090C">
        <w:rPr>
          <w:bCs/>
        </w:rPr>
        <w:t>one</w:t>
      </w:r>
      <w:r w:rsidRPr="00E4090C">
        <w:rPr>
          <w:bCs/>
        </w:rPr>
        <w:t xml:space="preserve"> centimeter (cm);</w:t>
      </w:r>
    </w:p>
    <w:p w14:paraId="3333544A" w14:textId="77777777" w:rsidR="00C60387" w:rsidRPr="00E4090C" w:rsidRDefault="00C60387" w:rsidP="00C60387">
      <w:pPr>
        <w:pStyle w:val="ListParagraph"/>
        <w:numPr>
          <w:ilvl w:val="2"/>
          <w:numId w:val="11"/>
        </w:numPr>
        <w:ind w:left="1080" w:hanging="360"/>
      </w:pPr>
      <w:r w:rsidRPr="00E4090C">
        <w:rPr>
          <w:bCs/>
        </w:rPr>
        <w:t xml:space="preserve">The bone is stable at both ends by means of </w:t>
      </w:r>
      <w:r w:rsidR="00506456" w:rsidRPr="00E4090C">
        <w:rPr>
          <w:bCs/>
        </w:rPr>
        <w:t>a</w:t>
      </w:r>
      <w:r w:rsidR="0044375B" w:rsidRPr="00E4090C">
        <w:rPr>
          <w:bCs/>
        </w:rPr>
        <w:t>ppropriate fracture care</w:t>
      </w:r>
      <w:r w:rsidR="00E15071" w:rsidRPr="00E4090C">
        <w:rPr>
          <w:bCs/>
        </w:rPr>
        <w:t xml:space="preserve"> and immobilization</w:t>
      </w:r>
      <w:r w:rsidRPr="00E4090C">
        <w:rPr>
          <w:bCs/>
        </w:rPr>
        <w:t>;</w:t>
      </w:r>
    </w:p>
    <w:p w14:paraId="53356224" w14:textId="77777777" w:rsidR="00C60387" w:rsidRPr="00E4090C" w:rsidRDefault="00C459A2" w:rsidP="00C60387">
      <w:pPr>
        <w:pStyle w:val="ListParagraph"/>
        <w:numPr>
          <w:ilvl w:val="2"/>
          <w:numId w:val="11"/>
        </w:numPr>
        <w:ind w:left="1080" w:hanging="360"/>
      </w:pPr>
      <w:r w:rsidRPr="00E4090C">
        <w:rPr>
          <w:bCs/>
        </w:rPr>
        <w:t>S</w:t>
      </w:r>
      <w:r w:rsidR="00C60387" w:rsidRPr="00E4090C">
        <w:rPr>
          <w:bCs/>
        </w:rPr>
        <w:t xml:space="preserve">erial </w:t>
      </w:r>
      <w:r w:rsidR="00E52A67" w:rsidRPr="00E4090C">
        <w:rPr>
          <w:bCs/>
        </w:rPr>
        <w:t>i</w:t>
      </w:r>
      <w:r w:rsidR="004502E7" w:rsidRPr="00E4090C">
        <w:rPr>
          <w:bCs/>
        </w:rPr>
        <w:t>maging</w:t>
      </w:r>
      <w:r w:rsidR="0008309A" w:rsidRPr="00E4090C">
        <w:rPr>
          <w:bCs/>
        </w:rPr>
        <w:t xml:space="preserve"> </w:t>
      </w:r>
      <w:r w:rsidR="00C60387" w:rsidRPr="00E4090C">
        <w:rPr>
          <w:bCs/>
        </w:rPr>
        <w:t>ha</w:t>
      </w:r>
      <w:r w:rsidR="0008309A" w:rsidRPr="00E4090C">
        <w:rPr>
          <w:bCs/>
        </w:rPr>
        <w:t>s</w:t>
      </w:r>
      <w:r w:rsidR="00C60387" w:rsidRPr="00E4090C">
        <w:rPr>
          <w:bCs/>
        </w:rPr>
        <w:t xml:space="preserve"> confirmed that fracture healing has ceased for three or more months prior to starting treatment with the noninvasive electrical bone growth stimulator. Serial </w:t>
      </w:r>
      <w:r w:rsidR="00E52A67" w:rsidRPr="00E4090C">
        <w:rPr>
          <w:bCs/>
        </w:rPr>
        <w:t>imaging</w:t>
      </w:r>
      <w:r w:rsidR="00C60387" w:rsidRPr="00E4090C">
        <w:rPr>
          <w:bCs/>
        </w:rPr>
        <w:t xml:space="preserve"> must include a minimum of two sets of </w:t>
      </w:r>
      <w:r w:rsidR="00D025F3" w:rsidRPr="00E4090C">
        <w:rPr>
          <w:bCs/>
        </w:rPr>
        <w:t>images</w:t>
      </w:r>
      <w:r w:rsidR="00C60387" w:rsidRPr="00E4090C">
        <w:rPr>
          <w:bCs/>
        </w:rPr>
        <w:t>, each including multiple views of the fracture site, separated by a minimum of 90 days</w:t>
      </w:r>
      <w:r w:rsidR="00B41F9C" w:rsidRPr="00E4090C">
        <w:rPr>
          <w:bCs/>
        </w:rPr>
        <w:t>;</w:t>
      </w:r>
    </w:p>
    <w:p w14:paraId="4202CEF4" w14:textId="77777777" w:rsidR="003F3D44" w:rsidRPr="00E4090C" w:rsidRDefault="00C60387" w:rsidP="00E37CE3">
      <w:pPr>
        <w:pStyle w:val="ListParagraph"/>
        <w:numPr>
          <w:ilvl w:val="1"/>
          <w:numId w:val="11"/>
        </w:numPr>
        <w:ind w:left="720"/>
      </w:pPr>
      <w:r w:rsidRPr="00E4090C">
        <w:t>Failed fusion of a joint</w:t>
      </w:r>
      <w:r w:rsidR="00E37CE3" w:rsidRPr="00E4090C">
        <w:t>,</w:t>
      </w:r>
      <w:r w:rsidRPr="00E4090C">
        <w:t xml:space="preserve"> other than the spine</w:t>
      </w:r>
      <w:r w:rsidR="00E37CE3" w:rsidRPr="00E4090C">
        <w:t>,</w:t>
      </w:r>
      <w:r w:rsidRPr="00E4090C">
        <w:t xml:space="preserve"> </w:t>
      </w:r>
      <w:r w:rsidR="00E37CE3" w:rsidRPr="00E4090C">
        <w:t>in which a</w:t>
      </w:r>
      <w:r w:rsidRPr="00E4090C">
        <w:t xml:space="preserve"> minimum of six months has</w:t>
      </w:r>
      <w:r w:rsidRPr="00E4090C">
        <w:rPr>
          <w:bCs/>
        </w:rPr>
        <w:t xml:space="preserve"> elapsed since the last surgery;</w:t>
      </w:r>
      <w:r w:rsidR="00E37CE3" w:rsidRPr="00E4090C">
        <w:rPr>
          <w:bCs/>
        </w:rPr>
        <w:t xml:space="preserve"> </w:t>
      </w:r>
    </w:p>
    <w:p w14:paraId="00CA323F" w14:textId="77777777" w:rsidR="00C60387" w:rsidRPr="00E4090C" w:rsidRDefault="00C60387" w:rsidP="00C60387">
      <w:pPr>
        <w:numPr>
          <w:ilvl w:val="1"/>
          <w:numId w:val="11"/>
        </w:numPr>
        <w:ind w:left="720"/>
        <w:rPr>
          <w:bCs/>
        </w:rPr>
      </w:pPr>
      <w:r w:rsidRPr="00E4090C">
        <w:rPr>
          <w:bCs/>
        </w:rPr>
        <w:t>Congenital pseudoarth</w:t>
      </w:r>
      <w:r w:rsidR="00735624" w:rsidRPr="00E4090C">
        <w:rPr>
          <w:bCs/>
        </w:rPr>
        <w:t>r</w:t>
      </w:r>
      <w:r w:rsidRPr="00E4090C">
        <w:rPr>
          <w:bCs/>
        </w:rPr>
        <w:t>osis</w:t>
      </w:r>
      <w:r w:rsidR="00FF2C44" w:rsidRPr="00E4090C">
        <w:rPr>
          <w:bCs/>
        </w:rPr>
        <w:t>;</w:t>
      </w:r>
    </w:p>
    <w:p w14:paraId="67F658ED" w14:textId="77777777" w:rsidR="00C60387" w:rsidRPr="00E4090C" w:rsidRDefault="00C60387" w:rsidP="00C60387">
      <w:pPr>
        <w:numPr>
          <w:ilvl w:val="1"/>
          <w:numId w:val="11"/>
        </w:numPr>
        <w:ind w:left="720"/>
        <w:rPr>
          <w:bCs/>
        </w:rPr>
      </w:pPr>
      <w:r w:rsidRPr="00E4090C">
        <w:rPr>
          <w:bCs/>
        </w:rPr>
        <w:t xml:space="preserve">As an adjunct to spinal fusion surgery for patients at high risk of pseudoarthrosis due to previously failed fusion surgery or for those undergoing </w:t>
      </w:r>
      <w:r w:rsidR="0029357C" w:rsidRPr="00E4090C">
        <w:rPr>
          <w:bCs/>
        </w:rPr>
        <w:t xml:space="preserve">a multilevel spinal </w:t>
      </w:r>
      <w:r w:rsidRPr="00E4090C">
        <w:rPr>
          <w:bCs/>
        </w:rPr>
        <w:t xml:space="preserve">fusion </w:t>
      </w:r>
      <w:r w:rsidR="0026606B" w:rsidRPr="00E4090C">
        <w:rPr>
          <w:bCs/>
        </w:rPr>
        <w:t>(involving</w:t>
      </w:r>
      <w:r w:rsidR="0029357C" w:rsidRPr="00E4090C">
        <w:rPr>
          <w:bCs/>
        </w:rPr>
        <w:t xml:space="preserve"> </w:t>
      </w:r>
      <w:r w:rsidR="0026606B" w:rsidRPr="00E4090C">
        <w:rPr>
          <w:bCs/>
        </w:rPr>
        <w:t>three</w:t>
      </w:r>
      <w:r w:rsidR="0029357C" w:rsidRPr="00E4090C">
        <w:rPr>
          <w:bCs/>
        </w:rPr>
        <w:t xml:space="preserve"> or more vertebrae</w:t>
      </w:r>
      <w:r w:rsidR="00C459A2" w:rsidRPr="00E4090C">
        <w:rPr>
          <w:bCs/>
        </w:rPr>
        <w:t>)</w:t>
      </w:r>
      <w:r w:rsidR="0029357C" w:rsidRPr="00E4090C">
        <w:rPr>
          <w:bCs/>
        </w:rPr>
        <w:t>;</w:t>
      </w:r>
    </w:p>
    <w:p w14:paraId="70BE6538" w14:textId="77777777" w:rsidR="00C60387" w:rsidRPr="00786630" w:rsidRDefault="00C60387" w:rsidP="00786630">
      <w:pPr>
        <w:numPr>
          <w:ilvl w:val="1"/>
          <w:numId w:val="11"/>
        </w:numPr>
        <w:ind w:left="720"/>
        <w:rPr>
          <w:bCs/>
          <w:color w:val="000000" w:themeColor="text1"/>
        </w:rPr>
      </w:pPr>
      <w:r w:rsidRPr="00786630">
        <w:rPr>
          <w:bCs/>
          <w:color w:val="000000" w:themeColor="text1"/>
        </w:rPr>
        <w:t>Risk of delayed or non‐union of fractures due to</w:t>
      </w:r>
      <w:r w:rsidR="00104B74" w:rsidRPr="00786630">
        <w:rPr>
          <w:bCs/>
          <w:color w:val="000000" w:themeColor="text1"/>
        </w:rPr>
        <w:t xml:space="preserve"> certain conditions including but not limited to alcoholism, chemotherapy, diabetes, obesity,</w:t>
      </w:r>
      <w:r w:rsidR="00991186" w:rsidRPr="00786630">
        <w:rPr>
          <w:bCs/>
          <w:color w:val="000000" w:themeColor="text1"/>
        </w:rPr>
        <w:t xml:space="preserve"> osteoporosis, renal disease tobacco or steroid use.</w:t>
      </w:r>
    </w:p>
    <w:p w14:paraId="533E1AF1" w14:textId="77777777" w:rsidR="00BA730F" w:rsidRPr="00E4090C" w:rsidRDefault="00092E17" w:rsidP="00BA730F">
      <w:pPr>
        <w:numPr>
          <w:ilvl w:val="0"/>
          <w:numId w:val="11"/>
        </w:numPr>
        <w:tabs>
          <w:tab w:val="left" w:pos="360"/>
        </w:tabs>
        <w:ind w:left="360"/>
      </w:pPr>
      <w:r w:rsidRPr="00E4090C">
        <w:rPr>
          <w:bCs/>
          <w:color w:val="000000"/>
        </w:rPr>
        <w:lastRenderedPageBreak/>
        <w:t xml:space="preserve">It is the policy of health plans affiliated with Centene Corporation </w:t>
      </w:r>
      <w:r w:rsidRPr="00E4090C">
        <w:t xml:space="preserve">that </w:t>
      </w:r>
      <w:r w:rsidR="00B70FEE" w:rsidRPr="00E4090C">
        <w:rPr>
          <w:i/>
        </w:rPr>
        <w:t>invasive</w:t>
      </w:r>
      <w:r w:rsidR="00E93838" w:rsidRPr="00E4090C">
        <w:rPr>
          <w:i/>
        </w:rPr>
        <w:t xml:space="preserve"> electr</w:t>
      </w:r>
      <w:r w:rsidR="00F669B1" w:rsidRPr="00E4090C">
        <w:rPr>
          <w:i/>
        </w:rPr>
        <w:t>ical</w:t>
      </w:r>
      <w:r w:rsidR="00E25189" w:rsidRPr="00E4090C">
        <w:rPr>
          <w:i/>
        </w:rPr>
        <w:t xml:space="preserve"> </w:t>
      </w:r>
      <w:r w:rsidR="00B70FEE" w:rsidRPr="00E4090C">
        <w:rPr>
          <w:i/>
        </w:rPr>
        <w:t>oste</w:t>
      </w:r>
      <w:r w:rsidR="00C60387" w:rsidRPr="00E4090C">
        <w:rPr>
          <w:i/>
        </w:rPr>
        <w:t xml:space="preserve">ogenesis stimulators </w:t>
      </w:r>
      <w:r w:rsidRPr="00E4090C">
        <w:t xml:space="preserve">are </w:t>
      </w:r>
      <w:r w:rsidRPr="00E4090C">
        <w:rPr>
          <w:b/>
        </w:rPr>
        <w:t>medically necessary</w:t>
      </w:r>
      <w:r w:rsidRPr="00E4090C">
        <w:t xml:space="preserve"> </w:t>
      </w:r>
      <w:r w:rsidR="00C85F34" w:rsidRPr="00E4090C">
        <w:t xml:space="preserve">when </w:t>
      </w:r>
      <w:r w:rsidR="005E5062" w:rsidRPr="00E4090C">
        <w:t xml:space="preserve">any of </w:t>
      </w:r>
      <w:r w:rsidR="00C85F34" w:rsidRPr="00E4090C">
        <w:t>the following apply</w:t>
      </w:r>
      <w:r w:rsidRPr="00E4090C">
        <w:t>:</w:t>
      </w:r>
    </w:p>
    <w:p w14:paraId="109C644C" w14:textId="77777777" w:rsidR="00BA730F" w:rsidRPr="00E4090C" w:rsidRDefault="00BA730F" w:rsidP="00BA730F">
      <w:pPr>
        <w:pStyle w:val="ListParagraph"/>
        <w:numPr>
          <w:ilvl w:val="1"/>
          <w:numId w:val="11"/>
        </w:numPr>
        <w:ind w:left="720"/>
      </w:pPr>
      <w:r w:rsidRPr="00E4090C">
        <w:t>Nonunion of long bone fracture</w:t>
      </w:r>
      <w:r w:rsidR="005E5062" w:rsidRPr="00E4090C">
        <w:t xml:space="preserve"> </w:t>
      </w:r>
      <w:r w:rsidRPr="00E4090C">
        <w:t>and all of the following:</w:t>
      </w:r>
    </w:p>
    <w:p w14:paraId="5AC07BCB" w14:textId="77777777" w:rsidR="00BA730F" w:rsidRPr="00E4090C" w:rsidRDefault="00BA730F" w:rsidP="00BA730F">
      <w:pPr>
        <w:pStyle w:val="ListParagraph"/>
        <w:numPr>
          <w:ilvl w:val="2"/>
          <w:numId w:val="11"/>
        </w:numPr>
        <w:ind w:left="1080" w:hanging="360"/>
      </w:pPr>
      <w:r w:rsidRPr="00E4090C">
        <w:t>The bone is no</w:t>
      </w:r>
      <w:r w:rsidR="00C459A2" w:rsidRPr="00E4090C">
        <w:t xml:space="preserve">t </w:t>
      </w:r>
      <w:r w:rsidRPr="00E4090C">
        <w:t xml:space="preserve">infected; </w:t>
      </w:r>
    </w:p>
    <w:p w14:paraId="2559FFD4" w14:textId="77777777" w:rsidR="00BA730F" w:rsidRPr="00E4090C" w:rsidRDefault="00BA730F" w:rsidP="00BA730F">
      <w:pPr>
        <w:pStyle w:val="ListParagraph"/>
        <w:numPr>
          <w:ilvl w:val="2"/>
          <w:numId w:val="11"/>
        </w:numPr>
        <w:ind w:left="1080" w:hanging="360"/>
      </w:pPr>
      <w:r w:rsidRPr="00E4090C">
        <w:rPr>
          <w:bCs/>
        </w:rPr>
        <w:t xml:space="preserve">The two portions of the bone involved in the non‐union are separated by less than </w:t>
      </w:r>
      <w:r w:rsidR="00C459A2" w:rsidRPr="00E4090C">
        <w:rPr>
          <w:bCs/>
        </w:rPr>
        <w:t>one cm;</w:t>
      </w:r>
      <w:r w:rsidR="000E3A9A" w:rsidRPr="00E4090C">
        <w:rPr>
          <w:bCs/>
        </w:rPr>
        <w:t xml:space="preserve"> </w:t>
      </w:r>
    </w:p>
    <w:p w14:paraId="08B81CC5" w14:textId="77777777" w:rsidR="00BA730F" w:rsidRPr="00E4090C" w:rsidRDefault="00BA730F" w:rsidP="00BA730F">
      <w:pPr>
        <w:pStyle w:val="ListParagraph"/>
        <w:numPr>
          <w:ilvl w:val="2"/>
          <w:numId w:val="11"/>
        </w:numPr>
        <w:ind w:left="1080" w:hanging="360"/>
      </w:pPr>
      <w:r w:rsidRPr="00E4090C">
        <w:rPr>
          <w:bCs/>
        </w:rPr>
        <w:t xml:space="preserve">The bone is stable at both ends by means of </w:t>
      </w:r>
      <w:r w:rsidR="00F624EC" w:rsidRPr="00E4090C">
        <w:rPr>
          <w:bCs/>
        </w:rPr>
        <w:t>appropriate fracture care and immobilization</w:t>
      </w:r>
      <w:r w:rsidRPr="00E4090C">
        <w:rPr>
          <w:bCs/>
        </w:rPr>
        <w:t>;</w:t>
      </w:r>
    </w:p>
    <w:p w14:paraId="1A346040" w14:textId="77777777" w:rsidR="00BA730F" w:rsidRPr="00E4090C" w:rsidRDefault="00680F35" w:rsidP="00BA730F">
      <w:pPr>
        <w:pStyle w:val="ListParagraph"/>
        <w:numPr>
          <w:ilvl w:val="2"/>
          <w:numId w:val="11"/>
        </w:numPr>
        <w:ind w:left="1080" w:hanging="360"/>
      </w:pPr>
      <w:r w:rsidRPr="00E4090C">
        <w:rPr>
          <w:bCs/>
        </w:rPr>
        <w:t>S</w:t>
      </w:r>
      <w:r w:rsidR="00BA730F" w:rsidRPr="00E4090C">
        <w:rPr>
          <w:bCs/>
        </w:rPr>
        <w:t xml:space="preserve">erial </w:t>
      </w:r>
      <w:r w:rsidR="00F624EC" w:rsidRPr="00E4090C">
        <w:rPr>
          <w:bCs/>
        </w:rPr>
        <w:t>imaging</w:t>
      </w:r>
      <w:r w:rsidR="00BA730F" w:rsidRPr="00E4090C">
        <w:rPr>
          <w:bCs/>
        </w:rPr>
        <w:t xml:space="preserve"> ha</w:t>
      </w:r>
      <w:r w:rsidR="0008309A" w:rsidRPr="00E4090C">
        <w:rPr>
          <w:bCs/>
        </w:rPr>
        <w:t>s</w:t>
      </w:r>
      <w:r w:rsidR="00BA730F" w:rsidRPr="00E4090C">
        <w:rPr>
          <w:bCs/>
        </w:rPr>
        <w:t xml:space="preserve"> confirmed that fracture healing has ceased for three or more months prior to starting treatment with the invasive bone growth stimulator. Serial </w:t>
      </w:r>
      <w:r w:rsidR="00F624EC" w:rsidRPr="00E4090C">
        <w:rPr>
          <w:bCs/>
        </w:rPr>
        <w:t>imaging</w:t>
      </w:r>
      <w:r w:rsidR="00BA730F" w:rsidRPr="00E4090C">
        <w:rPr>
          <w:bCs/>
        </w:rPr>
        <w:t xml:space="preserve"> must include a minimum of two sets of </w:t>
      </w:r>
      <w:r w:rsidR="00F624EC" w:rsidRPr="00E4090C">
        <w:rPr>
          <w:bCs/>
        </w:rPr>
        <w:t>images</w:t>
      </w:r>
      <w:r w:rsidR="00BA730F" w:rsidRPr="00E4090C">
        <w:rPr>
          <w:bCs/>
        </w:rPr>
        <w:t>, each including multiple views of the fracture site, separated by a minimum of 90 days</w:t>
      </w:r>
      <w:r w:rsidR="00B41F9C" w:rsidRPr="00E4090C">
        <w:rPr>
          <w:bCs/>
        </w:rPr>
        <w:t>;</w:t>
      </w:r>
    </w:p>
    <w:p w14:paraId="665D30F1" w14:textId="77777777" w:rsidR="00BA730F" w:rsidRPr="00E4090C" w:rsidRDefault="005E5062" w:rsidP="00BA730F">
      <w:pPr>
        <w:numPr>
          <w:ilvl w:val="1"/>
          <w:numId w:val="11"/>
        </w:numPr>
        <w:tabs>
          <w:tab w:val="left" w:pos="360"/>
        </w:tabs>
        <w:ind w:left="720"/>
      </w:pPr>
      <w:r w:rsidRPr="00E4090C">
        <w:rPr>
          <w:bCs/>
        </w:rPr>
        <w:t xml:space="preserve">Failed spinal fusion </w:t>
      </w:r>
      <w:r w:rsidR="00680F35" w:rsidRPr="00E4090C">
        <w:rPr>
          <w:bCs/>
        </w:rPr>
        <w:t xml:space="preserve">in which </w:t>
      </w:r>
      <w:r w:rsidRPr="00E4090C">
        <w:rPr>
          <w:bCs/>
        </w:rPr>
        <w:t xml:space="preserve">a minimum of </w:t>
      </w:r>
      <w:r w:rsidR="00C459A2" w:rsidRPr="00E4090C">
        <w:rPr>
          <w:bCs/>
        </w:rPr>
        <w:t>nine</w:t>
      </w:r>
      <w:r w:rsidRPr="00E4090C">
        <w:rPr>
          <w:bCs/>
        </w:rPr>
        <w:t xml:space="preserve"> months has elapsed since the last surgery</w:t>
      </w:r>
      <w:r w:rsidRPr="00E4090C">
        <w:t xml:space="preserve"> </w:t>
      </w:r>
      <w:r w:rsidR="00FF2C44" w:rsidRPr="00E4090C">
        <w:rPr>
          <w:bCs/>
        </w:rPr>
        <w:t>and/</w:t>
      </w:r>
      <w:r w:rsidRPr="00E4090C">
        <w:rPr>
          <w:bCs/>
        </w:rPr>
        <w:t>or as an adjunct to spinal fusion surgery for patients at high risk of</w:t>
      </w:r>
      <w:r w:rsidR="0008309A" w:rsidRPr="00E4090C">
        <w:rPr>
          <w:bCs/>
        </w:rPr>
        <w:t xml:space="preserve"> </w:t>
      </w:r>
      <w:r w:rsidRPr="00E4090C">
        <w:rPr>
          <w:bCs/>
        </w:rPr>
        <w:t>pseudoarthrosis;</w:t>
      </w:r>
      <w:r w:rsidR="00B94732" w:rsidRPr="00E4090C">
        <w:rPr>
          <w:bCs/>
        </w:rPr>
        <w:t xml:space="preserve"> </w:t>
      </w:r>
    </w:p>
    <w:p w14:paraId="202B8883" w14:textId="77777777" w:rsidR="005E5062" w:rsidRPr="00E4090C" w:rsidRDefault="005E5062" w:rsidP="00C459A2">
      <w:pPr>
        <w:numPr>
          <w:ilvl w:val="1"/>
          <w:numId w:val="11"/>
        </w:numPr>
        <w:tabs>
          <w:tab w:val="left" w:pos="360"/>
        </w:tabs>
        <w:ind w:left="720"/>
      </w:pPr>
      <w:r w:rsidRPr="00E4090C">
        <w:rPr>
          <w:bCs/>
        </w:rPr>
        <w:t>Following a multilevel spinal fusion</w:t>
      </w:r>
      <w:r w:rsidR="0026606B" w:rsidRPr="00E4090C">
        <w:rPr>
          <w:bCs/>
        </w:rPr>
        <w:t xml:space="preserve"> (involving</w:t>
      </w:r>
      <w:r w:rsidR="00085A80" w:rsidRPr="00E4090C">
        <w:rPr>
          <w:bCs/>
        </w:rPr>
        <w:t xml:space="preserve"> </w:t>
      </w:r>
      <w:r w:rsidR="0026606B" w:rsidRPr="00E4090C">
        <w:rPr>
          <w:bCs/>
        </w:rPr>
        <w:t>three</w:t>
      </w:r>
      <w:r w:rsidR="00085A80" w:rsidRPr="00E4090C">
        <w:rPr>
          <w:bCs/>
        </w:rPr>
        <w:t xml:space="preserve"> or more </w:t>
      </w:r>
      <w:r w:rsidR="0029357C" w:rsidRPr="00E4090C">
        <w:rPr>
          <w:bCs/>
        </w:rPr>
        <w:t>vertebrae</w:t>
      </w:r>
      <w:r w:rsidR="0026606B" w:rsidRPr="00E4090C">
        <w:rPr>
          <w:bCs/>
        </w:rPr>
        <w:t>)</w:t>
      </w:r>
      <w:r w:rsidRPr="00E4090C">
        <w:rPr>
          <w:bCs/>
        </w:rPr>
        <w:t>;</w:t>
      </w:r>
    </w:p>
    <w:p w14:paraId="4120BFD7" w14:textId="77777777" w:rsidR="005E5062" w:rsidRPr="00786630" w:rsidRDefault="005E5062" w:rsidP="005E5062">
      <w:pPr>
        <w:numPr>
          <w:ilvl w:val="1"/>
          <w:numId w:val="11"/>
        </w:numPr>
        <w:tabs>
          <w:tab w:val="left" w:pos="360"/>
        </w:tabs>
        <w:ind w:left="720"/>
        <w:rPr>
          <w:bCs/>
          <w:color w:val="000000" w:themeColor="text1"/>
        </w:rPr>
      </w:pPr>
      <w:r w:rsidRPr="00E4090C">
        <w:rPr>
          <w:bCs/>
        </w:rPr>
        <w:t xml:space="preserve">Following spinal fusion surgery where there is a history of a previously failed spinal </w:t>
      </w:r>
      <w:r w:rsidRPr="00786630">
        <w:rPr>
          <w:bCs/>
          <w:color w:val="000000" w:themeColor="text1"/>
        </w:rPr>
        <w:t>fusion at the same site;</w:t>
      </w:r>
    </w:p>
    <w:p w14:paraId="206C6211" w14:textId="77777777" w:rsidR="00F0427D" w:rsidRPr="00786630" w:rsidRDefault="005E5062" w:rsidP="00786630">
      <w:pPr>
        <w:numPr>
          <w:ilvl w:val="1"/>
          <w:numId w:val="11"/>
        </w:numPr>
        <w:tabs>
          <w:tab w:val="left" w:pos="360"/>
        </w:tabs>
        <w:ind w:left="720"/>
        <w:rPr>
          <w:color w:val="000000" w:themeColor="text1"/>
        </w:rPr>
      </w:pPr>
      <w:r w:rsidRPr="00786630">
        <w:rPr>
          <w:bCs/>
          <w:color w:val="000000" w:themeColor="text1"/>
        </w:rPr>
        <w:t>Risk of delayed or non‐union of fractures due to</w:t>
      </w:r>
      <w:r w:rsidR="00991186" w:rsidRPr="00786630">
        <w:rPr>
          <w:bCs/>
          <w:color w:val="000000" w:themeColor="text1"/>
        </w:rPr>
        <w:t xml:space="preserve"> certain conditions including but not limited to alcoholism, chemotherapy, diabetes, obesity, osteoporosis, renal disease tobacco or steroid use. </w:t>
      </w:r>
      <w:r w:rsidRPr="00786630">
        <w:rPr>
          <w:bCs/>
          <w:color w:val="000000" w:themeColor="text1"/>
        </w:rPr>
        <w:t xml:space="preserve"> </w:t>
      </w:r>
    </w:p>
    <w:p w14:paraId="78FADA2C" w14:textId="77777777" w:rsidR="00786630" w:rsidRPr="00E4090C" w:rsidRDefault="00786630" w:rsidP="00786630">
      <w:pPr>
        <w:tabs>
          <w:tab w:val="left" w:pos="360"/>
        </w:tabs>
        <w:ind w:left="720"/>
      </w:pPr>
    </w:p>
    <w:p w14:paraId="4A90CC6F" w14:textId="77777777" w:rsidR="00FF2C44" w:rsidRPr="00E4090C" w:rsidRDefault="00DD2692" w:rsidP="00FF2C44">
      <w:pPr>
        <w:numPr>
          <w:ilvl w:val="0"/>
          <w:numId w:val="11"/>
        </w:numPr>
        <w:tabs>
          <w:tab w:val="left" w:pos="360"/>
        </w:tabs>
        <w:ind w:left="360" w:hanging="450"/>
      </w:pPr>
      <w:r w:rsidRPr="00E4090C">
        <w:rPr>
          <w:bCs/>
          <w:color w:val="000000"/>
        </w:rPr>
        <w:t xml:space="preserve">It is the policy of health plans affiliated with Centene Corporation </w:t>
      </w:r>
      <w:r w:rsidRPr="00E4090C">
        <w:t xml:space="preserve">that </w:t>
      </w:r>
      <w:r w:rsidR="00F0427D" w:rsidRPr="00E4090C">
        <w:rPr>
          <w:i/>
        </w:rPr>
        <w:t xml:space="preserve">ultrasonic </w:t>
      </w:r>
      <w:r w:rsidRPr="00E4090C">
        <w:rPr>
          <w:i/>
        </w:rPr>
        <w:t>osteogenesis stimulators</w:t>
      </w:r>
      <w:r w:rsidRPr="00E4090C">
        <w:t xml:space="preserve"> are </w:t>
      </w:r>
      <w:r w:rsidRPr="00E4090C">
        <w:rPr>
          <w:b/>
        </w:rPr>
        <w:t>medically necessary</w:t>
      </w:r>
      <w:r w:rsidRPr="00E4090C">
        <w:t xml:space="preserve"> </w:t>
      </w:r>
      <w:r w:rsidR="00FF2C44" w:rsidRPr="00E4090C">
        <w:t>when</w:t>
      </w:r>
      <w:r w:rsidR="00C85F34" w:rsidRPr="00E4090C">
        <w:t xml:space="preserve"> </w:t>
      </w:r>
      <w:r w:rsidR="00FF2C44" w:rsidRPr="00E4090C">
        <w:t xml:space="preserve">any of </w:t>
      </w:r>
      <w:r w:rsidR="00C85F34" w:rsidRPr="00E4090C">
        <w:t>the following apply</w:t>
      </w:r>
      <w:r w:rsidRPr="00E4090C">
        <w:t>:</w:t>
      </w:r>
      <w:r w:rsidR="00FF2C44" w:rsidRPr="00E4090C">
        <w:t xml:space="preserve"> </w:t>
      </w:r>
    </w:p>
    <w:p w14:paraId="2FFFA14E" w14:textId="77777777" w:rsidR="00C85F34" w:rsidRPr="00E4090C" w:rsidRDefault="006B6A08" w:rsidP="00C85F34">
      <w:pPr>
        <w:numPr>
          <w:ilvl w:val="1"/>
          <w:numId w:val="11"/>
        </w:numPr>
        <w:tabs>
          <w:tab w:val="left" w:pos="360"/>
          <w:tab w:val="left" w:pos="720"/>
        </w:tabs>
        <w:ind w:left="810" w:hanging="450"/>
      </w:pPr>
      <w:r w:rsidRPr="00E4090C">
        <w:t>U</w:t>
      </w:r>
      <w:r w:rsidR="00C85F34" w:rsidRPr="00E4090C">
        <w:t>sed as an adjunct to conventional management (i.e., closed reduction and cast immobilization) for the treatment of fresh, closed fractures when there is high risk for delayed fracture healing or nonunion and at least one of the following risk factors exist:</w:t>
      </w:r>
    </w:p>
    <w:p w14:paraId="7CDC0526" w14:textId="77777777" w:rsidR="00C85F34" w:rsidRPr="00E4090C" w:rsidRDefault="00C85F34" w:rsidP="00C85F34">
      <w:pPr>
        <w:numPr>
          <w:ilvl w:val="2"/>
          <w:numId w:val="11"/>
        </w:numPr>
        <w:tabs>
          <w:tab w:val="left" w:pos="360"/>
          <w:tab w:val="left" w:pos="720"/>
        </w:tabs>
        <w:ind w:left="1170" w:hanging="360"/>
        <w:rPr>
          <w:bCs/>
        </w:rPr>
      </w:pPr>
      <w:r w:rsidRPr="00E4090C">
        <w:rPr>
          <w:bCs/>
        </w:rPr>
        <w:t>Fracture associated with extensive soft tissue or vascular damage;</w:t>
      </w:r>
    </w:p>
    <w:p w14:paraId="1FBE7E83" w14:textId="77777777" w:rsidR="00C85F34" w:rsidRPr="00E4090C" w:rsidRDefault="00503A59" w:rsidP="00C85F34">
      <w:pPr>
        <w:numPr>
          <w:ilvl w:val="2"/>
          <w:numId w:val="11"/>
        </w:numPr>
        <w:tabs>
          <w:tab w:val="left" w:pos="360"/>
          <w:tab w:val="left" w:pos="720"/>
        </w:tabs>
        <w:ind w:left="1170" w:hanging="360"/>
        <w:rPr>
          <w:bCs/>
        </w:rPr>
      </w:pPr>
      <w:r w:rsidRPr="00E4090C">
        <w:rPr>
          <w:bCs/>
        </w:rPr>
        <w:t>Fresh (</w:t>
      </w:r>
      <w:r w:rsidR="00C459A2" w:rsidRPr="00E4090C">
        <w:rPr>
          <w:bCs/>
        </w:rPr>
        <w:t>seven</w:t>
      </w:r>
      <w:r w:rsidRPr="00E4090C">
        <w:rPr>
          <w:bCs/>
        </w:rPr>
        <w:t xml:space="preserve"> days or less</w:t>
      </w:r>
      <w:r w:rsidR="004046D8" w:rsidRPr="00E4090C">
        <w:rPr>
          <w:bCs/>
        </w:rPr>
        <w:t xml:space="preserve"> in duration</w:t>
      </w:r>
      <w:r w:rsidRPr="00E4090C">
        <w:rPr>
          <w:bCs/>
        </w:rPr>
        <w:t>), closed or grade I</w:t>
      </w:r>
      <w:r w:rsidR="004046D8" w:rsidRPr="00E4090C">
        <w:rPr>
          <w:bCs/>
        </w:rPr>
        <w:t xml:space="preserve"> open, </w:t>
      </w:r>
      <w:r w:rsidR="00C85F34" w:rsidRPr="00E4090C">
        <w:rPr>
          <w:bCs/>
        </w:rPr>
        <w:t>short oblique or short spiral tibial diaphyseal fractures treated with closed reduction and cast immobilization in</w:t>
      </w:r>
      <w:r w:rsidR="004046D8" w:rsidRPr="00E4090C">
        <w:rPr>
          <w:bCs/>
        </w:rPr>
        <w:t xml:space="preserve"> skeletally mature patients</w:t>
      </w:r>
      <w:r w:rsidR="00C85F34" w:rsidRPr="00E4090C">
        <w:rPr>
          <w:bCs/>
        </w:rPr>
        <w:t>;</w:t>
      </w:r>
    </w:p>
    <w:p w14:paraId="6A083D3B" w14:textId="77777777" w:rsidR="00C85F34" w:rsidRPr="00E4090C" w:rsidRDefault="00503A59" w:rsidP="00C85F34">
      <w:pPr>
        <w:numPr>
          <w:ilvl w:val="2"/>
          <w:numId w:val="11"/>
        </w:numPr>
        <w:tabs>
          <w:tab w:val="left" w:pos="360"/>
          <w:tab w:val="left" w:pos="720"/>
        </w:tabs>
        <w:ind w:left="1170" w:hanging="360"/>
        <w:rPr>
          <w:bCs/>
        </w:rPr>
      </w:pPr>
      <w:r w:rsidRPr="00E4090C">
        <w:rPr>
          <w:bCs/>
        </w:rPr>
        <w:t>Fresh</w:t>
      </w:r>
      <w:r w:rsidR="00C85F34" w:rsidRPr="00E4090C">
        <w:rPr>
          <w:bCs/>
        </w:rPr>
        <w:t>, closed fractures of the distal radius (Colles’ fracture) treated with closed reduction and cast immobilization in</w:t>
      </w:r>
      <w:r w:rsidR="00FF2C44" w:rsidRPr="00E4090C">
        <w:rPr>
          <w:bCs/>
        </w:rPr>
        <w:t xml:space="preserve"> skeletally mature patients</w:t>
      </w:r>
      <w:r w:rsidR="00C85F34" w:rsidRPr="00E4090C">
        <w:rPr>
          <w:bCs/>
        </w:rPr>
        <w:t>;</w:t>
      </w:r>
    </w:p>
    <w:p w14:paraId="5921F1E0" w14:textId="77777777" w:rsidR="00C85F34" w:rsidRPr="00E4090C" w:rsidRDefault="00503A59" w:rsidP="00C85F34">
      <w:pPr>
        <w:numPr>
          <w:ilvl w:val="2"/>
          <w:numId w:val="11"/>
        </w:numPr>
        <w:tabs>
          <w:tab w:val="left" w:pos="360"/>
          <w:tab w:val="left" w:pos="720"/>
        </w:tabs>
        <w:ind w:left="1170" w:hanging="360"/>
        <w:rPr>
          <w:bCs/>
        </w:rPr>
      </w:pPr>
      <w:r w:rsidRPr="00E4090C">
        <w:rPr>
          <w:bCs/>
        </w:rPr>
        <w:t>Fresh</w:t>
      </w:r>
      <w:r w:rsidR="00C85F34" w:rsidRPr="00E4090C">
        <w:rPr>
          <w:bCs/>
        </w:rPr>
        <w:t xml:space="preserve"> Jones fracture (5th metatarsal);</w:t>
      </w:r>
    </w:p>
    <w:p w14:paraId="0648F85E" w14:textId="77777777" w:rsidR="00C85F34" w:rsidRPr="00E4090C" w:rsidRDefault="00C85F34" w:rsidP="00C85F34">
      <w:pPr>
        <w:numPr>
          <w:ilvl w:val="2"/>
          <w:numId w:val="11"/>
        </w:numPr>
        <w:tabs>
          <w:tab w:val="left" w:pos="360"/>
          <w:tab w:val="left" w:pos="720"/>
        </w:tabs>
        <w:ind w:left="1170" w:hanging="360"/>
        <w:rPr>
          <w:bCs/>
        </w:rPr>
      </w:pPr>
      <w:r w:rsidRPr="00E4090C">
        <w:rPr>
          <w:bCs/>
        </w:rPr>
        <w:t>Fr</w:t>
      </w:r>
      <w:r w:rsidR="00503A59" w:rsidRPr="00E4090C">
        <w:rPr>
          <w:bCs/>
        </w:rPr>
        <w:t>esh</w:t>
      </w:r>
      <w:r w:rsidRPr="00E4090C">
        <w:rPr>
          <w:bCs/>
        </w:rPr>
        <w:t xml:space="preserve"> fractures of the scaphoid;</w:t>
      </w:r>
      <w:r w:rsidR="00E65876" w:rsidRPr="00E4090C">
        <w:rPr>
          <w:bCs/>
        </w:rPr>
        <w:t xml:space="preserve"> </w:t>
      </w:r>
    </w:p>
    <w:p w14:paraId="386CE765" w14:textId="4DC4847A" w:rsidR="00C85F34" w:rsidRPr="00601E4F" w:rsidRDefault="00C85F34" w:rsidP="00601E4F">
      <w:pPr>
        <w:numPr>
          <w:ilvl w:val="1"/>
          <w:numId w:val="11"/>
        </w:numPr>
        <w:tabs>
          <w:tab w:val="left" w:pos="360"/>
          <w:tab w:val="left" w:pos="720"/>
        </w:tabs>
        <w:ind w:left="720"/>
        <w:rPr>
          <w:bCs/>
        </w:rPr>
      </w:pPr>
      <w:r w:rsidRPr="00601E4F">
        <w:rPr>
          <w:bCs/>
        </w:rPr>
        <w:t xml:space="preserve">Nonunion of bones other than the skull or vertebrae </w:t>
      </w:r>
      <w:r w:rsidR="00FF2C44" w:rsidRPr="00601E4F">
        <w:rPr>
          <w:bCs/>
        </w:rPr>
        <w:t>in skeletally mature patients</w:t>
      </w:r>
      <w:r w:rsidRPr="00601E4F">
        <w:rPr>
          <w:bCs/>
        </w:rPr>
        <w:t>, and</w:t>
      </w:r>
      <w:r w:rsidR="00601E4F" w:rsidRPr="00601E4F">
        <w:rPr>
          <w:bCs/>
        </w:rPr>
        <w:t xml:space="preserve"> </w:t>
      </w:r>
      <w:r w:rsidRPr="00601E4F">
        <w:rPr>
          <w:bCs/>
        </w:rPr>
        <w:t>excluding those that are related to malignancy when</w:t>
      </w:r>
      <w:r w:rsidR="00FF2C44" w:rsidRPr="00601E4F">
        <w:rPr>
          <w:bCs/>
        </w:rPr>
        <w:t xml:space="preserve"> the following are met</w:t>
      </w:r>
      <w:r w:rsidRPr="00601E4F">
        <w:rPr>
          <w:bCs/>
        </w:rPr>
        <w:t xml:space="preserve">: </w:t>
      </w:r>
    </w:p>
    <w:p w14:paraId="44F5DED7" w14:textId="77777777" w:rsidR="00C85F34" w:rsidRPr="00601E4F" w:rsidRDefault="00C85F34" w:rsidP="00601E4F">
      <w:pPr>
        <w:numPr>
          <w:ilvl w:val="2"/>
          <w:numId w:val="11"/>
        </w:numPr>
        <w:tabs>
          <w:tab w:val="left" w:pos="360"/>
          <w:tab w:val="left" w:pos="720"/>
        </w:tabs>
        <w:ind w:left="1170" w:hanging="360"/>
        <w:rPr>
          <w:b/>
          <w:bCs/>
        </w:rPr>
      </w:pPr>
      <w:r w:rsidRPr="00601E4F">
        <w:rPr>
          <w:bCs/>
        </w:rPr>
        <w:t xml:space="preserve">Documented by a minimum of two sets of </w:t>
      </w:r>
      <w:r w:rsidR="00A607D4" w:rsidRPr="00601E4F">
        <w:rPr>
          <w:bCs/>
        </w:rPr>
        <w:t>imaging</w:t>
      </w:r>
      <w:r w:rsidRPr="00601E4F">
        <w:rPr>
          <w:bCs/>
        </w:rPr>
        <w:t xml:space="preserve"> obtained prior to starting treatment, separated by a minimum of 90 days</w:t>
      </w:r>
      <w:r w:rsidR="00680F35" w:rsidRPr="00601E4F">
        <w:rPr>
          <w:bCs/>
        </w:rPr>
        <w:t>;</w:t>
      </w:r>
      <w:r w:rsidRPr="00601E4F">
        <w:rPr>
          <w:bCs/>
        </w:rPr>
        <w:t xml:space="preserve"> </w:t>
      </w:r>
    </w:p>
    <w:p w14:paraId="2772AD15" w14:textId="77777777" w:rsidR="00836E4D" w:rsidRPr="00601E4F" w:rsidRDefault="00983C84" w:rsidP="00601E4F">
      <w:pPr>
        <w:numPr>
          <w:ilvl w:val="2"/>
          <w:numId w:val="11"/>
        </w:numPr>
        <w:tabs>
          <w:tab w:val="left" w:pos="360"/>
          <w:tab w:val="left" w:pos="720"/>
        </w:tabs>
        <w:ind w:left="1170" w:hanging="360"/>
        <w:rPr>
          <w:bCs/>
          <w:color w:val="000000" w:themeColor="text1"/>
        </w:rPr>
      </w:pPr>
      <w:r w:rsidRPr="00601E4F">
        <w:rPr>
          <w:bCs/>
        </w:rPr>
        <w:t xml:space="preserve">The two portions of the bone involved in the non‐union are separated by less than </w:t>
      </w:r>
      <w:r w:rsidR="00DF0C6A" w:rsidRPr="00601E4F">
        <w:rPr>
          <w:bCs/>
        </w:rPr>
        <w:t>one cm</w:t>
      </w:r>
      <w:r w:rsidR="00AD2B5D" w:rsidRPr="00601E4F">
        <w:rPr>
          <w:bCs/>
        </w:rPr>
        <w:t>.</w:t>
      </w:r>
    </w:p>
    <w:p w14:paraId="7566C356" w14:textId="77777777" w:rsidR="005E5062" w:rsidRPr="00786630" w:rsidRDefault="00C85F34" w:rsidP="00786630">
      <w:pPr>
        <w:numPr>
          <w:ilvl w:val="1"/>
          <w:numId w:val="11"/>
        </w:numPr>
        <w:tabs>
          <w:tab w:val="left" w:pos="360"/>
          <w:tab w:val="left" w:pos="720"/>
          <w:tab w:val="left" w:pos="810"/>
        </w:tabs>
        <w:ind w:left="720"/>
        <w:rPr>
          <w:color w:val="000000" w:themeColor="text1"/>
        </w:rPr>
      </w:pPr>
      <w:r w:rsidRPr="00786630">
        <w:rPr>
          <w:bCs/>
          <w:color w:val="000000" w:themeColor="text1"/>
        </w:rPr>
        <w:t>Risk of delayed or non</w:t>
      </w:r>
      <w:r w:rsidR="00503A59" w:rsidRPr="00786630">
        <w:rPr>
          <w:bCs/>
          <w:color w:val="000000" w:themeColor="text1"/>
        </w:rPr>
        <w:t xml:space="preserve">union of </w:t>
      </w:r>
      <w:r w:rsidR="00DF0C6A" w:rsidRPr="00786630">
        <w:rPr>
          <w:bCs/>
          <w:color w:val="000000" w:themeColor="text1"/>
        </w:rPr>
        <w:t xml:space="preserve">any </w:t>
      </w:r>
      <w:r w:rsidR="00503A59" w:rsidRPr="00786630">
        <w:rPr>
          <w:bCs/>
          <w:color w:val="000000" w:themeColor="text1"/>
        </w:rPr>
        <w:t>fresh</w:t>
      </w:r>
      <w:r w:rsidRPr="00786630">
        <w:rPr>
          <w:bCs/>
          <w:color w:val="000000" w:themeColor="text1"/>
        </w:rPr>
        <w:t>, closed fractures due to</w:t>
      </w:r>
      <w:r w:rsidR="00DB002B" w:rsidRPr="00786630">
        <w:rPr>
          <w:bCs/>
          <w:color w:val="000000" w:themeColor="text1"/>
        </w:rPr>
        <w:t xml:space="preserve"> certain conditions including but not limited to alcoholism, chemotherapy, diabetes, obesity, osteoporosis, renal disease tobacco or steroid use. </w:t>
      </w:r>
      <w:r w:rsidRPr="00786630">
        <w:rPr>
          <w:bCs/>
          <w:color w:val="000000" w:themeColor="text1"/>
        </w:rPr>
        <w:t xml:space="preserve"> </w:t>
      </w:r>
    </w:p>
    <w:p w14:paraId="0260A9BD" w14:textId="77777777" w:rsidR="00786630" w:rsidRPr="00E4090C" w:rsidRDefault="00786630" w:rsidP="00786630">
      <w:pPr>
        <w:tabs>
          <w:tab w:val="left" w:pos="360"/>
          <w:tab w:val="left" w:pos="720"/>
          <w:tab w:val="left" w:pos="810"/>
        </w:tabs>
        <w:ind w:left="720"/>
      </w:pPr>
    </w:p>
    <w:p w14:paraId="515C75ED" w14:textId="77777777" w:rsidR="005E5062" w:rsidRPr="00E4090C" w:rsidRDefault="005E5062" w:rsidP="005E5062">
      <w:pPr>
        <w:pStyle w:val="ListParagraph"/>
        <w:numPr>
          <w:ilvl w:val="0"/>
          <w:numId w:val="11"/>
        </w:numPr>
        <w:ind w:left="360" w:hanging="450"/>
      </w:pPr>
      <w:r w:rsidRPr="00E4090C">
        <w:lastRenderedPageBreak/>
        <w:t xml:space="preserve">It is the policy of health plans affiliated with Centene Corporation that </w:t>
      </w:r>
      <w:r w:rsidRPr="00E4090C">
        <w:rPr>
          <w:i/>
        </w:rPr>
        <w:t>ultrasonic osteogenesis stimulators</w:t>
      </w:r>
      <w:r w:rsidRPr="00E4090C">
        <w:t xml:space="preserve"> are </w:t>
      </w:r>
      <w:r w:rsidRPr="00E4090C">
        <w:rPr>
          <w:b/>
        </w:rPr>
        <w:t>not medically necessary</w:t>
      </w:r>
      <w:r w:rsidRPr="00E4090C">
        <w:t xml:space="preserve"> for the following indications:</w:t>
      </w:r>
    </w:p>
    <w:p w14:paraId="6324DCC4" w14:textId="77777777" w:rsidR="000938F2" w:rsidRPr="00E4090C" w:rsidRDefault="0069657B" w:rsidP="000938F2">
      <w:pPr>
        <w:pStyle w:val="ListParagraph"/>
        <w:numPr>
          <w:ilvl w:val="1"/>
          <w:numId w:val="11"/>
        </w:numPr>
        <w:ind w:left="720"/>
        <w:rPr>
          <w:b/>
          <w:bCs/>
        </w:rPr>
      </w:pPr>
      <w:r w:rsidRPr="00E4090C">
        <w:rPr>
          <w:bCs/>
        </w:rPr>
        <w:t>U</w:t>
      </w:r>
      <w:r w:rsidR="000938F2" w:rsidRPr="00E4090C">
        <w:rPr>
          <w:bCs/>
        </w:rPr>
        <w:t xml:space="preserve">sed with other noninvasive osteogenic stimulators; </w:t>
      </w:r>
    </w:p>
    <w:p w14:paraId="1836299E" w14:textId="77777777" w:rsidR="000938F2" w:rsidRPr="00E4090C" w:rsidRDefault="000938F2" w:rsidP="000938F2">
      <w:pPr>
        <w:pStyle w:val="ListParagraph"/>
        <w:numPr>
          <w:ilvl w:val="1"/>
          <w:numId w:val="11"/>
        </w:numPr>
        <w:ind w:left="720"/>
        <w:rPr>
          <w:b/>
          <w:bCs/>
        </w:rPr>
      </w:pPr>
      <w:r w:rsidRPr="00E4090C">
        <w:rPr>
          <w:bCs/>
        </w:rPr>
        <w:t>Avascula</w:t>
      </w:r>
      <w:r w:rsidR="00ED5C72" w:rsidRPr="00E4090C">
        <w:rPr>
          <w:bCs/>
        </w:rPr>
        <w:t>r necrosis of the femoral head;</w:t>
      </w:r>
    </w:p>
    <w:p w14:paraId="70E740C7" w14:textId="77777777" w:rsidR="000938F2" w:rsidRPr="00E4090C" w:rsidRDefault="000938F2" w:rsidP="000938F2">
      <w:pPr>
        <w:pStyle w:val="ListParagraph"/>
        <w:numPr>
          <w:ilvl w:val="1"/>
          <w:numId w:val="11"/>
        </w:numPr>
        <w:ind w:left="720"/>
        <w:rPr>
          <w:bCs/>
        </w:rPr>
      </w:pPr>
      <w:r w:rsidRPr="00E4090C">
        <w:rPr>
          <w:bCs/>
        </w:rPr>
        <w:t>Stress fractures</w:t>
      </w:r>
      <w:r w:rsidR="00680F35" w:rsidRPr="00E4090C">
        <w:rPr>
          <w:bCs/>
        </w:rPr>
        <w:t>;</w:t>
      </w:r>
    </w:p>
    <w:p w14:paraId="72ACFCD7" w14:textId="77777777" w:rsidR="000938F2" w:rsidRPr="00E4090C" w:rsidRDefault="000938F2" w:rsidP="000938F2">
      <w:pPr>
        <w:pStyle w:val="ListParagraph"/>
        <w:numPr>
          <w:ilvl w:val="1"/>
          <w:numId w:val="11"/>
        </w:numPr>
        <w:ind w:left="720"/>
        <w:rPr>
          <w:bCs/>
        </w:rPr>
      </w:pPr>
      <w:r w:rsidRPr="00E4090C">
        <w:rPr>
          <w:bCs/>
        </w:rPr>
        <w:t xml:space="preserve">Fractures in which the gap exceeds </w:t>
      </w:r>
      <w:r w:rsidR="00DF0C6A" w:rsidRPr="00E4090C">
        <w:rPr>
          <w:bCs/>
        </w:rPr>
        <w:t>one</w:t>
      </w:r>
      <w:r w:rsidRPr="00E4090C">
        <w:rPr>
          <w:bCs/>
        </w:rPr>
        <w:t xml:space="preserve"> cm</w:t>
      </w:r>
      <w:r w:rsidR="00680F35" w:rsidRPr="00E4090C">
        <w:rPr>
          <w:bCs/>
        </w:rPr>
        <w:t>;</w:t>
      </w:r>
      <w:r w:rsidRPr="00E4090C">
        <w:rPr>
          <w:bCs/>
        </w:rPr>
        <w:t xml:space="preserve">  </w:t>
      </w:r>
    </w:p>
    <w:p w14:paraId="716CA955" w14:textId="77777777" w:rsidR="000938F2" w:rsidRPr="00E4090C" w:rsidRDefault="000938F2" w:rsidP="000938F2">
      <w:pPr>
        <w:pStyle w:val="ListParagraph"/>
        <w:numPr>
          <w:ilvl w:val="1"/>
          <w:numId w:val="11"/>
        </w:numPr>
        <w:ind w:left="720"/>
        <w:rPr>
          <w:bCs/>
        </w:rPr>
      </w:pPr>
      <w:r w:rsidRPr="00E4090C">
        <w:rPr>
          <w:bCs/>
        </w:rPr>
        <w:t xml:space="preserve">Fresh fractures in locations other than distal radius, tibial diaphysis, </w:t>
      </w:r>
      <w:r w:rsidR="00FF66CF" w:rsidRPr="00E4090C">
        <w:rPr>
          <w:bCs/>
        </w:rPr>
        <w:t>scaphoid</w:t>
      </w:r>
      <w:r w:rsidR="006E2B58" w:rsidRPr="00E4090C">
        <w:rPr>
          <w:bCs/>
        </w:rPr>
        <w:t xml:space="preserve"> or Jones fracture of the 5</w:t>
      </w:r>
      <w:r w:rsidR="006E2B58" w:rsidRPr="00E4090C">
        <w:rPr>
          <w:bCs/>
          <w:vertAlign w:val="superscript"/>
        </w:rPr>
        <w:t>th</w:t>
      </w:r>
      <w:r w:rsidR="006E2B58" w:rsidRPr="00E4090C">
        <w:rPr>
          <w:bCs/>
        </w:rPr>
        <w:t xml:space="preserve"> metatarsal</w:t>
      </w:r>
      <w:r w:rsidR="00680F35" w:rsidRPr="00E4090C">
        <w:rPr>
          <w:bCs/>
        </w:rPr>
        <w:t>;</w:t>
      </w:r>
      <w:r w:rsidR="00DC7766" w:rsidRPr="00E4090C">
        <w:rPr>
          <w:bCs/>
        </w:rPr>
        <w:t xml:space="preserve"> </w:t>
      </w:r>
    </w:p>
    <w:p w14:paraId="70A90B00" w14:textId="77777777" w:rsidR="000938F2" w:rsidRPr="00E4090C" w:rsidRDefault="000938F2" w:rsidP="000938F2">
      <w:pPr>
        <w:pStyle w:val="ListParagraph"/>
        <w:numPr>
          <w:ilvl w:val="1"/>
          <w:numId w:val="11"/>
        </w:numPr>
        <w:ind w:left="720"/>
        <w:rPr>
          <w:bCs/>
        </w:rPr>
      </w:pPr>
      <w:r w:rsidRPr="00E4090C">
        <w:rPr>
          <w:bCs/>
        </w:rPr>
        <w:t>Fresh tibial diaphyseal or tibial and fibular fractures treated with closed reduction and intramedullary nailing and no risk factors for poor or prolonged healing</w:t>
      </w:r>
      <w:r w:rsidR="00680F35" w:rsidRPr="00E4090C">
        <w:rPr>
          <w:bCs/>
        </w:rPr>
        <w:t>;</w:t>
      </w:r>
    </w:p>
    <w:p w14:paraId="2017F936" w14:textId="77777777" w:rsidR="000938F2" w:rsidRPr="00E4090C" w:rsidRDefault="000938F2" w:rsidP="000938F2">
      <w:pPr>
        <w:pStyle w:val="ListParagraph"/>
        <w:numPr>
          <w:ilvl w:val="1"/>
          <w:numId w:val="11"/>
        </w:numPr>
        <w:ind w:left="720"/>
        <w:rPr>
          <w:bCs/>
        </w:rPr>
      </w:pPr>
      <w:r w:rsidRPr="00E4090C">
        <w:rPr>
          <w:bCs/>
        </w:rPr>
        <w:t xml:space="preserve">Preoperative use for fractures that require surgical intervention, or internal or external fixation (i.e., use of ultrasonic </w:t>
      </w:r>
      <w:r w:rsidR="00DD1BFA" w:rsidRPr="00E4090C">
        <w:rPr>
          <w:bCs/>
        </w:rPr>
        <w:t xml:space="preserve">bone growth stimulators </w:t>
      </w:r>
      <w:r w:rsidRPr="00E4090C">
        <w:rPr>
          <w:bCs/>
        </w:rPr>
        <w:t>for fractures in the preoperati</w:t>
      </w:r>
      <w:r w:rsidR="00ED5C72" w:rsidRPr="00E4090C">
        <w:rPr>
          <w:bCs/>
        </w:rPr>
        <w:t xml:space="preserve">ve period would not be </w:t>
      </w:r>
      <w:r w:rsidR="00DF0C6A" w:rsidRPr="00E4090C">
        <w:rPr>
          <w:bCs/>
        </w:rPr>
        <w:t>medically necessary</w:t>
      </w:r>
      <w:r w:rsidR="00ED5C72" w:rsidRPr="00E4090C">
        <w:rPr>
          <w:bCs/>
        </w:rPr>
        <w:t>)</w:t>
      </w:r>
      <w:r w:rsidR="00680F35" w:rsidRPr="00E4090C">
        <w:rPr>
          <w:bCs/>
        </w:rPr>
        <w:t>;</w:t>
      </w:r>
    </w:p>
    <w:p w14:paraId="52C049FC" w14:textId="77777777" w:rsidR="00C51115" w:rsidRPr="00E4090C" w:rsidRDefault="000938F2" w:rsidP="000938F2">
      <w:pPr>
        <w:pStyle w:val="ListParagraph"/>
        <w:numPr>
          <w:ilvl w:val="1"/>
          <w:numId w:val="11"/>
        </w:numPr>
        <w:ind w:left="720"/>
      </w:pPr>
      <w:r w:rsidRPr="00E4090C">
        <w:rPr>
          <w:bCs/>
        </w:rPr>
        <w:t>Tibial stress fractures</w:t>
      </w:r>
      <w:r w:rsidR="00680F35" w:rsidRPr="00E4090C">
        <w:rPr>
          <w:bCs/>
        </w:rPr>
        <w:t>.</w:t>
      </w:r>
    </w:p>
    <w:p w14:paraId="35E31952" w14:textId="77777777" w:rsidR="00F0427D" w:rsidRPr="00E4090C" w:rsidRDefault="00F0427D" w:rsidP="000938F2">
      <w:pPr>
        <w:tabs>
          <w:tab w:val="left" w:pos="360"/>
        </w:tabs>
      </w:pPr>
    </w:p>
    <w:p w14:paraId="644F3149" w14:textId="77777777" w:rsidR="00F0427D" w:rsidRPr="00E4090C" w:rsidRDefault="00F0427D" w:rsidP="00680F35">
      <w:pPr>
        <w:pStyle w:val="ListParagraph"/>
        <w:numPr>
          <w:ilvl w:val="0"/>
          <w:numId w:val="11"/>
        </w:numPr>
        <w:ind w:left="360" w:hanging="450"/>
      </w:pPr>
      <w:r w:rsidRPr="00E4090C">
        <w:t xml:space="preserve">It is the policy of health plans affiliated with Centene Corporation that osteogenic devices are </w:t>
      </w:r>
      <w:r w:rsidRPr="00E4090C">
        <w:rPr>
          <w:b/>
        </w:rPr>
        <w:t>not medically necessary</w:t>
      </w:r>
      <w:r w:rsidRPr="00E4090C">
        <w:t xml:space="preserve"> for </w:t>
      </w:r>
      <w:r w:rsidR="00680F35" w:rsidRPr="00E4090C">
        <w:t>n</w:t>
      </w:r>
      <w:r w:rsidR="00ED5C72" w:rsidRPr="00E4090C">
        <w:t>on</w:t>
      </w:r>
      <w:r w:rsidR="00110819" w:rsidRPr="00E4090C">
        <w:t>union fractures of the skull, vertebrae, or those</w:t>
      </w:r>
      <w:r w:rsidR="00ED5C72" w:rsidRPr="00E4090C">
        <w:t xml:space="preserve"> </w:t>
      </w:r>
      <w:r w:rsidRPr="00E4090C">
        <w:t xml:space="preserve">that are tumor-related. </w:t>
      </w:r>
    </w:p>
    <w:p w14:paraId="4D2296D5" w14:textId="77777777" w:rsidR="00FB139B" w:rsidRPr="00E4090C" w:rsidRDefault="00FB139B" w:rsidP="003840CC">
      <w:pPr>
        <w:rPr>
          <w:bCs/>
          <w:color w:val="000000"/>
        </w:rPr>
      </w:pPr>
    </w:p>
    <w:p w14:paraId="43015700" w14:textId="77777777" w:rsidR="005A70F3" w:rsidRDefault="00FB0592" w:rsidP="00CC52A7">
      <w:pPr>
        <w:pStyle w:val="Heading2"/>
      </w:pPr>
      <w:r w:rsidRPr="00E4090C">
        <w:rPr>
          <w:u w:val="none"/>
        </w:rPr>
        <w:t>Background</w:t>
      </w:r>
    </w:p>
    <w:p w14:paraId="25736AE0" w14:textId="77777777" w:rsidR="005A70F3" w:rsidRPr="00A161B1" w:rsidRDefault="005A70F3" w:rsidP="005A70F3">
      <w:pPr>
        <w:rPr>
          <w:vertAlign w:val="superscript"/>
        </w:rPr>
      </w:pPr>
      <w:r>
        <w:t xml:space="preserve">Of the estimated </w:t>
      </w:r>
      <w:r w:rsidR="00996BD9">
        <w:t>7</w:t>
      </w:r>
      <w:r w:rsidR="005A235E">
        <w:t>.9</w:t>
      </w:r>
      <w:r>
        <w:t xml:space="preserve"> million fractures that occur annually in the United States, approximately</w:t>
      </w:r>
      <w:r w:rsidR="00CC473C">
        <w:t xml:space="preserve"> five</w:t>
      </w:r>
      <w:r w:rsidR="00203D15">
        <w:t xml:space="preserve"> to</w:t>
      </w:r>
      <w:r>
        <w:t xml:space="preserve"> </w:t>
      </w:r>
      <w:r w:rsidR="00DF0C6A">
        <w:t xml:space="preserve">10 </w:t>
      </w:r>
      <w:r w:rsidR="00CC473C">
        <w:t>percent</w:t>
      </w:r>
      <w:r>
        <w:t xml:space="preserve"> will demonstrate signs of delayed or impaired healing</w:t>
      </w:r>
      <w:r w:rsidRPr="001F3D6C">
        <w:t>.</w:t>
      </w:r>
      <w:r w:rsidR="00BF15BB" w:rsidRPr="0008309A">
        <w:rPr>
          <w:vertAlign w:val="superscript"/>
        </w:rPr>
        <w:t>3</w:t>
      </w:r>
      <w:r w:rsidRPr="001F3D6C">
        <w:t xml:space="preserve"> The healing</w:t>
      </w:r>
      <w:r>
        <w:t xml:space="preserve"> of a bone fracture is a complex process that can be influenced by many factors. Standard management of fractures include stabilization of the fracture site with internal or external fixation devices, compression devices, and/or casting. In some cases, insufficient blood supply, inadequate immobilization at the fracture site, too </w:t>
      </w:r>
      <w:r w:rsidR="00703D5F">
        <w:t>much space</w:t>
      </w:r>
      <w:r>
        <w:t xml:space="preserve"> between ends of the fracture, infection, bone-tissue loss, poor nutrition, osteoporosis, or metabolic dysfunctions can interfere with normal healing and result in delayed union or nonunion of the fracture. Diagnosis of fracture nonunion is based on clinical findings of motion, pain, and tenderness at the fracture site and on findings from radiography, fluoroscopy, intraosseous venography, or bone scintigraphy. Treatment of nonunion generally consists of further or enhanced stabilization of the fracture site and the induction of osteogenesis. Stabilization is achieved with a cast or with internal or external fixation devices in order to realign and closely approximate fracture fragments, and bone grafts may be used to induce osteogenesis. Other methods available are those that are </w:t>
      </w:r>
      <w:r w:rsidRPr="001F3D6C">
        <w:t>designed to stimulate bone growth, such as electrical or low-intensity pulsed ultrasound (</w:t>
      </w:r>
      <w:r w:rsidR="00581246" w:rsidRPr="001F3D6C">
        <w:t>LIP</w:t>
      </w:r>
      <w:r w:rsidRPr="001F3D6C">
        <w:t>US) therapy.</w:t>
      </w:r>
      <w:r w:rsidR="00BF15BB" w:rsidRPr="0008309A">
        <w:rPr>
          <w:vertAlign w:val="superscript"/>
        </w:rPr>
        <w:t>4</w:t>
      </w:r>
      <w:r w:rsidR="00B528E3" w:rsidRPr="001F3D6C">
        <w:rPr>
          <w:vertAlign w:val="superscript"/>
        </w:rPr>
        <w:t>,</w:t>
      </w:r>
      <w:r w:rsidR="00BF15BB" w:rsidRPr="0008309A">
        <w:rPr>
          <w:vertAlign w:val="superscript"/>
        </w:rPr>
        <w:t>5</w:t>
      </w:r>
    </w:p>
    <w:p w14:paraId="57D7DEFA" w14:textId="77777777" w:rsidR="005A70F3" w:rsidRDefault="005A70F3" w:rsidP="005A70F3"/>
    <w:p w14:paraId="0F92013A" w14:textId="77777777" w:rsidR="005A70F3" w:rsidRDefault="005A70F3" w:rsidP="005A70F3">
      <w:r w:rsidRPr="005A70F3">
        <w:rPr>
          <w:i/>
        </w:rPr>
        <w:t>Ultrasonic (US) Osteogenic Stimulation</w:t>
      </w:r>
    </w:p>
    <w:p w14:paraId="6F45D0D4" w14:textId="77777777" w:rsidR="005A70F3" w:rsidRPr="00A161B1" w:rsidRDefault="005A70F3" w:rsidP="005A70F3">
      <w:pPr>
        <w:rPr>
          <w:vertAlign w:val="superscript"/>
        </w:rPr>
      </w:pPr>
      <w:r>
        <w:t xml:space="preserve">In </w:t>
      </w:r>
      <w:r w:rsidR="00193449">
        <w:t>LIPUS</w:t>
      </w:r>
      <w:r w:rsidR="007E511A">
        <w:t xml:space="preserve"> technology</w:t>
      </w:r>
      <w:r>
        <w:t xml:space="preserve">, mechanical energy is transmitted into the body as high-frequency acoustic pressure waves that apply micromechanical stresses and strain to the bone and surrounding tissues. While the exact mechanisms are unclear, </w:t>
      </w:r>
      <w:r w:rsidR="00042722">
        <w:t>LIP</w:t>
      </w:r>
      <w:r>
        <w:t xml:space="preserve">US causes biochemical changes at the cellular level that promote and accelerate bone formation, and thus, fracture healing. </w:t>
      </w:r>
      <w:r w:rsidR="00597A30">
        <w:t>LIP</w:t>
      </w:r>
      <w:r>
        <w:t>US therapy is used in conjunction with the stabilization of fresh fractures or as secondary therapy for nonunions that remain unhealed aft</w:t>
      </w:r>
      <w:r w:rsidR="009A73A1">
        <w:t xml:space="preserve">er surgery and other therapies. </w:t>
      </w:r>
      <w:r>
        <w:t xml:space="preserve">The patient uses the </w:t>
      </w:r>
      <w:r w:rsidR="00597A30" w:rsidRPr="001F3D6C">
        <w:t>LIP</w:t>
      </w:r>
      <w:r w:rsidRPr="001F3D6C">
        <w:t>US device, which is prescribed by a physician, at home for 20 minutes once daily until healing occurs.</w:t>
      </w:r>
      <w:r w:rsidR="00BF15BB" w:rsidRPr="0008309A">
        <w:rPr>
          <w:vertAlign w:val="superscript"/>
        </w:rPr>
        <w:t>5</w:t>
      </w:r>
      <w:r w:rsidR="00D63279" w:rsidRPr="001F3D6C">
        <w:rPr>
          <w:vertAlign w:val="superscript"/>
        </w:rPr>
        <w:t>,</w:t>
      </w:r>
      <w:r w:rsidR="00835E32" w:rsidRPr="0008309A">
        <w:rPr>
          <w:vertAlign w:val="superscript"/>
        </w:rPr>
        <w:t>6</w:t>
      </w:r>
      <w:r w:rsidR="00D63279" w:rsidRPr="001F3D6C">
        <w:rPr>
          <w:vertAlign w:val="superscript"/>
        </w:rPr>
        <w:t>,</w:t>
      </w:r>
      <w:r w:rsidR="00835E32" w:rsidRPr="0008309A">
        <w:rPr>
          <w:vertAlign w:val="superscript"/>
        </w:rPr>
        <w:t>7</w:t>
      </w:r>
    </w:p>
    <w:p w14:paraId="64694F26" w14:textId="77777777" w:rsidR="005A70F3" w:rsidRDefault="005A70F3" w:rsidP="005A70F3"/>
    <w:p w14:paraId="370E41A4" w14:textId="77777777" w:rsidR="005A70F3" w:rsidRPr="001F3D6C" w:rsidRDefault="00AA50B6" w:rsidP="005A70F3">
      <w:pPr>
        <w:rPr>
          <w:vertAlign w:val="superscript"/>
        </w:rPr>
      </w:pPr>
      <w:r>
        <w:lastRenderedPageBreak/>
        <w:t>LIP</w:t>
      </w:r>
      <w:r w:rsidR="005A70F3">
        <w:t xml:space="preserve">US therapy safely and effectively enhances the fracture healing process at the cellular, radiological, and clinical level. At-home use of the </w:t>
      </w:r>
      <w:r w:rsidR="002127CA">
        <w:t xml:space="preserve">LIPUS </w:t>
      </w:r>
      <w:r w:rsidR="005A70F3">
        <w:t xml:space="preserve">device accelerates fracture healing when used in conjunction with closed reduction and cast immobilization for the treatment of selected patients with fresh fractures of the tibia or radius that are treated within </w:t>
      </w:r>
      <w:r w:rsidR="00203D15">
        <w:t>seven</w:t>
      </w:r>
      <w:r w:rsidR="005A70F3">
        <w:t xml:space="preserve"> days post fracture. There is insufficient evidence to conclude that </w:t>
      </w:r>
      <w:r w:rsidR="00B0061E">
        <w:t>LIP</w:t>
      </w:r>
      <w:r w:rsidR="005A70F3">
        <w:t xml:space="preserve">US therapy is useful for any other type of fresh </w:t>
      </w:r>
      <w:r w:rsidR="005A70F3" w:rsidRPr="00835E32">
        <w:t>fracture.</w:t>
      </w:r>
      <w:r w:rsidR="00835E32">
        <w:rPr>
          <w:vertAlign w:val="superscript"/>
        </w:rPr>
        <w:t>5,8</w:t>
      </w:r>
      <w:r w:rsidR="005A70F3" w:rsidRPr="00835E32">
        <w:t xml:space="preserve"> </w:t>
      </w:r>
      <w:r w:rsidR="00493A14" w:rsidRPr="00835E32">
        <w:t>LIPUS</w:t>
      </w:r>
      <w:r w:rsidR="000A3F85">
        <w:t xml:space="preserve"> improved quality of life</w:t>
      </w:r>
      <w:r w:rsidR="00792BF8">
        <w:t xml:space="preserve"> when compared to placebo</w:t>
      </w:r>
      <w:r w:rsidR="000F7D81">
        <w:t xml:space="preserve"> for treatment of fresh fractures</w:t>
      </w:r>
      <w:r w:rsidR="00EA0DE7">
        <w:t>, in addition to</w:t>
      </w:r>
      <w:r w:rsidR="00E37A10">
        <w:t xml:space="preserve"> </w:t>
      </w:r>
      <w:r w:rsidR="00C8788C">
        <w:t xml:space="preserve">providing </w:t>
      </w:r>
      <w:r w:rsidR="00E37A10">
        <w:t>a</w:t>
      </w:r>
      <w:r w:rsidR="005A70F3">
        <w:t xml:space="preserve"> shorter period of immobilization, a more expedient return to normal activities, avoidance of the need for additional treatments, and reduced healthcare and related costs. These positive effects are most pronounced in patients with a higher risk of delayed healing or nonunion, such as smokers, older patients, or those with certain comorbidities</w:t>
      </w:r>
      <w:r w:rsidR="005A70F3" w:rsidRPr="001F3D6C">
        <w:t>.</w:t>
      </w:r>
      <w:r w:rsidR="00EE6D45" w:rsidRPr="0008309A">
        <w:rPr>
          <w:vertAlign w:val="superscript"/>
        </w:rPr>
        <w:t>5</w:t>
      </w:r>
      <w:r w:rsidR="00A038D6" w:rsidRPr="001F3D6C">
        <w:rPr>
          <w:vertAlign w:val="superscript"/>
        </w:rPr>
        <w:t>,</w:t>
      </w:r>
      <w:r w:rsidR="008966B6" w:rsidRPr="0008309A">
        <w:rPr>
          <w:vertAlign w:val="superscript"/>
        </w:rPr>
        <w:t>6</w:t>
      </w:r>
    </w:p>
    <w:p w14:paraId="38F90C71" w14:textId="77777777" w:rsidR="005A70F3" w:rsidRPr="001F3D6C" w:rsidRDefault="005A70F3" w:rsidP="005A70F3"/>
    <w:p w14:paraId="455F190D" w14:textId="77777777" w:rsidR="005A70F3" w:rsidRPr="0023755E" w:rsidRDefault="00B66786" w:rsidP="005A70F3">
      <w:r w:rsidRPr="001F3D6C">
        <w:t>LIP</w:t>
      </w:r>
      <w:r w:rsidR="005A70F3" w:rsidRPr="001F3D6C">
        <w:t>US therapy also promotes fracture healing in patients with nonunions with a fracture age</w:t>
      </w:r>
      <w:r w:rsidR="00CC473C" w:rsidRPr="001F3D6C">
        <w:t xml:space="preserve"> of greater than nine</w:t>
      </w:r>
      <w:r w:rsidR="005A70F3" w:rsidRPr="001F3D6C">
        <w:t xml:space="preserve"> months and in those with delayed unions with a fracture age of </w:t>
      </w:r>
      <w:r w:rsidR="00CC473C" w:rsidRPr="001F3D6C">
        <w:t>three</w:t>
      </w:r>
      <w:r w:rsidR="005A70F3" w:rsidRPr="001F3D6C">
        <w:t xml:space="preserve"> to </w:t>
      </w:r>
      <w:r w:rsidR="00CC473C" w:rsidRPr="001F3D6C">
        <w:t>nine</w:t>
      </w:r>
      <w:r w:rsidR="005A70F3" w:rsidRPr="001F3D6C">
        <w:t xml:space="preserve"> months in whom healing has ceased or is not progressing.</w:t>
      </w:r>
      <w:r w:rsidR="001F3D6C" w:rsidRPr="001F3D6C">
        <w:rPr>
          <w:vertAlign w:val="superscript"/>
        </w:rPr>
        <w:t>7,9</w:t>
      </w:r>
      <w:r w:rsidR="005A70F3" w:rsidRPr="001F3D6C">
        <w:t xml:space="preserve"> While there are some differences in healing rates among types of bones, the overall healing rates in patients with previously unhealed and poorly healing fractures</w:t>
      </w:r>
      <w:r w:rsidR="00D32057" w:rsidRPr="001F3D6C">
        <w:t xml:space="preserve"> </w:t>
      </w:r>
      <w:r w:rsidR="005A70F3" w:rsidRPr="001F3D6C">
        <w:t xml:space="preserve">were </w:t>
      </w:r>
      <w:r w:rsidR="003C18A6" w:rsidRPr="001F3D6C">
        <w:t>85</w:t>
      </w:r>
      <w:r w:rsidR="005A70F3" w:rsidRPr="001F3D6C">
        <w:t xml:space="preserve"> to</w:t>
      </w:r>
      <w:r w:rsidR="00CC473C" w:rsidRPr="001F3D6C">
        <w:t xml:space="preserve"> </w:t>
      </w:r>
      <w:r w:rsidR="003C18A6" w:rsidRPr="001F3D6C">
        <w:t>100%</w:t>
      </w:r>
      <w:r w:rsidR="005A70F3" w:rsidRPr="001F3D6C">
        <w:t xml:space="preserve">, respectively. </w:t>
      </w:r>
      <w:r w:rsidRPr="001F3D6C">
        <w:t>LIP</w:t>
      </w:r>
      <w:r w:rsidR="005A70F3" w:rsidRPr="001F3D6C">
        <w:t xml:space="preserve">US therapy promotes healing in complicated cases, such as those with metal implants or with fractures </w:t>
      </w:r>
      <w:r w:rsidR="00CC473C" w:rsidRPr="001F3D6C">
        <w:t>greater than three</w:t>
      </w:r>
      <w:r w:rsidR="005A70F3" w:rsidRPr="001F3D6C">
        <w:t xml:space="preserve"> years old.</w:t>
      </w:r>
      <w:r w:rsidR="001F3D6C" w:rsidRPr="0008309A">
        <w:rPr>
          <w:vertAlign w:val="superscript"/>
        </w:rPr>
        <w:t>10</w:t>
      </w:r>
    </w:p>
    <w:p w14:paraId="6C50E4EE" w14:textId="77777777" w:rsidR="005A70F3" w:rsidRDefault="005A70F3" w:rsidP="005A70F3"/>
    <w:p w14:paraId="766B7D29" w14:textId="77777777" w:rsidR="005A70F3" w:rsidRDefault="005A70F3" w:rsidP="005A70F3">
      <w:r w:rsidRPr="00E33E5E">
        <w:rPr>
          <w:i/>
        </w:rPr>
        <w:t>Electrical Osteogenic Stimulation</w:t>
      </w:r>
    </w:p>
    <w:p w14:paraId="14AD9418" w14:textId="77777777" w:rsidR="005A70F3" w:rsidRPr="00A161B1" w:rsidRDefault="005A70F3" w:rsidP="005A70F3">
      <w:pPr>
        <w:rPr>
          <w:vertAlign w:val="superscript"/>
        </w:rPr>
      </w:pPr>
      <w:r>
        <w:t>The clinical use of electrical stimulation for inducing osteogenesis at bone fracture and bone fusion sites began in the early 1970s. While the precise mechanism by which electrical energy may promote bone healing is not known, it is known that electrical potentials are produced in bone that is actively involved in the formation of new bone. Electrical bone growth stimulators fall into one of three categories: invasive, semi-invasive, or noninvasive. Invasive and semi-invasive devices, also called implantable electrical stimulators, utilize direct current that is delivered directly to the fracture site via implanted electrodes. Noninvasive systems utilize treatment coils situated externally around the fracture and an external power supply. Noninvasive bone growth stimulators deliver electrical current to the fracture site via capacitive coupling</w:t>
      </w:r>
      <w:r w:rsidR="009608A9">
        <w:t xml:space="preserve"> (CC)</w:t>
      </w:r>
      <w:r>
        <w:t>, pulsed electromagnetic field (PEMF), or combined electromagnetic field (C</w:t>
      </w:r>
      <w:r w:rsidR="00D33A21">
        <w:t>E</w:t>
      </w:r>
      <w:r>
        <w:t xml:space="preserve">MF) </w:t>
      </w:r>
      <w:r w:rsidRPr="00100D80">
        <w:t>technology.</w:t>
      </w:r>
      <w:r w:rsidR="00100D80" w:rsidRPr="00100D80">
        <w:rPr>
          <w:vertAlign w:val="superscript"/>
        </w:rPr>
        <w:t>1,</w:t>
      </w:r>
      <w:r w:rsidR="001F3D6C" w:rsidRPr="0008309A">
        <w:rPr>
          <w:vertAlign w:val="superscript"/>
        </w:rPr>
        <w:t>2</w:t>
      </w:r>
      <w:r w:rsidR="0085717A" w:rsidRPr="00100D80">
        <w:rPr>
          <w:vertAlign w:val="superscript"/>
        </w:rPr>
        <w:t>,</w:t>
      </w:r>
      <w:r w:rsidR="00100D80" w:rsidRPr="0008309A">
        <w:rPr>
          <w:vertAlign w:val="superscript"/>
        </w:rPr>
        <w:t>11</w:t>
      </w:r>
    </w:p>
    <w:p w14:paraId="62171C7B" w14:textId="77777777" w:rsidR="005A70F3" w:rsidRDefault="005A70F3" w:rsidP="005A70F3"/>
    <w:p w14:paraId="2BAC8AA1" w14:textId="77777777" w:rsidR="005A70F3" w:rsidRDefault="005A70F3" w:rsidP="005A70F3">
      <w:r>
        <w:t xml:space="preserve">Available evidence from </w:t>
      </w:r>
      <w:r w:rsidR="00F92B6E">
        <w:t>an FDA literary review</w:t>
      </w:r>
      <w:r w:rsidR="00DF09D7">
        <w:t xml:space="preserve"> </w:t>
      </w:r>
      <w:r w:rsidR="005C28E6">
        <w:t>confirms</w:t>
      </w:r>
      <w:r w:rsidR="00986D99">
        <w:t xml:space="preserve"> expected benefits </w:t>
      </w:r>
      <w:r w:rsidR="0065122F">
        <w:t xml:space="preserve">of </w:t>
      </w:r>
      <w:r w:rsidR="00461EC9">
        <w:t>PEMF and C</w:t>
      </w:r>
      <w:r w:rsidR="00333078">
        <w:t>E</w:t>
      </w:r>
      <w:r w:rsidR="00461EC9">
        <w:t>MF devices</w:t>
      </w:r>
      <w:r w:rsidR="00B251CB">
        <w:t>; however</w:t>
      </w:r>
      <w:r w:rsidR="0034230E">
        <w:t>,</w:t>
      </w:r>
      <w:r w:rsidR="009B3483">
        <w:t xml:space="preserve"> variation</w:t>
      </w:r>
      <w:r w:rsidR="00C2632A">
        <w:t xml:space="preserve"> in methodology, such as differences in </w:t>
      </w:r>
      <w:r w:rsidR="00482BDE">
        <w:t>devices used, anatomic location</w:t>
      </w:r>
      <w:r w:rsidR="005A11EA">
        <w:t xml:space="preserve">, treatment waveform and frequency, </w:t>
      </w:r>
      <w:r w:rsidR="005B4EEC">
        <w:t>and patient population</w:t>
      </w:r>
      <w:r w:rsidR="007420BD">
        <w:t xml:space="preserve">, likely account for the </w:t>
      </w:r>
      <w:r w:rsidR="00D51281">
        <w:t>effectiveness range</w:t>
      </w:r>
      <w:r w:rsidR="00983C45">
        <w:t xml:space="preserve"> of</w:t>
      </w:r>
      <w:r w:rsidR="00C140AC">
        <w:t xml:space="preserve"> 32.8% to 97.4%</w:t>
      </w:r>
      <w:r w:rsidR="00BC1524">
        <w:t xml:space="preserve">. </w:t>
      </w:r>
      <w:r w:rsidR="008D28A1">
        <w:t>No</w:t>
      </w:r>
      <w:r>
        <w:t>ninvasive electrical bone growth stimulation, particularly when delivered via PEMF, can stimulate healing of long bone fracture nonunion.</w:t>
      </w:r>
      <w:r w:rsidR="00BD11AB">
        <w:t xml:space="preserve"> A single arm prospective study</w:t>
      </w:r>
      <w:r w:rsidR="007F1D49">
        <w:t xml:space="preserve"> </w:t>
      </w:r>
      <w:r w:rsidR="00FA34EF">
        <w:t>findings demonstrated a 77.3% fusion rate in the tibia</w:t>
      </w:r>
      <w:r w:rsidR="00CE69AB">
        <w:t xml:space="preserve"> via PEMF. Additional ra</w:t>
      </w:r>
      <w:r w:rsidR="005E7881">
        <w:t>ndomized control studies</w:t>
      </w:r>
      <w:r w:rsidR="005962E3">
        <w:t xml:space="preserve"> resulted in an 83.6% fusion rate in the treatment group compared to a 68.6% fusion rate </w:t>
      </w:r>
      <w:r w:rsidR="00367BA8">
        <w:t>in the control group.</w:t>
      </w:r>
      <w:r>
        <w:t xml:space="preserve"> However, due to lack of sufficient data, no definitive conclusions can be drawn regarding the efficacy of noninvasive electrical stimulation for nonunions of appendicular bones </w:t>
      </w:r>
      <w:r w:rsidRPr="00100D80">
        <w:t>other than long bones.</w:t>
      </w:r>
      <w:r w:rsidR="00100D80" w:rsidRPr="0008309A">
        <w:rPr>
          <w:vertAlign w:val="superscript"/>
        </w:rPr>
        <w:t>11</w:t>
      </w:r>
      <w:r w:rsidRPr="00100D80">
        <w:t xml:space="preserve"> </w:t>
      </w:r>
      <w:r w:rsidR="00E11EB2" w:rsidRPr="00100D80">
        <w:t>There is limited evidence</w:t>
      </w:r>
      <w:r w:rsidR="00DF7EB7" w:rsidRPr="00100D80">
        <w:t xml:space="preserve"> to support the effectiveness of electromagnetic bone stimulation </w:t>
      </w:r>
      <w:r w:rsidR="002C5063" w:rsidRPr="00100D80">
        <w:t xml:space="preserve">to treat atypical or stress fractures that would otherwise </w:t>
      </w:r>
      <w:r w:rsidR="001C1F98" w:rsidRPr="00100D80">
        <w:t>require surgery.</w:t>
      </w:r>
      <w:r w:rsidR="00100D80" w:rsidRPr="0008309A">
        <w:rPr>
          <w:vertAlign w:val="superscript"/>
        </w:rPr>
        <w:t>4</w:t>
      </w:r>
      <w:r w:rsidR="001C1F98" w:rsidRPr="00100D80">
        <w:t xml:space="preserve"> </w:t>
      </w:r>
      <w:r w:rsidRPr="00100D80">
        <w:t>There</w:t>
      </w:r>
      <w:r>
        <w:t xml:space="preserve"> </w:t>
      </w:r>
      <w:r w:rsidR="009A6592">
        <w:t>is also</w:t>
      </w:r>
      <w:r>
        <w:t xml:space="preserve"> some evidence to support the efficacy of noninvasive electrical stimulation as an adjunct to surgery for spinal fusion, however, the </w:t>
      </w:r>
      <w:r>
        <w:lastRenderedPageBreak/>
        <w:t xml:space="preserve">evidence is less consistent. </w:t>
      </w:r>
      <w:r w:rsidR="00DC11E8">
        <w:t>One retrospective study</w:t>
      </w:r>
      <w:r w:rsidR="00FF39ED">
        <w:t xml:space="preserve"> </w:t>
      </w:r>
      <w:r w:rsidR="00720078">
        <w:t>of spinal fusion rates</w:t>
      </w:r>
      <w:r w:rsidR="0020515A">
        <w:t xml:space="preserve"> via PEMF showed a 73.2%</w:t>
      </w:r>
      <w:r w:rsidR="0067492B">
        <w:t xml:space="preserve"> fusion rate in the cervical s</w:t>
      </w:r>
      <w:r w:rsidR="0067492B" w:rsidRPr="008C2413">
        <w:t>pine at 6 mont</w:t>
      </w:r>
      <w:r w:rsidR="00BF1DEF" w:rsidRPr="008C2413">
        <w:t>hs.</w:t>
      </w:r>
      <w:r w:rsidR="00100D80" w:rsidRPr="0008309A">
        <w:rPr>
          <w:vertAlign w:val="superscript"/>
        </w:rPr>
        <w:t>1,11</w:t>
      </w:r>
      <w:r w:rsidR="00BF1DEF" w:rsidRPr="008C2413">
        <w:t xml:space="preserve"> </w:t>
      </w:r>
      <w:r w:rsidR="001B6222" w:rsidRPr="008C2413">
        <w:t xml:space="preserve">A </w:t>
      </w:r>
      <w:r w:rsidR="00F363CB" w:rsidRPr="008C2413">
        <w:t>preliminary observational</w:t>
      </w:r>
      <w:r w:rsidR="0003372B" w:rsidRPr="008C2413">
        <w:t xml:space="preserve"> </w:t>
      </w:r>
      <w:r w:rsidR="0067783F" w:rsidRPr="008C2413">
        <w:t xml:space="preserve">study designed to </w:t>
      </w:r>
      <w:r w:rsidR="006348CF" w:rsidRPr="008C2413">
        <w:t xml:space="preserve">investigate the role of CC </w:t>
      </w:r>
      <w:r w:rsidR="006F64E3" w:rsidRPr="008C2413">
        <w:t>to treat vertebral edema</w:t>
      </w:r>
      <w:r w:rsidR="002A1043" w:rsidRPr="008C2413">
        <w:t xml:space="preserve"> in acute vertebral compression fractures</w:t>
      </w:r>
      <w:r w:rsidR="0043030E" w:rsidRPr="008C2413">
        <w:t xml:space="preserve"> demonstrated improvement</w:t>
      </w:r>
      <w:r w:rsidR="00686988" w:rsidRPr="008C2413">
        <w:t xml:space="preserve"> in symptoms</w:t>
      </w:r>
      <w:r w:rsidR="00092426" w:rsidRPr="008C2413">
        <w:t xml:space="preserve">, </w:t>
      </w:r>
      <w:r w:rsidR="001C542C" w:rsidRPr="008C2413">
        <w:t>faster fracture healing and complete resolution of the vertebral edema.</w:t>
      </w:r>
      <w:r w:rsidR="008C2413" w:rsidRPr="0008309A">
        <w:rPr>
          <w:vertAlign w:val="superscript"/>
        </w:rPr>
        <w:t>12</w:t>
      </w:r>
      <w:r w:rsidR="001C542C" w:rsidRPr="008C2413">
        <w:t xml:space="preserve"> </w:t>
      </w:r>
      <w:r w:rsidR="00D92E83" w:rsidRPr="008C2413">
        <w:t>A</w:t>
      </w:r>
      <w:r w:rsidR="00D92E83">
        <w:t xml:space="preserve"> critical analysis </w:t>
      </w:r>
      <w:r w:rsidR="00341BF9">
        <w:t>of eleven studies</w:t>
      </w:r>
      <w:r w:rsidR="00817524">
        <w:t xml:space="preserve"> using CC notes </w:t>
      </w:r>
      <w:r w:rsidR="00B1504F">
        <w:t>high level of evidence</w:t>
      </w:r>
      <w:r w:rsidR="0041718C">
        <w:t xml:space="preserve"> for its effectiveness for treating nonunion fractures</w:t>
      </w:r>
      <w:r w:rsidR="002E40E5">
        <w:t xml:space="preserve">. </w:t>
      </w:r>
      <w:r w:rsidR="005F076F">
        <w:t>Although</w:t>
      </w:r>
      <w:r w:rsidR="003E25AD">
        <w:t xml:space="preserve"> electrical stimulation demonstrates promise</w:t>
      </w:r>
      <w:r w:rsidR="00AB2432">
        <w:t xml:space="preserve"> in promoting bone healing,</w:t>
      </w:r>
      <w:r w:rsidR="00564757">
        <w:t xml:space="preserve"> better-desi</w:t>
      </w:r>
      <w:r w:rsidR="00B03CD7">
        <w:t xml:space="preserve">gned clinical studies are needed </w:t>
      </w:r>
      <w:r w:rsidR="0026080C">
        <w:t xml:space="preserve">for </w:t>
      </w:r>
      <w:r w:rsidR="004648C8">
        <w:t xml:space="preserve">optimal </w:t>
      </w:r>
      <w:r w:rsidR="004648C8" w:rsidRPr="008C2413">
        <w:t>application</w:t>
      </w:r>
      <w:r w:rsidR="00AC1848" w:rsidRPr="008C2413">
        <w:t xml:space="preserve"> in</w:t>
      </w:r>
      <w:r w:rsidR="00A875CE" w:rsidRPr="008C2413">
        <w:t xml:space="preserve"> clinical practice.</w:t>
      </w:r>
      <w:r w:rsidR="008C2413" w:rsidRPr="0008309A">
        <w:rPr>
          <w:vertAlign w:val="superscript"/>
        </w:rPr>
        <w:t>13</w:t>
      </w:r>
      <w:r w:rsidR="00A875CE" w:rsidRPr="008C2413">
        <w:t xml:space="preserve"> </w:t>
      </w:r>
      <w:r w:rsidR="00982F46" w:rsidRPr="008C2413">
        <w:t xml:space="preserve">A </w:t>
      </w:r>
      <w:r w:rsidR="00597FF2" w:rsidRPr="008C2413">
        <w:t>recent small study of 29 patients</w:t>
      </w:r>
      <w:r w:rsidR="000268BC" w:rsidRPr="008C2413">
        <w:t xml:space="preserve"> with confirmed nonunion fractures</w:t>
      </w:r>
      <w:r w:rsidR="00B34725" w:rsidRPr="008C2413">
        <w:t xml:space="preserve"> </w:t>
      </w:r>
      <w:r w:rsidR="008713AC" w:rsidRPr="008C2413">
        <w:t>evaluated</w:t>
      </w:r>
      <w:r w:rsidR="00B34725" w:rsidRPr="008C2413">
        <w:t xml:space="preserve"> </w:t>
      </w:r>
      <w:r w:rsidR="001B5A0A" w:rsidRPr="008C2413">
        <w:t>union rates</w:t>
      </w:r>
      <w:r w:rsidR="0095522F" w:rsidRPr="008C2413">
        <w:t xml:space="preserve"> and times following C</w:t>
      </w:r>
      <w:r w:rsidR="006C47FF" w:rsidRPr="008C2413">
        <w:t>E</w:t>
      </w:r>
      <w:r w:rsidR="0095522F" w:rsidRPr="008C2413">
        <w:t xml:space="preserve">MF treatment. </w:t>
      </w:r>
      <w:r w:rsidR="004F455A" w:rsidRPr="008C2413">
        <w:t xml:space="preserve">Findings </w:t>
      </w:r>
      <w:r w:rsidR="008666C0" w:rsidRPr="008C2413">
        <w:t>demonstrated</w:t>
      </w:r>
      <w:r w:rsidR="00590143" w:rsidRPr="008C2413">
        <w:t xml:space="preserve"> an overall success ra</w:t>
      </w:r>
      <w:r w:rsidR="007F0AFD" w:rsidRPr="008C2413">
        <w:t>te of 84% with a</w:t>
      </w:r>
      <w:r w:rsidR="00384E58" w:rsidRPr="008C2413">
        <w:t>n</w:t>
      </w:r>
      <w:r w:rsidR="007F0AFD" w:rsidRPr="008C2413">
        <w:t xml:space="preserve"> average union time of 6.62 months.</w:t>
      </w:r>
      <w:r w:rsidR="00894711" w:rsidRPr="008C2413">
        <w:t xml:space="preserve"> </w:t>
      </w:r>
      <w:r w:rsidR="00176AE0" w:rsidRPr="008C2413">
        <w:t xml:space="preserve">Additional studies </w:t>
      </w:r>
      <w:r w:rsidR="00174746" w:rsidRPr="008C2413">
        <w:t xml:space="preserve">need to be conducted to confirm </w:t>
      </w:r>
      <w:r w:rsidR="00187E26" w:rsidRPr="008C2413">
        <w:t>efficacy conclusively.</w:t>
      </w:r>
      <w:r w:rsidR="008C2413" w:rsidRPr="0008309A">
        <w:rPr>
          <w:vertAlign w:val="superscript"/>
        </w:rPr>
        <w:t>14</w:t>
      </w:r>
      <w:r w:rsidR="00187E26" w:rsidRPr="008C2413">
        <w:t xml:space="preserve"> </w:t>
      </w:r>
      <w:r w:rsidR="00122851" w:rsidRPr="008C2413">
        <w:t>In one of the first studies to compare</w:t>
      </w:r>
      <w:r w:rsidR="00006B9F" w:rsidRPr="008C2413">
        <w:t xml:space="preserve"> PEMF and C</w:t>
      </w:r>
      <w:r w:rsidR="006C47FF" w:rsidRPr="008C2413">
        <w:t>E</w:t>
      </w:r>
      <w:r w:rsidR="00006B9F" w:rsidRPr="008C2413">
        <w:t>MF treatment following spinal fusion</w:t>
      </w:r>
      <w:r w:rsidR="00B276D2" w:rsidRPr="008C2413">
        <w:t xml:space="preserve"> in a group of 60 patients</w:t>
      </w:r>
      <w:r w:rsidR="005F2F1C" w:rsidRPr="008C2413">
        <w:t>, C</w:t>
      </w:r>
      <w:r w:rsidR="006C47FF" w:rsidRPr="008C2413">
        <w:t>E</w:t>
      </w:r>
      <w:r w:rsidR="005F2F1C" w:rsidRPr="008C2413">
        <w:t xml:space="preserve">MF </w:t>
      </w:r>
      <w:r w:rsidR="00DB0002" w:rsidRPr="008C2413">
        <w:t>was superior to PEMF, even though</w:t>
      </w:r>
      <w:r w:rsidR="00367872" w:rsidRPr="008C2413">
        <w:t>, the addition of the bone growth stimulators</w:t>
      </w:r>
      <w:r w:rsidR="000D40EF" w:rsidRPr="008C2413">
        <w:t xml:space="preserve"> did not improve fusion outcomes</w:t>
      </w:r>
      <w:r w:rsidR="00F34AF5" w:rsidRPr="008C2413">
        <w:t>.</w:t>
      </w:r>
      <w:r w:rsidR="008C2413" w:rsidRPr="0008309A">
        <w:rPr>
          <w:vertAlign w:val="superscript"/>
        </w:rPr>
        <w:t>15</w:t>
      </w:r>
      <w:r>
        <w:t xml:space="preserve"> </w:t>
      </w:r>
    </w:p>
    <w:p w14:paraId="154F0434" w14:textId="77777777" w:rsidR="005A70F3" w:rsidRDefault="005A70F3" w:rsidP="005A70F3"/>
    <w:p w14:paraId="1360FDD5" w14:textId="77777777" w:rsidR="005A70F3" w:rsidRPr="00A161B1" w:rsidRDefault="005A70F3" w:rsidP="005A70F3">
      <w:pPr>
        <w:rPr>
          <w:vertAlign w:val="superscript"/>
        </w:rPr>
      </w:pPr>
      <w:r>
        <w:t xml:space="preserve">Implantable electrical bone growth stimulators are FDA-approved for the treatment of nonunion of long bone fractures and as an adjunct to spinal fusion in patients at high-risk of pseudarthrosis due to previously failed spinal fusion at the same site or who require multilevel </w:t>
      </w:r>
      <w:r w:rsidRPr="001B717C">
        <w:t>fusion.</w:t>
      </w:r>
      <w:r w:rsidR="001B717C" w:rsidRPr="0008309A">
        <w:rPr>
          <w:vertAlign w:val="superscript"/>
        </w:rPr>
        <w:t>2</w:t>
      </w:r>
    </w:p>
    <w:p w14:paraId="0AF69E09" w14:textId="77777777" w:rsidR="009D5928" w:rsidRDefault="009D5928">
      <w:pPr>
        <w:rPr>
          <w:b/>
          <w:bCs/>
        </w:rPr>
      </w:pPr>
    </w:p>
    <w:p w14:paraId="321987F3" w14:textId="77777777" w:rsidR="00AF4482" w:rsidRPr="00721C72" w:rsidRDefault="00AF4482" w:rsidP="00AF4482">
      <w:pPr>
        <w:rPr>
          <w:b/>
        </w:rPr>
      </w:pPr>
      <w:r w:rsidRPr="00721C72">
        <w:rPr>
          <w:b/>
        </w:rPr>
        <w:t>Coding Implications</w:t>
      </w:r>
    </w:p>
    <w:p w14:paraId="18815676" w14:textId="77777777" w:rsidR="00AF4482" w:rsidRDefault="00AF4482" w:rsidP="00AF4482">
      <w:r>
        <w:t>This clinical policy references Current Procedural Terminology (CPT</w:t>
      </w:r>
      <w:r w:rsidRPr="00721C72">
        <w:rPr>
          <w:vertAlign w:val="superscript"/>
        </w:rPr>
        <w:t>®</w:t>
      </w:r>
      <w:r>
        <w:t>). CPT</w:t>
      </w:r>
      <w:r w:rsidRPr="00721C72">
        <w:rPr>
          <w:vertAlign w:val="superscript"/>
        </w:rPr>
        <w:t>®</w:t>
      </w:r>
      <w:r>
        <w:t xml:space="preserve"> is a registered trademark of the American Medical Association. All CPT codes and d</w:t>
      </w:r>
      <w:r w:rsidR="00ED7F32">
        <w:t xml:space="preserve">escriptions are copyrighted </w:t>
      </w:r>
      <w:r w:rsidR="009A1D21">
        <w:t>2024</w:t>
      </w:r>
      <w:r>
        <w:t>, American Medical Association. All rights reserved. CPT codes and CPT descriptions are from the current manuals and those included herein are not intended to be all-inclusive and are included f</w:t>
      </w:r>
      <w:r w:rsidR="00E37CE3">
        <w:t>or informational purposes only.</w:t>
      </w:r>
      <w:r>
        <w:t xml:space="preserve"> Codes referenced in this clinical policy are fo</w:t>
      </w:r>
      <w:r w:rsidR="009A73A1">
        <w:t xml:space="preserve">r informational purposes only. </w:t>
      </w:r>
      <w:r>
        <w:t>Inclusion or exclusion of any codes does not guarante</w:t>
      </w:r>
      <w:r w:rsidR="00E37CE3">
        <w:t xml:space="preserve">e coverage. </w:t>
      </w:r>
      <w:r>
        <w:t>Providers should reference the most up-to-date sources of professional coding guidance prior to the submission of claims for reimbursement of covered services.</w:t>
      </w:r>
    </w:p>
    <w:p w14:paraId="34DEB6E6" w14:textId="77777777" w:rsidR="00AF4482" w:rsidRDefault="00AF4482" w:rsidP="00AF448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4"/>
        <w:gridCol w:w="8511"/>
      </w:tblGrid>
      <w:tr w:rsidR="00AF4482" w:rsidRPr="00A23291" w14:paraId="750D6A59" w14:textId="77777777" w:rsidTr="00A01892">
        <w:trPr>
          <w:tblHeader/>
        </w:trPr>
        <w:tc>
          <w:tcPr>
            <w:tcW w:w="1114" w:type="dxa"/>
            <w:tcBorders>
              <w:top w:val="single" w:sz="4" w:space="0" w:color="auto"/>
              <w:left w:val="single" w:sz="4" w:space="0" w:color="auto"/>
              <w:bottom w:val="single" w:sz="4" w:space="0" w:color="auto"/>
              <w:right w:val="single" w:sz="4" w:space="0" w:color="auto"/>
            </w:tcBorders>
            <w:shd w:val="clear" w:color="auto" w:fill="00548C"/>
            <w:hideMark/>
          </w:tcPr>
          <w:p w14:paraId="5F1B5AB6" w14:textId="77777777" w:rsidR="00AF4482" w:rsidRPr="00A23291" w:rsidRDefault="00AF4482" w:rsidP="00A01892">
            <w:pPr>
              <w:rPr>
                <w:b/>
                <w:bCs/>
                <w:color w:val="FFFFFF"/>
              </w:rPr>
            </w:pPr>
            <w:r w:rsidRPr="00A23291">
              <w:rPr>
                <w:b/>
                <w:color w:val="FFFFFF"/>
              </w:rPr>
              <w:t>CPT</w:t>
            </w:r>
            <w:r w:rsidRPr="00A23291">
              <w:rPr>
                <w:b/>
                <w:color w:val="FFFFFF"/>
                <w:vertAlign w:val="superscript"/>
              </w:rPr>
              <w:t>®*</w:t>
            </w:r>
            <w:r w:rsidRPr="00A23291">
              <w:rPr>
                <w:b/>
                <w:color w:val="FFFFFF"/>
              </w:rPr>
              <w:t xml:space="preserve"> Codes </w:t>
            </w:r>
          </w:p>
        </w:tc>
        <w:tc>
          <w:tcPr>
            <w:tcW w:w="8511" w:type="dxa"/>
            <w:tcBorders>
              <w:top w:val="single" w:sz="4" w:space="0" w:color="auto"/>
              <w:left w:val="single" w:sz="4" w:space="0" w:color="auto"/>
              <w:bottom w:val="single" w:sz="4" w:space="0" w:color="auto"/>
              <w:right w:val="single" w:sz="4" w:space="0" w:color="auto"/>
            </w:tcBorders>
            <w:shd w:val="clear" w:color="auto" w:fill="00548C"/>
            <w:hideMark/>
          </w:tcPr>
          <w:p w14:paraId="3773EB0F" w14:textId="77777777" w:rsidR="00AF4482" w:rsidRPr="00A23291" w:rsidRDefault="00AF4482" w:rsidP="00A01892">
            <w:pPr>
              <w:rPr>
                <w:b/>
                <w:bCs/>
                <w:color w:val="FFFFFF"/>
              </w:rPr>
            </w:pPr>
            <w:r w:rsidRPr="00A23291">
              <w:rPr>
                <w:b/>
                <w:color w:val="FFFFFF"/>
              </w:rPr>
              <w:t>Description</w:t>
            </w:r>
          </w:p>
        </w:tc>
      </w:tr>
      <w:tr w:rsidR="00AF4482" w:rsidRPr="00A23291" w14:paraId="5CF61F54" w14:textId="77777777" w:rsidTr="00A01892">
        <w:tc>
          <w:tcPr>
            <w:tcW w:w="1114" w:type="dxa"/>
            <w:tcBorders>
              <w:top w:val="single" w:sz="4" w:space="0" w:color="auto"/>
              <w:left w:val="single" w:sz="4" w:space="0" w:color="auto"/>
              <w:bottom w:val="single" w:sz="4" w:space="0" w:color="auto"/>
              <w:right w:val="single" w:sz="4" w:space="0" w:color="auto"/>
            </w:tcBorders>
            <w:hideMark/>
          </w:tcPr>
          <w:p w14:paraId="1EB5D89D" w14:textId="77777777" w:rsidR="00AF4482" w:rsidRPr="00A23291" w:rsidRDefault="00AF4482" w:rsidP="00A01892">
            <w:pPr>
              <w:rPr>
                <w:bCs/>
              </w:rPr>
            </w:pPr>
          </w:p>
        </w:tc>
        <w:tc>
          <w:tcPr>
            <w:tcW w:w="8511" w:type="dxa"/>
            <w:tcBorders>
              <w:top w:val="single" w:sz="4" w:space="0" w:color="auto"/>
              <w:left w:val="single" w:sz="4" w:space="0" w:color="auto"/>
              <w:bottom w:val="single" w:sz="4" w:space="0" w:color="auto"/>
              <w:right w:val="single" w:sz="4" w:space="0" w:color="auto"/>
            </w:tcBorders>
            <w:hideMark/>
          </w:tcPr>
          <w:p w14:paraId="4143B150" w14:textId="77777777" w:rsidR="00AF4482" w:rsidRPr="00A23291" w:rsidRDefault="00AF4482" w:rsidP="00A01892">
            <w:pPr>
              <w:rPr>
                <w:bCs/>
              </w:rPr>
            </w:pPr>
          </w:p>
        </w:tc>
      </w:tr>
      <w:tr w:rsidR="00AF4482" w:rsidRPr="00A23291" w14:paraId="153E4ABF" w14:textId="77777777" w:rsidTr="00AF4482">
        <w:tc>
          <w:tcPr>
            <w:tcW w:w="1114" w:type="dxa"/>
            <w:tcBorders>
              <w:top w:val="single" w:sz="4" w:space="0" w:color="auto"/>
              <w:left w:val="single" w:sz="4" w:space="0" w:color="auto"/>
              <w:bottom w:val="single" w:sz="4" w:space="0" w:color="auto"/>
              <w:right w:val="single" w:sz="4" w:space="0" w:color="auto"/>
            </w:tcBorders>
          </w:tcPr>
          <w:p w14:paraId="691CCE7A" w14:textId="77777777" w:rsidR="00AF4482" w:rsidRPr="00A23291" w:rsidRDefault="00C647C6" w:rsidP="00A01892">
            <w:pPr>
              <w:rPr>
                <w:bCs/>
              </w:rPr>
            </w:pPr>
            <w:r w:rsidRPr="00A23291">
              <w:rPr>
                <w:bCs/>
              </w:rPr>
              <w:t>20974</w:t>
            </w:r>
          </w:p>
        </w:tc>
        <w:tc>
          <w:tcPr>
            <w:tcW w:w="8511" w:type="dxa"/>
            <w:tcBorders>
              <w:top w:val="single" w:sz="4" w:space="0" w:color="auto"/>
              <w:left w:val="single" w:sz="4" w:space="0" w:color="auto"/>
              <w:bottom w:val="single" w:sz="4" w:space="0" w:color="auto"/>
              <w:right w:val="single" w:sz="4" w:space="0" w:color="auto"/>
            </w:tcBorders>
          </w:tcPr>
          <w:p w14:paraId="112A0CEB" w14:textId="77777777" w:rsidR="00AF4482" w:rsidRPr="00A23291" w:rsidRDefault="00C647C6" w:rsidP="00A01892">
            <w:pPr>
              <w:rPr>
                <w:bCs/>
              </w:rPr>
            </w:pPr>
            <w:r w:rsidRPr="00A23291">
              <w:rPr>
                <w:bCs/>
              </w:rPr>
              <w:t>Electrical stimulation to aid bone healing; noninvasive (nonoperative)</w:t>
            </w:r>
          </w:p>
        </w:tc>
      </w:tr>
      <w:tr w:rsidR="00AF4482" w:rsidRPr="00A23291" w14:paraId="24197062" w14:textId="77777777" w:rsidTr="00AF4482">
        <w:tc>
          <w:tcPr>
            <w:tcW w:w="1114" w:type="dxa"/>
            <w:tcBorders>
              <w:top w:val="single" w:sz="4" w:space="0" w:color="auto"/>
              <w:left w:val="single" w:sz="4" w:space="0" w:color="auto"/>
              <w:bottom w:val="single" w:sz="4" w:space="0" w:color="auto"/>
              <w:right w:val="single" w:sz="4" w:space="0" w:color="auto"/>
            </w:tcBorders>
          </w:tcPr>
          <w:p w14:paraId="11C63DC8" w14:textId="77777777" w:rsidR="00AF4482" w:rsidRPr="00A23291" w:rsidRDefault="00C647C6" w:rsidP="00A01892">
            <w:pPr>
              <w:rPr>
                <w:bCs/>
              </w:rPr>
            </w:pPr>
            <w:r w:rsidRPr="00A23291">
              <w:rPr>
                <w:bCs/>
              </w:rPr>
              <w:t>20975</w:t>
            </w:r>
          </w:p>
        </w:tc>
        <w:tc>
          <w:tcPr>
            <w:tcW w:w="8511" w:type="dxa"/>
            <w:tcBorders>
              <w:top w:val="single" w:sz="4" w:space="0" w:color="auto"/>
              <w:left w:val="single" w:sz="4" w:space="0" w:color="auto"/>
              <w:bottom w:val="single" w:sz="4" w:space="0" w:color="auto"/>
              <w:right w:val="single" w:sz="4" w:space="0" w:color="auto"/>
            </w:tcBorders>
          </w:tcPr>
          <w:p w14:paraId="7D3CE490" w14:textId="77777777" w:rsidR="00AF4482" w:rsidRPr="00A23291" w:rsidRDefault="00C647C6" w:rsidP="00A01892">
            <w:pPr>
              <w:rPr>
                <w:bCs/>
              </w:rPr>
            </w:pPr>
            <w:r w:rsidRPr="00A23291">
              <w:rPr>
                <w:bCs/>
              </w:rPr>
              <w:t xml:space="preserve">Electrical stimulation to aid bone healing; invasive (operative) </w:t>
            </w:r>
          </w:p>
        </w:tc>
      </w:tr>
      <w:tr w:rsidR="00AF4482" w:rsidRPr="00A23291" w14:paraId="136C4B9F" w14:textId="77777777" w:rsidTr="00AF4482">
        <w:tc>
          <w:tcPr>
            <w:tcW w:w="1114" w:type="dxa"/>
            <w:tcBorders>
              <w:top w:val="single" w:sz="4" w:space="0" w:color="auto"/>
              <w:left w:val="single" w:sz="4" w:space="0" w:color="auto"/>
              <w:bottom w:val="single" w:sz="4" w:space="0" w:color="auto"/>
              <w:right w:val="single" w:sz="4" w:space="0" w:color="auto"/>
            </w:tcBorders>
          </w:tcPr>
          <w:p w14:paraId="7EF9340B" w14:textId="77777777" w:rsidR="00AF4482" w:rsidRPr="00A23291" w:rsidRDefault="00C647C6" w:rsidP="00A01892">
            <w:pPr>
              <w:rPr>
                <w:bCs/>
              </w:rPr>
            </w:pPr>
            <w:r w:rsidRPr="00A23291">
              <w:rPr>
                <w:bCs/>
              </w:rPr>
              <w:t>20979</w:t>
            </w:r>
          </w:p>
        </w:tc>
        <w:tc>
          <w:tcPr>
            <w:tcW w:w="8511" w:type="dxa"/>
            <w:tcBorders>
              <w:top w:val="single" w:sz="4" w:space="0" w:color="auto"/>
              <w:left w:val="single" w:sz="4" w:space="0" w:color="auto"/>
              <w:bottom w:val="single" w:sz="4" w:space="0" w:color="auto"/>
              <w:right w:val="single" w:sz="4" w:space="0" w:color="auto"/>
            </w:tcBorders>
          </w:tcPr>
          <w:p w14:paraId="394E7F09" w14:textId="77777777" w:rsidR="00AF4482" w:rsidRPr="00A23291" w:rsidRDefault="00C647C6" w:rsidP="00A01892">
            <w:pPr>
              <w:rPr>
                <w:bCs/>
              </w:rPr>
            </w:pPr>
            <w:r w:rsidRPr="00A23291">
              <w:rPr>
                <w:bCs/>
              </w:rPr>
              <w:t>Low intensity ultrasound stimulation to aid bone healing, noninvasive (nonoperative)</w:t>
            </w:r>
          </w:p>
        </w:tc>
      </w:tr>
    </w:tbl>
    <w:p w14:paraId="3C9DD3F3" w14:textId="77777777" w:rsidR="00AF4482" w:rsidRPr="00A23291" w:rsidRDefault="00AF4482" w:rsidP="00AF4482">
      <w:pPr>
        <w:rPr>
          <w:sz w:val="20"/>
        </w:rPr>
      </w:pPr>
    </w:p>
    <w:p w14:paraId="0DD8EC2B" w14:textId="77777777" w:rsidR="00C647C6" w:rsidRPr="00A23291" w:rsidRDefault="00C647C6" w:rsidP="00AF448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45"/>
        <w:gridCol w:w="8280"/>
      </w:tblGrid>
      <w:tr w:rsidR="00AF4482" w:rsidRPr="00A23291" w14:paraId="72FFA606" w14:textId="77777777" w:rsidTr="00A01892">
        <w:trPr>
          <w:tblHeader/>
        </w:trPr>
        <w:tc>
          <w:tcPr>
            <w:tcW w:w="1345" w:type="dxa"/>
            <w:tcBorders>
              <w:top w:val="single" w:sz="4" w:space="0" w:color="auto"/>
              <w:left w:val="single" w:sz="4" w:space="0" w:color="auto"/>
              <w:bottom w:val="single" w:sz="4" w:space="0" w:color="auto"/>
              <w:right w:val="single" w:sz="4" w:space="0" w:color="auto"/>
            </w:tcBorders>
            <w:shd w:val="clear" w:color="auto" w:fill="00548C"/>
            <w:hideMark/>
          </w:tcPr>
          <w:p w14:paraId="55E8EDC2" w14:textId="77777777" w:rsidR="00AF4482" w:rsidRPr="00A23291" w:rsidRDefault="00AF4482" w:rsidP="00A01892">
            <w:pPr>
              <w:rPr>
                <w:b/>
                <w:bCs/>
                <w:color w:val="FFFFFF"/>
              </w:rPr>
            </w:pPr>
            <w:r w:rsidRPr="00A23291">
              <w:rPr>
                <w:b/>
                <w:color w:val="FFFFFF"/>
              </w:rPr>
              <w:t xml:space="preserve">HCPCS </w:t>
            </w:r>
            <w:r w:rsidRPr="00A23291">
              <w:rPr>
                <w:b/>
                <w:color w:val="FFFFFF"/>
                <w:vertAlign w:val="superscript"/>
              </w:rPr>
              <w:t>®*</w:t>
            </w:r>
            <w:r w:rsidRPr="00A23291">
              <w:rPr>
                <w:b/>
                <w:color w:val="FFFFFF"/>
              </w:rPr>
              <w:t xml:space="preserve"> Codes </w:t>
            </w:r>
          </w:p>
        </w:tc>
        <w:tc>
          <w:tcPr>
            <w:tcW w:w="8280" w:type="dxa"/>
            <w:tcBorders>
              <w:top w:val="single" w:sz="4" w:space="0" w:color="auto"/>
              <w:left w:val="single" w:sz="4" w:space="0" w:color="auto"/>
              <w:bottom w:val="single" w:sz="4" w:space="0" w:color="auto"/>
              <w:right w:val="single" w:sz="4" w:space="0" w:color="auto"/>
            </w:tcBorders>
            <w:shd w:val="clear" w:color="auto" w:fill="00548C"/>
            <w:hideMark/>
          </w:tcPr>
          <w:p w14:paraId="63F617E5" w14:textId="77777777" w:rsidR="00AF4482" w:rsidRPr="00A23291" w:rsidRDefault="00AF4482" w:rsidP="00A01892">
            <w:pPr>
              <w:rPr>
                <w:b/>
                <w:bCs/>
                <w:color w:val="FFFFFF"/>
              </w:rPr>
            </w:pPr>
            <w:r w:rsidRPr="00A23291">
              <w:rPr>
                <w:b/>
                <w:color w:val="FFFFFF"/>
              </w:rPr>
              <w:t>Description</w:t>
            </w:r>
          </w:p>
        </w:tc>
      </w:tr>
      <w:tr w:rsidR="00AF4482" w:rsidRPr="00A23291" w14:paraId="0EC5C036" w14:textId="77777777" w:rsidTr="00A01892">
        <w:tc>
          <w:tcPr>
            <w:tcW w:w="1345" w:type="dxa"/>
            <w:tcBorders>
              <w:top w:val="single" w:sz="4" w:space="0" w:color="auto"/>
              <w:left w:val="single" w:sz="4" w:space="0" w:color="auto"/>
              <w:bottom w:val="single" w:sz="4" w:space="0" w:color="auto"/>
              <w:right w:val="single" w:sz="4" w:space="0" w:color="auto"/>
            </w:tcBorders>
            <w:hideMark/>
          </w:tcPr>
          <w:p w14:paraId="54911B5B" w14:textId="77777777" w:rsidR="00AF4482" w:rsidRPr="00A23291" w:rsidRDefault="00AF4482" w:rsidP="00A01892">
            <w:pPr>
              <w:rPr>
                <w:bCs/>
              </w:rPr>
            </w:pPr>
          </w:p>
        </w:tc>
        <w:tc>
          <w:tcPr>
            <w:tcW w:w="8280" w:type="dxa"/>
            <w:tcBorders>
              <w:top w:val="single" w:sz="4" w:space="0" w:color="auto"/>
              <w:left w:val="single" w:sz="4" w:space="0" w:color="auto"/>
              <w:bottom w:val="single" w:sz="4" w:space="0" w:color="auto"/>
              <w:right w:val="single" w:sz="4" w:space="0" w:color="auto"/>
            </w:tcBorders>
            <w:hideMark/>
          </w:tcPr>
          <w:p w14:paraId="5DD3508B" w14:textId="77777777" w:rsidR="00AF4482" w:rsidRPr="00A23291" w:rsidRDefault="00AF4482" w:rsidP="00A01892">
            <w:pPr>
              <w:rPr>
                <w:bCs/>
              </w:rPr>
            </w:pPr>
          </w:p>
        </w:tc>
      </w:tr>
      <w:tr w:rsidR="00AF4482" w:rsidRPr="00A23291" w14:paraId="5812F859" w14:textId="77777777" w:rsidTr="00AF4482">
        <w:tc>
          <w:tcPr>
            <w:tcW w:w="1345" w:type="dxa"/>
            <w:tcBorders>
              <w:top w:val="single" w:sz="4" w:space="0" w:color="auto"/>
              <w:left w:val="single" w:sz="4" w:space="0" w:color="auto"/>
              <w:bottom w:val="single" w:sz="4" w:space="0" w:color="auto"/>
              <w:right w:val="single" w:sz="4" w:space="0" w:color="auto"/>
            </w:tcBorders>
          </w:tcPr>
          <w:p w14:paraId="536B97AE" w14:textId="77777777" w:rsidR="00AF4482" w:rsidRPr="00A23291" w:rsidRDefault="00C647C6" w:rsidP="00A01892">
            <w:pPr>
              <w:rPr>
                <w:bCs/>
              </w:rPr>
            </w:pPr>
            <w:r w:rsidRPr="00A23291">
              <w:rPr>
                <w:bCs/>
              </w:rPr>
              <w:t>A4559</w:t>
            </w:r>
          </w:p>
        </w:tc>
        <w:tc>
          <w:tcPr>
            <w:tcW w:w="8280" w:type="dxa"/>
            <w:tcBorders>
              <w:top w:val="single" w:sz="4" w:space="0" w:color="auto"/>
              <w:left w:val="single" w:sz="4" w:space="0" w:color="auto"/>
              <w:bottom w:val="single" w:sz="4" w:space="0" w:color="auto"/>
              <w:right w:val="single" w:sz="4" w:space="0" w:color="auto"/>
            </w:tcBorders>
          </w:tcPr>
          <w:p w14:paraId="61A6D3AA" w14:textId="77777777" w:rsidR="00AF4482" w:rsidRPr="00A23291" w:rsidRDefault="00C647C6" w:rsidP="00A01892">
            <w:pPr>
              <w:rPr>
                <w:bCs/>
              </w:rPr>
            </w:pPr>
            <w:r w:rsidRPr="00A23291">
              <w:rPr>
                <w:bCs/>
              </w:rPr>
              <w:t xml:space="preserve">Coupling gel or paste, for use with ultrasound device, per oz. </w:t>
            </w:r>
          </w:p>
        </w:tc>
      </w:tr>
      <w:tr w:rsidR="00AF4482" w:rsidRPr="00A23291" w14:paraId="377D4295" w14:textId="77777777" w:rsidTr="00A01892">
        <w:tc>
          <w:tcPr>
            <w:tcW w:w="1345" w:type="dxa"/>
            <w:tcBorders>
              <w:top w:val="single" w:sz="4" w:space="0" w:color="auto"/>
              <w:left w:val="single" w:sz="4" w:space="0" w:color="auto"/>
              <w:bottom w:val="single" w:sz="4" w:space="0" w:color="auto"/>
              <w:right w:val="single" w:sz="4" w:space="0" w:color="auto"/>
            </w:tcBorders>
          </w:tcPr>
          <w:p w14:paraId="6ACE5522" w14:textId="77777777" w:rsidR="00AF4482" w:rsidRPr="00A23291" w:rsidRDefault="00C647C6" w:rsidP="00A01892">
            <w:pPr>
              <w:rPr>
                <w:bCs/>
              </w:rPr>
            </w:pPr>
            <w:r w:rsidRPr="00A23291">
              <w:rPr>
                <w:bCs/>
              </w:rPr>
              <w:t>E0747</w:t>
            </w:r>
          </w:p>
        </w:tc>
        <w:tc>
          <w:tcPr>
            <w:tcW w:w="8280" w:type="dxa"/>
            <w:tcBorders>
              <w:top w:val="single" w:sz="4" w:space="0" w:color="auto"/>
              <w:left w:val="single" w:sz="4" w:space="0" w:color="auto"/>
              <w:bottom w:val="single" w:sz="4" w:space="0" w:color="auto"/>
              <w:right w:val="single" w:sz="4" w:space="0" w:color="auto"/>
            </w:tcBorders>
          </w:tcPr>
          <w:p w14:paraId="08A4DB49" w14:textId="77777777" w:rsidR="00AF4482" w:rsidRPr="00A23291" w:rsidRDefault="00C647C6" w:rsidP="00A01892">
            <w:pPr>
              <w:rPr>
                <w:bCs/>
              </w:rPr>
            </w:pPr>
            <w:r w:rsidRPr="00A23291">
              <w:rPr>
                <w:bCs/>
              </w:rPr>
              <w:t xml:space="preserve">Osteogenesis stimulator; electrical, noninvasive, other than spinal applications </w:t>
            </w:r>
          </w:p>
        </w:tc>
      </w:tr>
      <w:tr w:rsidR="00AF4482" w:rsidRPr="00A23291" w14:paraId="65A49CC1" w14:textId="77777777" w:rsidTr="00A01892">
        <w:tc>
          <w:tcPr>
            <w:tcW w:w="1345" w:type="dxa"/>
            <w:tcBorders>
              <w:top w:val="single" w:sz="4" w:space="0" w:color="auto"/>
              <w:left w:val="single" w:sz="4" w:space="0" w:color="auto"/>
              <w:bottom w:val="single" w:sz="4" w:space="0" w:color="auto"/>
              <w:right w:val="single" w:sz="4" w:space="0" w:color="auto"/>
            </w:tcBorders>
          </w:tcPr>
          <w:p w14:paraId="5B701768" w14:textId="77777777" w:rsidR="00AF4482" w:rsidRPr="00A23291" w:rsidRDefault="00C647C6" w:rsidP="00A01892">
            <w:pPr>
              <w:rPr>
                <w:bCs/>
              </w:rPr>
            </w:pPr>
            <w:r w:rsidRPr="00A23291">
              <w:rPr>
                <w:bCs/>
              </w:rPr>
              <w:t>E0748</w:t>
            </w:r>
          </w:p>
        </w:tc>
        <w:tc>
          <w:tcPr>
            <w:tcW w:w="8280" w:type="dxa"/>
            <w:tcBorders>
              <w:top w:val="single" w:sz="4" w:space="0" w:color="auto"/>
              <w:left w:val="single" w:sz="4" w:space="0" w:color="auto"/>
              <w:bottom w:val="single" w:sz="4" w:space="0" w:color="auto"/>
              <w:right w:val="single" w:sz="4" w:space="0" w:color="auto"/>
            </w:tcBorders>
          </w:tcPr>
          <w:p w14:paraId="763EE358" w14:textId="77777777" w:rsidR="00AF4482" w:rsidRPr="00A23291" w:rsidRDefault="00C647C6" w:rsidP="00A01892">
            <w:pPr>
              <w:rPr>
                <w:bCs/>
              </w:rPr>
            </w:pPr>
            <w:r w:rsidRPr="00A23291">
              <w:rPr>
                <w:bCs/>
              </w:rPr>
              <w:t>Osteogenesis stimulator; electrical, noninvasive, spinal applications</w:t>
            </w:r>
          </w:p>
        </w:tc>
      </w:tr>
      <w:tr w:rsidR="00AF4482" w:rsidRPr="00A23291" w14:paraId="03D3536E" w14:textId="77777777" w:rsidTr="00A01892">
        <w:tc>
          <w:tcPr>
            <w:tcW w:w="1345" w:type="dxa"/>
            <w:tcBorders>
              <w:top w:val="single" w:sz="4" w:space="0" w:color="auto"/>
              <w:left w:val="single" w:sz="4" w:space="0" w:color="auto"/>
              <w:bottom w:val="single" w:sz="4" w:space="0" w:color="auto"/>
              <w:right w:val="single" w:sz="4" w:space="0" w:color="auto"/>
            </w:tcBorders>
          </w:tcPr>
          <w:p w14:paraId="771E86A1" w14:textId="77777777" w:rsidR="00AF4482" w:rsidRPr="00A23291" w:rsidRDefault="00C647C6" w:rsidP="00A01892">
            <w:pPr>
              <w:rPr>
                <w:bCs/>
              </w:rPr>
            </w:pPr>
            <w:r w:rsidRPr="00A23291">
              <w:rPr>
                <w:bCs/>
              </w:rPr>
              <w:t>E0749</w:t>
            </w:r>
          </w:p>
        </w:tc>
        <w:tc>
          <w:tcPr>
            <w:tcW w:w="8280" w:type="dxa"/>
            <w:tcBorders>
              <w:top w:val="single" w:sz="4" w:space="0" w:color="auto"/>
              <w:left w:val="single" w:sz="4" w:space="0" w:color="auto"/>
              <w:bottom w:val="single" w:sz="4" w:space="0" w:color="auto"/>
              <w:right w:val="single" w:sz="4" w:space="0" w:color="auto"/>
            </w:tcBorders>
          </w:tcPr>
          <w:p w14:paraId="691FCB9E" w14:textId="77777777" w:rsidR="00AF4482" w:rsidRPr="00A23291" w:rsidRDefault="00C647C6" w:rsidP="00A01892">
            <w:pPr>
              <w:rPr>
                <w:bCs/>
              </w:rPr>
            </w:pPr>
            <w:r w:rsidRPr="00A23291">
              <w:rPr>
                <w:bCs/>
              </w:rPr>
              <w:t xml:space="preserve">Osteogenesis stimulator; electrical, surgically implanted </w:t>
            </w:r>
          </w:p>
        </w:tc>
      </w:tr>
      <w:tr w:rsidR="00B70FEE" w14:paraId="7CEB667A" w14:textId="77777777" w:rsidTr="00A01892">
        <w:tc>
          <w:tcPr>
            <w:tcW w:w="1345" w:type="dxa"/>
            <w:tcBorders>
              <w:top w:val="single" w:sz="4" w:space="0" w:color="auto"/>
              <w:left w:val="single" w:sz="4" w:space="0" w:color="auto"/>
              <w:bottom w:val="single" w:sz="4" w:space="0" w:color="auto"/>
              <w:right w:val="single" w:sz="4" w:space="0" w:color="auto"/>
            </w:tcBorders>
          </w:tcPr>
          <w:p w14:paraId="5D344D12" w14:textId="77777777" w:rsidR="00B70FEE" w:rsidRPr="00A23291" w:rsidRDefault="00B70FEE" w:rsidP="00A01892">
            <w:pPr>
              <w:rPr>
                <w:bCs/>
              </w:rPr>
            </w:pPr>
            <w:r w:rsidRPr="00A23291">
              <w:rPr>
                <w:bCs/>
              </w:rPr>
              <w:t>E0760</w:t>
            </w:r>
          </w:p>
        </w:tc>
        <w:tc>
          <w:tcPr>
            <w:tcW w:w="8280" w:type="dxa"/>
            <w:tcBorders>
              <w:top w:val="single" w:sz="4" w:space="0" w:color="auto"/>
              <w:left w:val="single" w:sz="4" w:space="0" w:color="auto"/>
              <w:bottom w:val="single" w:sz="4" w:space="0" w:color="auto"/>
              <w:right w:val="single" w:sz="4" w:space="0" w:color="auto"/>
            </w:tcBorders>
          </w:tcPr>
          <w:p w14:paraId="3A7D8887" w14:textId="77777777" w:rsidR="00B70FEE" w:rsidRPr="00C647C6" w:rsidRDefault="00E46130" w:rsidP="00A01892">
            <w:pPr>
              <w:rPr>
                <w:bCs/>
              </w:rPr>
            </w:pPr>
            <w:r w:rsidRPr="00A23291">
              <w:rPr>
                <w:bCs/>
              </w:rPr>
              <w:t>Osteogenesis stimulator, low intensity ultrasound, noninvasive</w:t>
            </w:r>
          </w:p>
        </w:tc>
      </w:tr>
    </w:tbl>
    <w:p w14:paraId="6DC74270"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B777AF" w:rsidRPr="00B777AF" w14:paraId="18D31F74" w14:textId="77777777" w:rsidTr="0008414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104CC717" w14:textId="77777777" w:rsidR="00B777AF" w:rsidRPr="00B777AF" w:rsidRDefault="00B777AF" w:rsidP="00B777AF">
            <w:pPr>
              <w:rPr>
                <w:bCs w:val="0"/>
              </w:rPr>
            </w:pPr>
            <w:bookmarkStart w:id="0" w:name="Revision_Log"/>
            <w:r w:rsidRPr="00B777AF">
              <w:rPr>
                <w:bCs w:val="0"/>
              </w:rPr>
              <w:lastRenderedPageBreak/>
              <w:t>Reviews</w:t>
            </w:r>
            <w:r>
              <w:rPr>
                <w:bCs w:val="0"/>
              </w:rPr>
              <w:t>, Revisions, and Approvals</w:t>
            </w:r>
            <w:bookmarkEnd w:id="0"/>
          </w:p>
        </w:tc>
        <w:tc>
          <w:tcPr>
            <w:tcW w:w="1198" w:type="dxa"/>
            <w:shd w:val="clear" w:color="auto" w:fill="00548C"/>
          </w:tcPr>
          <w:p w14:paraId="6C7E6F55" w14:textId="77777777" w:rsidR="00B777AF" w:rsidRPr="00B777AF" w:rsidRDefault="006053B3"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4981EFA3"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4A27A891" w14:textId="77777777" w:rsidTr="000841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766A5371" w14:textId="77777777" w:rsidR="00B777AF" w:rsidRDefault="00CB63DD" w:rsidP="008F2A00">
            <w:pPr>
              <w:tabs>
                <w:tab w:val="num" w:pos="720"/>
              </w:tabs>
            </w:pPr>
            <w:r>
              <w:t>Original approval date</w:t>
            </w:r>
            <w:r w:rsidR="0020775E">
              <w:t>.</w:t>
            </w:r>
          </w:p>
        </w:tc>
        <w:tc>
          <w:tcPr>
            <w:tcW w:w="1198" w:type="dxa"/>
            <w:tcBorders>
              <w:top w:val="none" w:sz="0" w:space="0" w:color="auto"/>
              <w:bottom w:val="none" w:sz="0" w:space="0" w:color="auto"/>
            </w:tcBorders>
          </w:tcPr>
          <w:p w14:paraId="68101FFE" w14:textId="77777777" w:rsidR="00B777AF" w:rsidRDefault="0008414F" w:rsidP="00C459A2">
            <w:pPr>
              <w:jc w:val="center"/>
              <w:cnfStyle w:val="000000100000" w:firstRow="0" w:lastRow="0" w:firstColumn="0" w:lastColumn="0" w:oddVBand="0" w:evenVBand="0" w:oddHBand="1" w:evenHBand="0" w:firstRowFirstColumn="0" w:firstRowLastColumn="0" w:lastRowFirstColumn="0" w:lastRowLastColumn="0"/>
            </w:pPr>
            <w:r>
              <w:t>8/11</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DA83C8C" w14:textId="77777777" w:rsidR="00B777AF" w:rsidRDefault="0008414F" w:rsidP="00C459A2">
            <w:pPr>
              <w:jc w:val="center"/>
            </w:pPr>
            <w:r>
              <w:t>8/11</w:t>
            </w:r>
          </w:p>
        </w:tc>
      </w:tr>
      <w:tr w:rsidR="006053B3" w14:paraId="0C349B66" w14:textId="77777777" w:rsidTr="0008414F">
        <w:tc>
          <w:tcPr>
            <w:cnfStyle w:val="000010000000" w:firstRow="0" w:lastRow="0" w:firstColumn="0" w:lastColumn="0" w:oddVBand="1" w:evenVBand="0" w:oddHBand="0" w:evenHBand="0" w:firstRowFirstColumn="0" w:firstRowLastColumn="0" w:lastRowFirstColumn="0" w:lastRowLastColumn="0"/>
            <w:tcW w:w="7190" w:type="dxa"/>
          </w:tcPr>
          <w:p w14:paraId="6E7A971E" w14:textId="77777777" w:rsidR="000B3001" w:rsidRPr="00503A59" w:rsidRDefault="004D5053" w:rsidP="009A1BB1">
            <w:pPr>
              <w:tabs>
                <w:tab w:val="num" w:pos="720"/>
              </w:tabs>
            </w:pPr>
            <w:r>
              <w:t xml:space="preserve">Annual review. </w:t>
            </w:r>
            <w:r w:rsidR="00ED7F32">
              <w:t xml:space="preserve">Removed “(non-spinal electrical osteogenesis stimulators) from policy statement I. </w:t>
            </w:r>
            <w:r w:rsidR="00224579">
              <w:t>Updated criteria I.C. from, “</w:t>
            </w:r>
            <w:r w:rsidR="00224579" w:rsidRPr="00224579">
              <w:t>fusion at more than one level</w:t>
            </w:r>
            <w:r w:rsidR="005C48CF">
              <w:t>,</w:t>
            </w:r>
            <w:r w:rsidR="00224579">
              <w:t>” to</w:t>
            </w:r>
            <w:r w:rsidR="005C48CF">
              <w:t>,</w:t>
            </w:r>
            <w:r w:rsidR="00224579">
              <w:t xml:space="preserve"> “multilevel fusion.</w:t>
            </w:r>
            <w:r w:rsidR="005C48CF">
              <w:t>”</w:t>
            </w:r>
            <w:r w:rsidR="00224579">
              <w:t xml:space="preserve"> Added definition of multilevel spinal fusion as “</w:t>
            </w:r>
            <w:r w:rsidR="00DD1BFA">
              <w:t>involving</w:t>
            </w:r>
            <w:r w:rsidR="00224579" w:rsidRPr="00224579">
              <w:t xml:space="preserve"> </w:t>
            </w:r>
            <w:r w:rsidR="00DD1BFA">
              <w:t>three</w:t>
            </w:r>
            <w:r w:rsidR="00224579" w:rsidRPr="00224579">
              <w:t xml:space="preserve"> or more vertebrae</w:t>
            </w:r>
            <w:r w:rsidR="00224579">
              <w:t>” to criteria points I.D. and II.C.</w:t>
            </w:r>
            <w:r w:rsidR="005C48CF">
              <w:t xml:space="preserve"> </w:t>
            </w:r>
            <w:r w:rsidR="00ED7F32">
              <w:t xml:space="preserve">Removed “(spinal electrical osteogenesis stimulators)” from policy statement II. </w:t>
            </w:r>
            <w:r w:rsidR="005C48CF">
              <w:t>Reviewed and updated references.</w:t>
            </w:r>
            <w:r w:rsidR="00F153FE">
              <w:t xml:space="preserve"> Removed criteria point II.D., “D. </w:t>
            </w:r>
            <w:r w:rsidR="00F153FE" w:rsidRPr="00F153FE">
              <w:t>Following spinal fusion surgery where there is a history of a previously failed</w:t>
            </w:r>
            <w:r w:rsidR="00F153FE">
              <w:t xml:space="preserve"> spinal fusion at the same site,” as it was duplicative of criteria point II.B. </w:t>
            </w:r>
            <w:r w:rsidR="00E46130">
              <w:t xml:space="preserve">Added code E0760. </w:t>
            </w:r>
            <w:r w:rsidR="000B3001">
              <w:t>Changed “review date” in the header to “date of last revision” and date” in the revision log header to “revision date."</w:t>
            </w:r>
            <w:r w:rsidR="00375862">
              <w:t xml:space="preserve"> Minor changes to background with no clinical significance. </w:t>
            </w:r>
            <w:r w:rsidR="00DD1BFA">
              <w:t>Reviewed by specialist</w:t>
            </w:r>
            <w:r w:rsidR="00375862">
              <w:t xml:space="preserve">. </w:t>
            </w:r>
          </w:p>
        </w:tc>
        <w:tc>
          <w:tcPr>
            <w:tcW w:w="1198" w:type="dxa"/>
          </w:tcPr>
          <w:p w14:paraId="70044EEF" w14:textId="77777777" w:rsidR="006053B3" w:rsidRDefault="006053B3" w:rsidP="00C459A2">
            <w:pPr>
              <w:jc w:val="center"/>
              <w:cnfStyle w:val="000000000000" w:firstRow="0" w:lastRow="0" w:firstColumn="0" w:lastColumn="0" w:oddVBand="0" w:evenVBand="0" w:oddHBand="0" w:evenHBand="0" w:firstRowFirstColumn="0" w:firstRowLastColumn="0" w:lastRowFirstColumn="0" w:lastRowLastColumn="0"/>
            </w:pPr>
            <w:r>
              <w:t>09/21</w:t>
            </w:r>
          </w:p>
        </w:tc>
        <w:tc>
          <w:tcPr>
            <w:cnfStyle w:val="000010000000" w:firstRow="0" w:lastRow="0" w:firstColumn="0" w:lastColumn="0" w:oddVBand="1" w:evenVBand="0" w:oddHBand="0" w:evenHBand="0" w:firstRowFirstColumn="0" w:firstRowLastColumn="0" w:lastRowFirstColumn="0" w:lastRowLastColumn="0"/>
            <w:tcW w:w="1260" w:type="dxa"/>
          </w:tcPr>
          <w:p w14:paraId="70551C89" w14:textId="77777777" w:rsidR="006053B3" w:rsidRDefault="00C61106" w:rsidP="00C459A2">
            <w:pPr>
              <w:jc w:val="center"/>
            </w:pPr>
            <w:r>
              <w:t>09/21</w:t>
            </w:r>
          </w:p>
        </w:tc>
      </w:tr>
      <w:tr w:rsidR="00E76D37" w14:paraId="249CCB28" w14:textId="77777777" w:rsidTr="000841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593A539F" w14:textId="77777777" w:rsidR="00E76D37" w:rsidRDefault="00E76D37" w:rsidP="009A1BB1">
            <w:pPr>
              <w:tabs>
                <w:tab w:val="num" w:pos="720"/>
              </w:tabs>
            </w:pPr>
            <w:r>
              <w:t>Annual review completed.</w:t>
            </w:r>
            <w:r w:rsidR="001E4199">
              <w:t xml:space="preserve"> </w:t>
            </w:r>
            <w:r w:rsidR="00234537">
              <w:t>Added “electrical</w:t>
            </w:r>
            <w:r w:rsidR="000E38F0">
              <w:t xml:space="preserve">” to I. and II. </w:t>
            </w:r>
            <w:r w:rsidR="004442F6">
              <w:t>Replaced “smoking habit” with “tobacco use” in criteria I.E.7.</w:t>
            </w:r>
            <w:r w:rsidR="005628AA">
              <w:t>,</w:t>
            </w:r>
            <w:r w:rsidR="004442F6">
              <w:t xml:space="preserve"> II.E.7.</w:t>
            </w:r>
            <w:r w:rsidR="005628AA">
              <w:t>,</w:t>
            </w:r>
            <w:r w:rsidR="004442F6">
              <w:t xml:space="preserve"> </w:t>
            </w:r>
            <w:r w:rsidR="005628AA">
              <w:t xml:space="preserve">and III.B.7. </w:t>
            </w:r>
            <w:r w:rsidR="000E38F0">
              <w:t xml:space="preserve">Removed </w:t>
            </w:r>
            <w:r w:rsidR="000A2E94">
              <w:t xml:space="preserve">criteria point </w:t>
            </w:r>
            <w:r w:rsidR="0046253A">
              <w:t>III</w:t>
            </w:r>
            <w:r w:rsidR="00611C80">
              <w:t>.6.c. “</w:t>
            </w:r>
            <w:r w:rsidR="00DD75D0" w:rsidRPr="00DD75D0">
              <w:t>The patient has failed more than one surgery and other medical therapies (e.g. immobilization and non-weight bearing status)</w:t>
            </w:r>
            <w:r w:rsidR="00B81352">
              <w:t xml:space="preserve">”. </w:t>
            </w:r>
            <w:r w:rsidR="001E4199">
              <w:t xml:space="preserve">Background updated and minor rewording with no clinical significance. References reviewed and updated. Specialist reviewed. </w:t>
            </w:r>
          </w:p>
        </w:tc>
        <w:tc>
          <w:tcPr>
            <w:tcW w:w="1198" w:type="dxa"/>
          </w:tcPr>
          <w:p w14:paraId="2DA6E41D" w14:textId="77777777" w:rsidR="00E76D37" w:rsidRDefault="000A2BD1" w:rsidP="00C459A2">
            <w:pPr>
              <w:jc w:val="center"/>
              <w:cnfStyle w:val="000000100000" w:firstRow="0" w:lastRow="0" w:firstColumn="0" w:lastColumn="0" w:oddVBand="0" w:evenVBand="0" w:oddHBand="1" w:evenHBand="0" w:firstRowFirstColumn="0" w:firstRowLastColumn="0" w:lastRowFirstColumn="0" w:lastRowLastColumn="0"/>
            </w:pPr>
            <w:r>
              <w:t>09/22</w:t>
            </w:r>
          </w:p>
        </w:tc>
        <w:tc>
          <w:tcPr>
            <w:cnfStyle w:val="000010000000" w:firstRow="0" w:lastRow="0" w:firstColumn="0" w:lastColumn="0" w:oddVBand="1" w:evenVBand="0" w:oddHBand="0" w:evenHBand="0" w:firstRowFirstColumn="0" w:firstRowLastColumn="0" w:lastRowFirstColumn="0" w:lastRowLastColumn="0"/>
            <w:tcW w:w="1260" w:type="dxa"/>
          </w:tcPr>
          <w:p w14:paraId="7689EED8" w14:textId="77777777" w:rsidR="00E76D37" w:rsidRDefault="005A5807" w:rsidP="00C459A2">
            <w:pPr>
              <w:jc w:val="center"/>
            </w:pPr>
            <w:r>
              <w:t>09/22</w:t>
            </w:r>
          </w:p>
        </w:tc>
      </w:tr>
      <w:tr w:rsidR="0078720D" w14:paraId="5FA44B41" w14:textId="77777777" w:rsidTr="0008414F">
        <w:tc>
          <w:tcPr>
            <w:cnfStyle w:val="000010000000" w:firstRow="0" w:lastRow="0" w:firstColumn="0" w:lastColumn="0" w:oddVBand="1" w:evenVBand="0" w:oddHBand="0" w:evenHBand="0" w:firstRowFirstColumn="0" w:firstRowLastColumn="0" w:lastRowFirstColumn="0" w:lastRowLastColumn="0"/>
            <w:tcW w:w="7190" w:type="dxa"/>
          </w:tcPr>
          <w:p w14:paraId="2E2A8C95" w14:textId="77777777" w:rsidR="0078720D" w:rsidRDefault="0078720D" w:rsidP="009A1BB1">
            <w:pPr>
              <w:tabs>
                <w:tab w:val="num" w:pos="720"/>
              </w:tabs>
            </w:pPr>
            <w:r>
              <w:t>Annual review completed.</w:t>
            </w:r>
            <w:r w:rsidR="001B22E5">
              <w:t xml:space="preserve"> </w:t>
            </w:r>
            <w:r w:rsidR="0020775E">
              <w:t>Background and r</w:t>
            </w:r>
            <w:r w:rsidR="001B22E5" w:rsidRPr="001B22E5">
              <w:t>eferences reviewed and updated.</w:t>
            </w:r>
          </w:p>
        </w:tc>
        <w:tc>
          <w:tcPr>
            <w:tcW w:w="1198" w:type="dxa"/>
          </w:tcPr>
          <w:p w14:paraId="315FFBCF" w14:textId="77777777" w:rsidR="0078720D" w:rsidRDefault="0078720D" w:rsidP="00C459A2">
            <w:pPr>
              <w:jc w:val="center"/>
              <w:cnfStyle w:val="000000000000" w:firstRow="0" w:lastRow="0" w:firstColumn="0" w:lastColumn="0" w:oddVBand="0" w:evenVBand="0" w:oddHBand="0" w:evenHBand="0" w:firstRowFirstColumn="0" w:firstRowLastColumn="0" w:lastRowFirstColumn="0" w:lastRowLastColumn="0"/>
            </w:pPr>
            <w:r>
              <w:t>08/23</w:t>
            </w:r>
          </w:p>
        </w:tc>
        <w:tc>
          <w:tcPr>
            <w:cnfStyle w:val="000010000000" w:firstRow="0" w:lastRow="0" w:firstColumn="0" w:lastColumn="0" w:oddVBand="1" w:evenVBand="0" w:oddHBand="0" w:evenHBand="0" w:firstRowFirstColumn="0" w:firstRowLastColumn="0" w:lastRowFirstColumn="0" w:lastRowLastColumn="0"/>
            <w:tcW w:w="1260" w:type="dxa"/>
          </w:tcPr>
          <w:p w14:paraId="4A4BF935" w14:textId="77777777" w:rsidR="0078720D" w:rsidRDefault="000B13BC" w:rsidP="00C459A2">
            <w:pPr>
              <w:jc w:val="center"/>
            </w:pPr>
            <w:r>
              <w:t>08/23</w:t>
            </w:r>
          </w:p>
        </w:tc>
      </w:tr>
      <w:tr w:rsidR="00BB5ADA" w14:paraId="75D3A445" w14:textId="77777777" w:rsidTr="000841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3CE7F71F" w14:textId="77777777" w:rsidR="00BB5ADA" w:rsidRDefault="00BB5ADA" w:rsidP="009A1BB1">
            <w:pPr>
              <w:tabs>
                <w:tab w:val="num" w:pos="720"/>
              </w:tabs>
            </w:pPr>
            <w:r>
              <w:t>Annual review.</w:t>
            </w:r>
            <w:r w:rsidR="00AA444B">
              <w:t xml:space="preserve"> </w:t>
            </w:r>
            <w:r w:rsidR="00A23291" w:rsidRPr="00A23291">
              <w:t xml:space="preserve">Updated Criteria I.A.3. to state, “appropriate fracture care and immobilization.” Updated language in Criteria I.A.4. from radiographs to imaging. </w:t>
            </w:r>
            <w:r w:rsidR="00664039" w:rsidRPr="00664039">
              <w:t>Updated Criteria II.A.3. to state, “appropriate fracture care and immobilization.” Updated language in Criteria II.A.4.</w:t>
            </w:r>
            <w:r w:rsidR="00664039">
              <w:t xml:space="preserve"> from </w:t>
            </w:r>
            <w:r w:rsidR="00664039" w:rsidRPr="00664039">
              <w:t>radiographs to imaging</w:t>
            </w:r>
            <w:r w:rsidR="00664039">
              <w:t>.</w:t>
            </w:r>
            <w:r w:rsidR="00664039" w:rsidRPr="00664039">
              <w:t xml:space="preserve"> </w:t>
            </w:r>
            <w:r w:rsidR="00E65876" w:rsidRPr="00E65876">
              <w:t xml:space="preserve">Updated language in Criteria III.A.6.a. from radiographs to imaging. </w:t>
            </w:r>
            <w:r w:rsidR="00AA444B">
              <w:t>Background updated with no impact on criteria.</w:t>
            </w:r>
            <w:r>
              <w:t xml:space="preserve"> References reviewed and updated. Reviewed by external specialist. </w:t>
            </w:r>
          </w:p>
        </w:tc>
        <w:tc>
          <w:tcPr>
            <w:tcW w:w="1198" w:type="dxa"/>
          </w:tcPr>
          <w:p w14:paraId="2A00396E" w14:textId="77777777" w:rsidR="00BB5ADA" w:rsidRDefault="00BB5ADA" w:rsidP="00C459A2">
            <w:pPr>
              <w:jc w:val="center"/>
              <w:cnfStyle w:val="000000100000" w:firstRow="0" w:lastRow="0" w:firstColumn="0" w:lastColumn="0" w:oddVBand="0" w:evenVBand="0" w:oddHBand="1" w:evenHBand="0" w:firstRowFirstColumn="0" w:firstRowLastColumn="0" w:lastRowFirstColumn="0" w:lastRowLastColumn="0"/>
            </w:pPr>
            <w:r>
              <w:t>07/24</w:t>
            </w:r>
          </w:p>
        </w:tc>
        <w:tc>
          <w:tcPr>
            <w:cnfStyle w:val="000010000000" w:firstRow="0" w:lastRow="0" w:firstColumn="0" w:lastColumn="0" w:oddVBand="1" w:evenVBand="0" w:oddHBand="0" w:evenHBand="0" w:firstRowFirstColumn="0" w:firstRowLastColumn="0" w:lastRowFirstColumn="0" w:lastRowLastColumn="0"/>
            <w:tcW w:w="1260" w:type="dxa"/>
          </w:tcPr>
          <w:p w14:paraId="65A7EA47" w14:textId="77777777" w:rsidR="00BB5ADA" w:rsidRDefault="00424B64" w:rsidP="00C459A2">
            <w:pPr>
              <w:jc w:val="center"/>
            </w:pPr>
            <w:r>
              <w:t>07/24</w:t>
            </w:r>
          </w:p>
        </w:tc>
      </w:tr>
      <w:tr w:rsidR="00331ECD" w14:paraId="771B7D48" w14:textId="77777777" w:rsidTr="0008414F">
        <w:tc>
          <w:tcPr>
            <w:cnfStyle w:val="000010000000" w:firstRow="0" w:lastRow="0" w:firstColumn="0" w:lastColumn="0" w:oddVBand="1" w:evenVBand="0" w:oddHBand="0" w:evenHBand="0" w:firstRowFirstColumn="0" w:firstRowLastColumn="0" w:lastRowFirstColumn="0" w:lastRowLastColumn="0"/>
            <w:tcW w:w="7190" w:type="dxa"/>
          </w:tcPr>
          <w:p w14:paraId="5351DC48" w14:textId="0E8F1CAD" w:rsidR="00331ECD" w:rsidRDefault="00DA7D1C" w:rsidP="00DA7D1C">
            <w:r>
              <w:t>Annual review.</w:t>
            </w:r>
            <w:r w:rsidR="00601E4F">
              <w:t xml:space="preserve"> Changed previous criteria III.A.6.a.-b. to new criteria III.B.</w:t>
            </w:r>
            <w:r w:rsidR="0095750F">
              <w:t xml:space="preserve">1.-2. </w:t>
            </w:r>
            <w:r>
              <w:t>Reformatted criteria under I.E., II.E.,</w:t>
            </w:r>
            <w:r w:rsidR="00601E4F">
              <w:t xml:space="preserve"> new</w:t>
            </w:r>
            <w:r>
              <w:t xml:space="preserve"> III.</w:t>
            </w:r>
            <w:r w:rsidR="00601E4F">
              <w:t>C</w:t>
            </w:r>
            <w:r>
              <w:t xml:space="preserve">. and IV.E. with no impact on criteria. References reviewed and </w:t>
            </w:r>
            <w:r w:rsidR="00BD0834">
              <w:t>updated</w:t>
            </w:r>
            <w:r>
              <w:t xml:space="preserve">. </w:t>
            </w:r>
          </w:p>
        </w:tc>
        <w:tc>
          <w:tcPr>
            <w:tcW w:w="1198" w:type="dxa"/>
          </w:tcPr>
          <w:p w14:paraId="067CA1AF" w14:textId="77777777" w:rsidR="00331ECD" w:rsidRDefault="001709F1" w:rsidP="00C459A2">
            <w:pPr>
              <w:jc w:val="center"/>
              <w:cnfStyle w:val="000000000000" w:firstRow="0" w:lastRow="0" w:firstColumn="0" w:lastColumn="0" w:oddVBand="0" w:evenVBand="0" w:oddHBand="0"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Pr>
          <w:p w14:paraId="76535CC9" w14:textId="57FC50A9" w:rsidR="00331ECD" w:rsidRDefault="00AD427B" w:rsidP="00C459A2">
            <w:pPr>
              <w:jc w:val="center"/>
            </w:pPr>
            <w:r>
              <w:t>06/25</w:t>
            </w:r>
          </w:p>
        </w:tc>
      </w:tr>
    </w:tbl>
    <w:p w14:paraId="74A23381" w14:textId="77777777" w:rsidR="00B777AF" w:rsidRDefault="00B777AF" w:rsidP="00B777AF">
      <w:pPr>
        <w:pStyle w:val="Heading6"/>
        <w:tabs>
          <w:tab w:val="clear" w:pos="0"/>
        </w:tabs>
      </w:pPr>
    </w:p>
    <w:p w14:paraId="0D9EE1EA" w14:textId="77777777" w:rsidR="00963062" w:rsidRPr="00D62BFC" w:rsidRDefault="003F3D44" w:rsidP="00963062">
      <w:pPr>
        <w:pStyle w:val="Heading3"/>
      </w:pPr>
      <w:r w:rsidRPr="00D62BFC">
        <w:t>References</w:t>
      </w:r>
    </w:p>
    <w:p w14:paraId="234D7FD6" w14:textId="77777777" w:rsidR="00E33E5E" w:rsidRPr="00D62BFC" w:rsidRDefault="00DF6CAA" w:rsidP="0008309A">
      <w:pPr>
        <w:pStyle w:val="ListParagraph"/>
        <w:numPr>
          <w:ilvl w:val="0"/>
          <w:numId w:val="31"/>
        </w:numPr>
      </w:pPr>
      <w:r w:rsidRPr="00D62BFC">
        <w:t xml:space="preserve">Evidence analysis research brief. Noninvasive electrical bone growth stimulation for cervical spinal fusion. Hayes. </w:t>
      </w:r>
      <w:hyperlink r:id="rId18" w:history="1">
        <w:r w:rsidRPr="00D62BFC">
          <w:rPr>
            <w:rStyle w:val="Hyperlink"/>
          </w:rPr>
          <w:t>www.hayesinc.com</w:t>
        </w:r>
      </w:hyperlink>
      <w:r w:rsidRPr="00D62BFC">
        <w:t xml:space="preserve">. Published June 12, 2023. Accessed </w:t>
      </w:r>
      <w:r w:rsidR="00AC0F51">
        <w:t>April 25</w:t>
      </w:r>
      <w:r w:rsidRPr="00D62BFC">
        <w:t xml:space="preserve">, </w:t>
      </w:r>
      <w:r w:rsidR="00AC0F51" w:rsidRPr="00D62BFC">
        <w:t>202</w:t>
      </w:r>
      <w:r w:rsidR="00AC0F51">
        <w:t>5</w:t>
      </w:r>
      <w:r w:rsidRPr="00D62BFC">
        <w:t xml:space="preserve">. </w:t>
      </w:r>
    </w:p>
    <w:p w14:paraId="6F2E0690" w14:textId="77777777" w:rsidR="00E33E5E" w:rsidRPr="00D62BFC" w:rsidRDefault="00DF6CAA" w:rsidP="00280A1C">
      <w:pPr>
        <w:numPr>
          <w:ilvl w:val="0"/>
          <w:numId w:val="31"/>
        </w:numPr>
      </w:pPr>
      <w:r w:rsidRPr="00D62BFC">
        <w:t xml:space="preserve">National coverage determination: osteogenic stimulators (150.2). Centers for Medicare and Medicaid Services Web site. </w:t>
      </w:r>
      <w:hyperlink r:id="rId19" w:history="1">
        <w:r w:rsidRPr="00D62BFC">
          <w:rPr>
            <w:rStyle w:val="Hyperlink"/>
          </w:rPr>
          <w:t>http://www.cms.hhs.gov/mcd/search.asp</w:t>
        </w:r>
      </w:hyperlink>
      <w:r w:rsidRPr="00D62BFC">
        <w:t xml:space="preserve">. Published April 27, 2005. Accessed </w:t>
      </w:r>
      <w:r w:rsidR="00712441">
        <w:t>April 25, 2025</w:t>
      </w:r>
      <w:r w:rsidRPr="00D62BFC">
        <w:t>.</w:t>
      </w:r>
    </w:p>
    <w:p w14:paraId="53BEA9A3" w14:textId="77777777" w:rsidR="00F55827" w:rsidRPr="00D62BFC" w:rsidRDefault="00DF6CAA" w:rsidP="00680F35">
      <w:pPr>
        <w:numPr>
          <w:ilvl w:val="0"/>
          <w:numId w:val="31"/>
        </w:numPr>
      </w:pPr>
      <w:r w:rsidRPr="00D62BFC">
        <w:t>Buza</w:t>
      </w:r>
      <w:r w:rsidR="00F55827" w:rsidRPr="00D62BFC" w:rsidDel="00F55827">
        <w:t xml:space="preserve"> </w:t>
      </w:r>
      <w:r w:rsidRPr="00D62BFC">
        <w:t xml:space="preserve">JA 3rd, Einhorn T. Bone healing in 2016. </w:t>
      </w:r>
      <w:r w:rsidRPr="00D62BFC">
        <w:rPr>
          <w:i/>
          <w:iCs/>
        </w:rPr>
        <w:t>Clin Cases Miner Bone Metab</w:t>
      </w:r>
      <w:r w:rsidRPr="00D62BFC">
        <w:t xml:space="preserve">. 2016;13(2):101 to 105. doi:10.11138/ccmbm/2016.13.2.101 </w:t>
      </w:r>
    </w:p>
    <w:p w14:paraId="547EBEA3" w14:textId="77777777" w:rsidR="00F55827" w:rsidRPr="00D62BFC" w:rsidRDefault="00EF4C6C" w:rsidP="00680F35">
      <w:pPr>
        <w:numPr>
          <w:ilvl w:val="0"/>
          <w:numId w:val="31"/>
        </w:numPr>
      </w:pPr>
      <w:r w:rsidRPr="00D62BFC">
        <w:lastRenderedPageBreak/>
        <w:t xml:space="preserve">American Academy of Orthopaedic Surgeons. Nonunions. </w:t>
      </w:r>
      <w:hyperlink r:id="rId20" w:history="1">
        <w:r w:rsidRPr="00D62BFC">
          <w:rPr>
            <w:rStyle w:val="Hyperlink"/>
          </w:rPr>
          <w:t>https://orthoinfo.aaos.org/en/diseases--conditions/nonunions/</w:t>
        </w:r>
      </w:hyperlink>
      <w:r w:rsidRPr="00D62BFC">
        <w:t xml:space="preserve">. Published March 2014. Accessed </w:t>
      </w:r>
      <w:r w:rsidR="00E120E5">
        <w:t>April 25, 2025</w:t>
      </w:r>
      <w:r w:rsidRPr="00D62BFC">
        <w:t>.</w:t>
      </w:r>
    </w:p>
    <w:p w14:paraId="1D6446B0" w14:textId="77777777" w:rsidR="00C647C6" w:rsidRPr="00D62BFC" w:rsidRDefault="00F3422D" w:rsidP="00680F35">
      <w:pPr>
        <w:numPr>
          <w:ilvl w:val="0"/>
          <w:numId w:val="31"/>
        </w:numPr>
      </w:pPr>
      <w:r w:rsidRPr="00D62BFC">
        <w:t xml:space="preserve">Evidence analysis research brief. Ultrasound bone growth stimulation for foot and ankle nonunion or delayed union fractures. Hayes. </w:t>
      </w:r>
      <w:hyperlink r:id="rId21" w:history="1">
        <w:r w:rsidRPr="00D62BFC">
          <w:rPr>
            <w:rStyle w:val="Hyperlink"/>
          </w:rPr>
          <w:t>www.hayesinc.com</w:t>
        </w:r>
      </w:hyperlink>
      <w:r w:rsidRPr="00D62BFC">
        <w:t xml:space="preserve">. Published February 04, 2022. Accessed </w:t>
      </w:r>
      <w:r w:rsidR="00C71AD0">
        <w:t>April 25, 2025</w:t>
      </w:r>
      <w:r w:rsidRPr="00D62BFC">
        <w:t>.</w:t>
      </w:r>
    </w:p>
    <w:p w14:paraId="2AF88EC1" w14:textId="77777777" w:rsidR="00C647C6" w:rsidRPr="00D62BFC" w:rsidRDefault="00730E70" w:rsidP="00680F35">
      <w:pPr>
        <w:numPr>
          <w:ilvl w:val="0"/>
          <w:numId w:val="31"/>
        </w:numPr>
      </w:pPr>
      <w:r w:rsidRPr="00D62BFC">
        <w:t xml:space="preserve">National Institute for Health and Care Excellence (NICE). Low-intensity pulsed ultrasound to promote healing of fresh fractures at low risk of non-healing. Interventional procedures guidance [IPG621]. </w:t>
      </w:r>
      <w:hyperlink r:id="rId22" w:history="1">
        <w:r w:rsidRPr="00D62BFC">
          <w:rPr>
            <w:rStyle w:val="Hyperlink"/>
          </w:rPr>
          <w:t>https://www.nice.org.uk/guidance/ipg621/evidence/overview-pdf-4908164509</w:t>
        </w:r>
      </w:hyperlink>
      <w:r w:rsidRPr="00D62BFC">
        <w:t xml:space="preserve">. Published July 31, 2018. Accessed </w:t>
      </w:r>
      <w:r w:rsidR="00E120E5">
        <w:t>April 25, 2025</w:t>
      </w:r>
      <w:r w:rsidRPr="00D62BFC">
        <w:t>.</w:t>
      </w:r>
    </w:p>
    <w:p w14:paraId="1C893A2A" w14:textId="77777777" w:rsidR="00C647C6" w:rsidRPr="00D62BFC" w:rsidRDefault="00F85604" w:rsidP="005F089D">
      <w:pPr>
        <w:numPr>
          <w:ilvl w:val="0"/>
          <w:numId w:val="31"/>
        </w:numPr>
      </w:pPr>
      <w:r w:rsidRPr="00D62BFC">
        <w:t>Rashid MS, Tourné Y, Teoh KH. The use of low intensity pulsed ultrasound in the foot and ankle. </w:t>
      </w:r>
      <w:r w:rsidRPr="00D62BFC">
        <w:rPr>
          <w:i/>
          <w:iCs/>
        </w:rPr>
        <w:t>EFORT Open Rev</w:t>
      </w:r>
      <w:r w:rsidRPr="00D62BFC">
        <w:t xml:space="preserve">. 2021;6(4):217 to 224. Published 2021 Apr 1. doi:10.1302/2058-5241.6.200045 </w:t>
      </w:r>
    </w:p>
    <w:p w14:paraId="57890BA3" w14:textId="77777777" w:rsidR="0095147F" w:rsidRPr="00D62BFC" w:rsidRDefault="00AF0D70" w:rsidP="00680F35">
      <w:pPr>
        <w:numPr>
          <w:ilvl w:val="0"/>
          <w:numId w:val="31"/>
        </w:numPr>
      </w:pPr>
      <w:r w:rsidRPr="00D62BFC">
        <w:t>Low intensity ultrasound treatment for acceleration of bone fracture healing – Exogen</w:t>
      </w:r>
      <w:r w:rsidRPr="00D62BFC">
        <w:rPr>
          <w:vertAlign w:val="superscript"/>
        </w:rPr>
        <w:t>™</w:t>
      </w:r>
      <w:r w:rsidRPr="00D62BFC">
        <w:t xml:space="preserve"> bone growth stimulator. Exogen. MSAC application 1030. </w:t>
      </w:r>
      <w:r w:rsidR="00DB53F0" w:rsidRPr="00DB53F0">
        <w:t>https://www.msac.gov.au/applications/1030</w:t>
      </w:r>
      <w:r w:rsidRPr="00D62BFC">
        <w:t xml:space="preserve">Published November 2001. Accessed </w:t>
      </w:r>
      <w:r w:rsidR="00CB23C6">
        <w:t>April 25, 2025</w:t>
      </w:r>
      <w:r w:rsidRPr="00D62BFC">
        <w:t>.</w:t>
      </w:r>
    </w:p>
    <w:p w14:paraId="3F9056C3" w14:textId="77777777" w:rsidR="00C647C6" w:rsidRPr="00D62BFC" w:rsidRDefault="00E05551" w:rsidP="0065408D">
      <w:pPr>
        <w:numPr>
          <w:ilvl w:val="0"/>
          <w:numId w:val="31"/>
        </w:numPr>
      </w:pPr>
      <w:r w:rsidRPr="00D62BFC">
        <w:t>Zura R, Della Rocca GJ, Mehta S, et al. Treatment of chronic (&gt;1 year) fracture nonunion: heal rate in a cohort of 767 patients treated with low-intensity pulsed ultrasound (LIPUS). </w:t>
      </w:r>
      <w:r w:rsidRPr="00D62BFC">
        <w:rPr>
          <w:i/>
          <w:iCs/>
        </w:rPr>
        <w:t>Injury</w:t>
      </w:r>
      <w:r w:rsidRPr="00D62BFC">
        <w:t>. 2015;46(10):2036 to 2041. doi:10.1016/j.injury.2015.05.042</w:t>
      </w:r>
    </w:p>
    <w:p w14:paraId="1F5D5BEC" w14:textId="77777777" w:rsidR="00C647C6" w:rsidRPr="00D62BFC" w:rsidRDefault="00F24450" w:rsidP="0065408D">
      <w:pPr>
        <w:numPr>
          <w:ilvl w:val="0"/>
          <w:numId w:val="31"/>
        </w:numPr>
      </w:pPr>
      <w:r w:rsidRPr="00D62BFC">
        <w:t xml:space="preserve">National Institute for Health and Care Excellence (NICE). Exogen ultrasound bone healing system for long bone fractures with non-union or delayed healing. Medical technologies guidance [MTG12] </w:t>
      </w:r>
      <w:hyperlink r:id="rId23" w:history="1">
        <w:r w:rsidRPr="00D62BFC">
          <w:rPr>
            <w:rStyle w:val="Hyperlink"/>
          </w:rPr>
          <w:t>https://www.nice.org.uk/guidance/mtg12</w:t>
        </w:r>
      </w:hyperlink>
      <w:r w:rsidRPr="00D62BFC">
        <w:t xml:space="preserve">. Published January 09, 2013 (updated October 08, 2019). Accessed </w:t>
      </w:r>
      <w:r w:rsidR="0008266A">
        <w:t>April 25, 2025</w:t>
      </w:r>
      <w:r w:rsidRPr="00D62BFC">
        <w:t>.</w:t>
      </w:r>
    </w:p>
    <w:p w14:paraId="5B9C217C" w14:textId="77777777" w:rsidR="00C647C6" w:rsidRPr="00D62BFC" w:rsidRDefault="005B334C" w:rsidP="004473B6">
      <w:pPr>
        <w:numPr>
          <w:ilvl w:val="0"/>
          <w:numId w:val="31"/>
        </w:numPr>
      </w:pPr>
      <w:r w:rsidRPr="00D62BFC">
        <w:t xml:space="preserve">U.S. Federal Drug Administration (FDA). Orthopaedic and rehabilitation devices panel Sept. 8-9, 2020: bone growth stimulators executive summary. Summary of: The Orthopaedic and Rehabilitation Devices Panel meeting on the reclassification of non-invasive bone growth. </w:t>
      </w:r>
      <w:hyperlink r:id="rId24" w:history="1">
        <w:r w:rsidRPr="00D62BFC">
          <w:rPr>
            <w:rStyle w:val="Hyperlink"/>
          </w:rPr>
          <w:t>https://www.fda.gov/media/141850/download</w:t>
        </w:r>
      </w:hyperlink>
      <w:r w:rsidRPr="00D62BFC">
        <w:t xml:space="preserve">. Published September 8, 2020. Accessed </w:t>
      </w:r>
      <w:r w:rsidR="0008266A">
        <w:t>April</w:t>
      </w:r>
      <w:r w:rsidR="00383149">
        <w:t xml:space="preserve"> 25, 2025</w:t>
      </w:r>
    </w:p>
    <w:p w14:paraId="0FBD6718" w14:textId="77777777" w:rsidR="005720B4" w:rsidRPr="00D62BFC" w:rsidRDefault="008F68FA" w:rsidP="0008309A">
      <w:pPr>
        <w:pStyle w:val="ListParagraph"/>
        <w:numPr>
          <w:ilvl w:val="0"/>
          <w:numId w:val="31"/>
        </w:numPr>
      </w:pPr>
      <w:r w:rsidRPr="00D62BFC">
        <w:t xml:space="preserve">Piazzolla A, Solarino G, Bizzoca D, et al. Capacitive coupling electric fields in the treatment of vertebral compression fractures. </w:t>
      </w:r>
      <w:r w:rsidRPr="0008309A">
        <w:rPr>
          <w:i/>
          <w:iCs/>
        </w:rPr>
        <w:t>J Biol Regul Homeost Agents</w:t>
      </w:r>
      <w:r w:rsidRPr="00D62BFC">
        <w:t>. 2015;29(3):637 to 646.</w:t>
      </w:r>
    </w:p>
    <w:p w14:paraId="7028BD69" w14:textId="77777777" w:rsidR="000E6654" w:rsidRPr="00D62BFC" w:rsidRDefault="00051C12" w:rsidP="000E6654">
      <w:pPr>
        <w:numPr>
          <w:ilvl w:val="0"/>
          <w:numId w:val="31"/>
        </w:numPr>
      </w:pPr>
      <w:r w:rsidRPr="00D62BFC">
        <w:t>Griffin M, Bayat A. Electrical stimulation in bone healing: critical analysis by evaluating levels of evidence. </w:t>
      </w:r>
      <w:r w:rsidRPr="00D62BFC">
        <w:rPr>
          <w:i/>
          <w:iCs/>
        </w:rPr>
        <w:t>Eplasty</w:t>
      </w:r>
      <w:r w:rsidRPr="00D62BFC">
        <w:t>. 2011;11:e34.</w:t>
      </w:r>
    </w:p>
    <w:p w14:paraId="65F7601A" w14:textId="77777777" w:rsidR="009639BA" w:rsidRPr="00D62BFC" w:rsidRDefault="00E91B2E" w:rsidP="009639BA">
      <w:pPr>
        <w:numPr>
          <w:ilvl w:val="0"/>
          <w:numId w:val="31"/>
        </w:numPr>
      </w:pPr>
      <w:r w:rsidRPr="00D62BFC">
        <w:t>Sibanda V, Anazor F, Relwani J, Dhinsa BS. Outcomes of the Treatment of Fracture Non-union Using Combined Magnetic Field Bone Growth Stimulation: Experiences From a UK Trauma Unit. </w:t>
      </w:r>
      <w:r w:rsidRPr="00D62BFC">
        <w:rPr>
          <w:i/>
          <w:iCs/>
        </w:rPr>
        <w:t>Cureus</w:t>
      </w:r>
      <w:r w:rsidRPr="00D62BFC">
        <w:t>. 2022;14(5):e25100. Published 2022 May 18. doi:10.7759/cureus.25100</w:t>
      </w:r>
    </w:p>
    <w:p w14:paraId="5E2EA221" w14:textId="77777777" w:rsidR="009639BA" w:rsidRPr="00D62BFC" w:rsidRDefault="00D036D5">
      <w:pPr>
        <w:numPr>
          <w:ilvl w:val="0"/>
          <w:numId w:val="31"/>
        </w:numPr>
      </w:pPr>
      <w:r w:rsidRPr="0008309A">
        <w:rPr>
          <w:color w:val="212121"/>
          <w:shd w:val="clear" w:color="auto" w:fill="FFFFFF"/>
        </w:rPr>
        <w:t>Cheaney B 2nd, El Hashemi M, Obayashi J, Than KD. Combined magnetic field results in higher fusion rates than pulsed electromagnetic field bone stimulation after thoracolumbar fusion surgery. </w:t>
      </w:r>
      <w:r w:rsidRPr="0008309A">
        <w:rPr>
          <w:i/>
          <w:iCs/>
          <w:color w:val="212121"/>
          <w:shd w:val="clear" w:color="auto" w:fill="FFFFFF"/>
        </w:rPr>
        <w:t>J Clin Neurosci</w:t>
      </w:r>
      <w:r w:rsidRPr="0008309A">
        <w:rPr>
          <w:color w:val="212121"/>
          <w:shd w:val="clear" w:color="auto" w:fill="FFFFFF"/>
        </w:rPr>
        <w:t>. 2020;74:115 to 119. doi:10.1016/j.jocn.2020.02.012</w:t>
      </w:r>
    </w:p>
    <w:p w14:paraId="3E0EC047" w14:textId="77777777" w:rsidR="00C0622D" w:rsidRPr="00CB31D1" w:rsidRDefault="000B7782">
      <w:pPr>
        <w:numPr>
          <w:ilvl w:val="0"/>
          <w:numId w:val="31"/>
        </w:numPr>
      </w:pPr>
      <w:r w:rsidRPr="00CB31D1">
        <w:t>B</w:t>
      </w:r>
      <w:r w:rsidR="00766A00" w:rsidRPr="00CB31D1">
        <w:t>eutler A, Titus S</w:t>
      </w:r>
      <w:r w:rsidR="00BE3EF7" w:rsidRPr="00CB31D1">
        <w:t xml:space="preserve">. General principles of </w:t>
      </w:r>
      <w:r w:rsidR="00245327" w:rsidRPr="00CB31D1">
        <w:t xml:space="preserve">definitive </w:t>
      </w:r>
      <w:r w:rsidR="00BE3EF7" w:rsidRPr="00CB31D1">
        <w:t>fracture management</w:t>
      </w:r>
      <w:r w:rsidR="00122F36" w:rsidRPr="00CB31D1">
        <w:t>.</w:t>
      </w:r>
      <w:r w:rsidR="00315118" w:rsidRPr="00CB31D1">
        <w:t xml:space="preserve"> UpToDate. </w:t>
      </w:r>
      <w:hyperlink r:id="rId25" w:history="1">
        <w:r w:rsidR="00315118" w:rsidRPr="00CB31D1">
          <w:rPr>
            <w:rStyle w:val="Hyperlink"/>
          </w:rPr>
          <w:t>www.uptodate.com</w:t>
        </w:r>
      </w:hyperlink>
      <w:r w:rsidR="00315118" w:rsidRPr="00CB31D1">
        <w:t xml:space="preserve">. Updated </w:t>
      </w:r>
      <w:r w:rsidR="00533A30" w:rsidRPr="00CB31D1">
        <w:t>April</w:t>
      </w:r>
      <w:r w:rsidR="006D4669" w:rsidRPr="00CB31D1">
        <w:t xml:space="preserve"> 18</w:t>
      </w:r>
      <w:r w:rsidR="00122F36" w:rsidRPr="00CB31D1">
        <w:t xml:space="preserve">, </w:t>
      </w:r>
      <w:r w:rsidR="006D4669" w:rsidRPr="00CB31D1">
        <w:t>2023</w:t>
      </w:r>
      <w:r w:rsidR="00315118" w:rsidRPr="00CB31D1">
        <w:t xml:space="preserve">. Accessed </w:t>
      </w:r>
      <w:r w:rsidR="008D472A">
        <w:t>April 25, 2025</w:t>
      </w:r>
      <w:r w:rsidR="00315118" w:rsidRPr="00CB31D1">
        <w:t xml:space="preserve">. </w:t>
      </w:r>
    </w:p>
    <w:p w14:paraId="56F33A09" w14:textId="77777777" w:rsidR="00CC657E" w:rsidRPr="00CB31D1" w:rsidRDefault="00D036D5">
      <w:pPr>
        <w:numPr>
          <w:ilvl w:val="0"/>
          <w:numId w:val="31"/>
        </w:numPr>
      </w:pPr>
      <w:r>
        <w:t xml:space="preserve">Banken </w:t>
      </w:r>
      <w:r w:rsidRPr="00D036D5">
        <w:t xml:space="preserve">R. Low-intensity ultrasound (Exogen) for the treatment of fractures. AETMIS 03-05. Montreal, QC: Agence d'Evaluation des Technologies et des Modes d'Intervention en Sante (AETMIS); 2004. </w:t>
      </w:r>
    </w:p>
    <w:p w14:paraId="4C0647BB" w14:textId="77777777" w:rsidR="00F13B85" w:rsidRPr="00CB31D1" w:rsidRDefault="00D036D5">
      <w:pPr>
        <w:numPr>
          <w:ilvl w:val="0"/>
          <w:numId w:val="31"/>
        </w:numPr>
      </w:pPr>
      <w:r>
        <w:lastRenderedPageBreak/>
        <w:t xml:space="preserve">Searle </w:t>
      </w:r>
      <w:r w:rsidRPr="00D036D5">
        <w:t xml:space="preserve">HK, Lewis SR, Coyle C, Welch M, Griffin XL. Ultrasound and shockwave therapy for acute fractures in adults. </w:t>
      </w:r>
      <w:r w:rsidRPr="00D036D5">
        <w:rPr>
          <w:i/>
          <w:iCs/>
        </w:rPr>
        <w:t>Cochrane Database Syst Rev</w:t>
      </w:r>
      <w:r w:rsidRPr="00D036D5">
        <w:t xml:space="preserve">. 2023;3(3):CD008579. Published 2023 Mar 3. doi:10.1002/14651858.CD008579.pub4 </w:t>
      </w:r>
    </w:p>
    <w:p w14:paraId="27FAB052" w14:textId="77777777" w:rsidR="00E94943" w:rsidRPr="00CB31D1" w:rsidRDefault="00E94943">
      <w:pPr>
        <w:numPr>
          <w:ilvl w:val="0"/>
          <w:numId w:val="31"/>
        </w:numPr>
      </w:pPr>
      <w:r w:rsidRPr="00CB31D1">
        <w:t>Rutten S, van den Bekerom MPJ, Sierevelt IN, Nolte PA. Enhancement of Bone-Healing by Low-Intensity Pulsed Ultrasound: A Systematic Review. </w:t>
      </w:r>
      <w:r w:rsidRPr="00CB31D1">
        <w:rPr>
          <w:i/>
          <w:iCs/>
        </w:rPr>
        <w:t>JBJS Rev</w:t>
      </w:r>
      <w:r w:rsidRPr="00CB31D1">
        <w:t>. 2016;4(3):e6. doi:10.2106/JBJS.RVW.O.00027</w:t>
      </w:r>
    </w:p>
    <w:p w14:paraId="574AF608" w14:textId="77777777" w:rsidR="00AA1819" w:rsidRPr="00CB31D1" w:rsidRDefault="00E708F1">
      <w:pPr>
        <w:numPr>
          <w:ilvl w:val="0"/>
          <w:numId w:val="31"/>
        </w:numPr>
      </w:pPr>
      <w:r>
        <w:t xml:space="preserve">Ricardo </w:t>
      </w:r>
      <w:r w:rsidRPr="00E708F1">
        <w:t xml:space="preserve">M. The effect of ultrasound on the healing of muscle-pediculated bone graft in scaphoid non-union. </w:t>
      </w:r>
      <w:r w:rsidRPr="00E708F1">
        <w:rPr>
          <w:i/>
        </w:rPr>
        <w:t>Int Orthop</w:t>
      </w:r>
      <w:r w:rsidRPr="00E708F1">
        <w:t xml:space="preserve">. 2006;30(2):123 to 127. doi: 10.1007/s00264-005-0034-2 </w:t>
      </w:r>
    </w:p>
    <w:p w14:paraId="71CD6C3E" w14:textId="77777777" w:rsidR="00BE786D" w:rsidRPr="00CB31D1" w:rsidRDefault="00E708F1">
      <w:pPr>
        <w:numPr>
          <w:ilvl w:val="0"/>
          <w:numId w:val="31"/>
        </w:numPr>
      </w:pPr>
      <w:r>
        <w:t xml:space="preserve">Rue </w:t>
      </w:r>
      <w:r w:rsidRPr="00E708F1">
        <w:t xml:space="preserve">JP, Armstrong DW 3rd, Frassica FJ, Deafenbaugh M, Wilckens JH. The effect of pulsed ultrasound in the treatment of tibial stress fractures. </w:t>
      </w:r>
      <w:r w:rsidRPr="00E708F1">
        <w:rPr>
          <w:i/>
        </w:rPr>
        <w:t>Orthopedics</w:t>
      </w:r>
      <w:r w:rsidRPr="00E708F1">
        <w:t xml:space="preserve">. 2004;27(11):1192 to 1195. doi:10.3928/0147-7447-20041101-18 </w:t>
      </w:r>
    </w:p>
    <w:p w14:paraId="70BE7078" w14:textId="77777777" w:rsidR="00CD100B" w:rsidRPr="00CB31D1" w:rsidRDefault="00E708F1">
      <w:pPr>
        <w:numPr>
          <w:ilvl w:val="0"/>
          <w:numId w:val="31"/>
        </w:numPr>
      </w:pPr>
      <w:r>
        <w:t xml:space="preserve">Aleem </w:t>
      </w:r>
      <w:r w:rsidRPr="00E708F1">
        <w:t xml:space="preserve">IS, Aleem I, Evaniew N, et al. Efficacy of Electrical Stimulators for Bone Healing: A Meta-Analysis of Randomized Sham-Controlled Trials. </w:t>
      </w:r>
      <w:r w:rsidRPr="00E708F1">
        <w:rPr>
          <w:i/>
          <w:iCs/>
        </w:rPr>
        <w:t>Sci Rep</w:t>
      </w:r>
      <w:r w:rsidRPr="00E708F1">
        <w:t xml:space="preserve">. 2016;6:31724. Published 2016 Aug 19. doi:10.1038/srep31724 </w:t>
      </w:r>
    </w:p>
    <w:p w14:paraId="54EDA5CD" w14:textId="77777777" w:rsidR="00CE0BCD" w:rsidRPr="00CB31D1" w:rsidRDefault="00E708F1">
      <w:pPr>
        <w:numPr>
          <w:ilvl w:val="0"/>
          <w:numId w:val="31"/>
        </w:numPr>
      </w:pPr>
      <w:r>
        <w:t xml:space="preserve">Gan </w:t>
      </w:r>
      <w:r w:rsidRPr="00E708F1">
        <w:t>JC, Glazer PA. Electrical stimulation therapies for spinal fusions: current concepts. </w:t>
      </w:r>
      <w:r w:rsidRPr="00E708F1">
        <w:rPr>
          <w:i/>
          <w:iCs/>
        </w:rPr>
        <w:t>Eur Spine J</w:t>
      </w:r>
      <w:r w:rsidRPr="00E708F1">
        <w:t xml:space="preserve">. 2006;15(9):1301-1311. doi:10.1007/s00586-006-0087-y </w:t>
      </w:r>
    </w:p>
    <w:p w14:paraId="3BFE8D34" w14:textId="77777777" w:rsidR="00566EB3" w:rsidRPr="00CB31D1" w:rsidRDefault="005C08F5" w:rsidP="00D62BFC">
      <w:pPr>
        <w:numPr>
          <w:ilvl w:val="0"/>
          <w:numId w:val="31"/>
        </w:numPr>
      </w:pPr>
      <w:r>
        <w:t xml:space="preserve">Kuzyk </w:t>
      </w:r>
      <w:r w:rsidRPr="005C08F5">
        <w:t xml:space="preserve">PR, Schemitsch EH. The science of electrical stimulation therapy for fracture healing. </w:t>
      </w:r>
      <w:r w:rsidRPr="005C08F5">
        <w:rPr>
          <w:i/>
        </w:rPr>
        <w:t>Indian J Orthop</w:t>
      </w:r>
      <w:r w:rsidRPr="005C08F5">
        <w:t xml:space="preserve">. 2009;43(2):127 to 131. doi: 10.4103/0019-5413.50846 </w:t>
      </w:r>
      <w:r w:rsidR="00E14493" w:rsidRPr="00D62BFC">
        <w:rPr>
          <w:rFonts w:ascii="Segoe UI" w:hAnsi="Segoe UI" w:cs="Segoe UI"/>
          <w:color w:val="212121"/>
          <w:shd w:val="clear" w:color="auto" w:fill="FFFFFF"/>
        </w:rPr>
        <w:t xml:space="preserve"> </w:t>
      </w:r>
      <w:bookmarkStart w:id="1" w:name="_Hlk170901699"/>
    </w:p>
    <w:bookmarkEnd w:id="1"/>
    <w:p w14:paraId="2F7BD4AA" w14:textId="77777777" w:rsidR="00E72257" w:rsidRDefault="00E72257">
      <w:pPr>
        <w:numPr>
          <w:ilvl w:val="0"/>
          <w:numId w:val="31"/>
        </w:numPr>
      </w:pPr>
      <w:r w:rsidRPr="00E72257">
        <w:t xml:space="preserve">Khalifeh JM, Zohny Z, MacEwan M, et al. Electrical </w:t>
      </w:r>
      <w:r>
        <w:t>s</w:t>
      </w:r>
      <w:r w:rsidRPr="00E72257">
        <w:t xml:space="preserve">timulation and </w:t>
      </w:r>
      <w:r>
        <w:t>b</w:t>
      </w:r>
      <w:r w:rsidRPr="00E72257">
        <w:t xml:space="preserve">one </w:t>
      </w:r>
      <w:r>
        <w:t>h</w:t>
      </w:r>
      <w:r w:rsidRPr="00E72257">
        <w:t>ealing: a review of current technology and clinical applications. </w:t>
      </w:r>
      <w:r w:rsidRPr="00E72257">
        <w:rPr>
          <w:i/>
          <w:iCs/>
        </w:rPr>
        <w:t>IEEE Rev Biomed Eng</w:t>
      </w:r>
      <w:r w:rsidRPr="00E72257">
        <w:t>. 2018;11:217</w:t>
      </w:r>
      <w:r w:rsidR="00476315">
        <w:t xml:space="preserve"> to </w:t>
      </w:r>
      <w:r w:rsidRPr="00E72257">
        <w:t>232. doi:10.1109/RBME.2018.2799189</w:t>
      </w:r>
      <w:r w:rsidR="006938AD" w:rsidRPr="006938AD">
        <w:rPr>
          <w:rFonts w:ascii="Segoe UI" w:hAnsi="Segoe UI" w:cs="Segoe UI"/>
          <w:color w:val="212121"/>
          <w:shd w:val="clear" w:color="auto" w:fill="FFFFFF"/>
        </w:rPr>
        <w:t xml:space="preserve"> </w:t>
      </w:r>
    </w:p>
    <w:p w14:paraId="3C9A5041" w14:textId="77777777" w:rsidR="00E51A4B" w:rsidRDefault="00E51A4B">
      <w:pPr>
        <w:numPr>
          <w:ilvl w:val="0"/>
          <w:numId w:val="31"/>
        </w:numPr>
      </w:pPr>
      <w:r w:rsidRPr="00E51A4B">
        <w:t>Griffin XL, Costa ML, Parsons N, Smith N. Electromagnetic field stimulation for treating delayed union or non-union of long bone fractures in adults. </w:t>
      </w:r>
      <w:r w:rsidRPr="00E51A4B">
        <w:rPr>
          <w:i/>
          <w:iCs/>
        </w:rPr>
        <w:t>Cochrane Database Syst Rev</w:t>
      </w:r>
      <w:r w:rsidRPr="00E51A4B">
        <w:t>. 2011;(4):CD008471. Published 2011 Apr 13. doi:10.1002/14651858.CD008471.pub2</w:t>
      </w:r>
      <w:r w:rsidR="00F0396A">
        <w:t xml:space="preserve"> </w:t>
      </w:r>
    </w:p>
    <w:p w14:paraId="0705A6EE" w14:textId="77777777" w:rsidR="00D323C6" w:rsidRDefault="007D2D3D">
      <w:pPr>
        <w:numPr>
          <w:ilvl w:val="0"/>
          <w:numId w:val="31"/>
        </w:numPr>
      </w:pPr>
      <w:r w:rsidRPr="007D2D3D">
        <w:t>Palanisamy P, Alam M, Li S, Chow SKH, Zheng YP. Low-Intensity Pulsed Ultrasound Stimulation for Bone Fractures Healing: A Review. </w:t>
      </w:r>
      <w:r w:rsidRPr="007D2D3D">
        <w:rPr>
          <w:i/>
          <w:iCs/>
        </w:rPr>
        <w:t>J Ultrasound Med</w:t>
      </w:r>
      <w:r w:rsidRPr="007D2D3D">
        <w:t>. 2022;41(3):547-563. doi:10.1002/jum.15738</w:t>
      </w:r>
    </w:p>
    <w:p w14:paraId="7EE1BFB7" w14:textId="77777777" w:rsidR="007D2D3D" w:rsidRDefault="00014487">
      <w:pPr>
        <w:numPr>
          <w:ilvl w:val="0"/>
          <w:numId w:val="31"/>
        </w:numPr>
      </w:pPr>
      <w:r w:rsidRPr="00014487">
        <w:t>Murakami R, Sanada T, Inagawa M, et al. Can low-intensity pulsed ultrasound (LIPUS) accelerate bone healing after intramedullary screw fixation for proximal fifth metatarsal stress fractures? A retrospective study. </w:t>
      </w:r>
      <w:r w:rsidRPr="00014487">
        <w:rPr>
          <w:i/>
          <w:iCs/>
        </w:rPr>
        <w:t>BMC Musculoskelet Disord</w:t>
      </w:r>
      <w:r w:rsidRPr="00014487">
        <w:t>. 2021;22(1):725. Published 2021 Aug 23. doi:10.1186/s12891-021-04611-z</w:t>
      </w:r>
    </w:p>
    <w:p w14:paraId="3584C5B8" w14:textId="77777777" w:rsidR="00014487" w:rsidRDefault="00024894">
      <w:pPr>
        <w:numPr>
          <w:ilvl w:val="0"/>
          <w:numId w:val="31"/>
        </w:numPr>
      </w:pPr>
      <w:r w:rsidRPr="00024894">
        <w:t>Bawale R, Segmeister M, Sinha S, Shariff S, Singh B. Experience of an isolated use of low-intensity pulsed ultrasound therapy on fracture healing in established non-unions: a prospective case series. </w:t>
      </w:r>
      <w:r w:rsidRPr="00024894">
        <w:rPr>
          <w:i/>
          <w:iCs/>
        </w:rPr>
        <w:t>J Ultrasound</w:t>
      </w:r>
      <w:r w:rsidRPr="00024894">
        <w:t>. 2021;24(3):249-252. doi:10.1007/s40477-020-00464-9</w:t>
      </w:r>
    </w:p>
    <w:p w14:paraId="41A1EF99" w14:textId="77777777" w:rsidR="00024894" w:rsidRDefault="005B0142">
      <w:pPr>
        <w:numPr>
          <w:ilvl w:val="0"/>
          <w:numId w:val="31"/>
        </w:numPr>
      </w:pPr>
      <w:r w:rsidRPr="005B0142">
        <w:t>Khawar H, Craxford S, Ollivere B. Radial head fractures. </w:t>
      </w:r>
      <w:r w:rsidRPr="005B0142">
        <w:rPr>
          <w:i/>
          <w:iCs/>
        </w:rPr>
        <w:t>Br J Hosp Med (Lond)</w:t>
      </w:r>
      <w:r w:rsidRPr="005B0142">
        <w:t>. 2020;81(4):1-6. doi:10.12968/hmed.2019.0404</w:t>
      </w:r>
    </w:p>
    <w:p w14:paraId="7C718C8E" w14:textId="77777777" w:rsidR="005B0142" w:rsidRPr="00503A59" w:rsidRDefault="00833C02">
      <w:pPr>
        <w:numPr>
          <w:ilvl w:val="0"/>
          <w:numId w:val="31"/>
        </w:numPr>
      </w:pPr>
      <w:r w:rsidRPr="00833C02">
        <w:t>deVet T, Jhirad A, Pravato L, Wohl GR. Bone Bioelectricity and Bone-Cell Response to Electrical Stimulation: A Review. </w:t>
      </w:r>
      <w:r w:rsidRPr="00833C02">
        <w:rPr>
          <w:i/>
          <w:iCs/>
        </w:rPr>
        <w:t>Crit Rev Biomed Eng</w:t>
      </w:r>
      <w:r w:rsidRPr="00833C02">
        <w:t>. 2021;49(1):1-19. doi:10.1615/CritRevBiomedEng.2021035327</w:t>
      </w:r>
    </w:p>
    <w:p w14:paraId="2B2A2AD5" w14:textId="77777777" w:rsidR="00DD6ADB" w:rsidRDefault="00DD6ADB" w:rsidP="00963062"/>
    <w:p w14:paraId="0BBA01FA" w14:textId="77777777" w:rsidR="00DD6ADB" w:rsidRPr="00146C6E" w:rsidRDefault="00C06257" w:rsidP="00146C6E">
      <w:pPr>
        <w:rPr>
          <w:rFonts w:eastAsiaTheme="minorHAnsi"/>
          <w:b/>
          <w:u w:val="single"/>
        </w:rPr>
      </w:pPr>
      <w:bookmarkStart w:id="2" w:name="Important_Reminder"/>
      <w:r w:rsidRPr="00146C6E">
        <w:rPr>
          <w:rFonts w:eastAsiaTheme="minorHAnsi"/>
          <w:b/>
          <w:bCs/>
          <w:u w:val="single"/>
        </w:rPr>
        <w:t>Important R</w:t>
      </w:r>
      <w:r w:rsidR="005D7B81" w:rsidRPr="00146C6E">
        <w:rPr>
          <w:rFonts w:eastAsiaTheme="minorHAnsi"/>
          <w:b/>
          <w:bCs/>
          <w:u w:val="single"/>
        </w:rPr>
        <w:t>eminder</w:t>
      </w:r>
      <w:bookmarkEnd w:id="2"/>
    </w:p>
    <w:p w14:paraId="79EA8A11"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w:t>
      </w:r>
      <w:r w:rsidRPr="00146C6E">
        <w:rPr>
          <w:rFonts w:eastAsiaTheme="minorHAnsi"/>
        </w:rPr>
        <w:lastRenderedPageBreak/>
        <w:t xml:space="preserve">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35BF9B7F" w14:textId="77777777" w:rsidR="00DD6ADB" w:rsidRPr="00146C6E" w:rsidRDefault="00DD6ADB" w:rsidP="00146C6E">
      <w:pPr>
        <w:rPr>
          <w:rFonts w:eastAsiaTheme="minorHAnsi"/>
        </w:rPr>
      </w:pPr>
    </w:p>
    <w:p w14:paraId="12BD3194"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7F23B774" w14:textId="77777777" w:rsidR="00DD6ADB" w:rsidRPr="00146C6E" w:rsidRDefault="00DD6ADB" w:rsidP="00146C6E">
      <w:pPr>
        <w:rPr>
          <w:rFonts w:eastAsiaTheme="minorHAnsi"/>
        </w:rPr>
      </w:pPr>
    </w:p>
    <w:p w14:paraId="1841E24A"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293022E" w14:textId="77777777" w:rsidR="00DD6ADB" w:rsidRPr="00146C6E" w:rsidRDefault="00DD6ADB" w:rsidP="00146C6E">
      <w:pPr>
        <w:rPr>
          <w:rFonts w:eastAsiaTheme="minorHAnsi"/>
        </w:rPr>
      </w:pPr>
    </w:p>
    <w:p w14:paraId="4CC77B9F" w14:textId="77777777"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B41F9C">
        <w:rPr>
          <w:rFonts w:eastAsiaTheme="minorHAnsi"/>
        </w:rPr>
        <w:t>members/enrollees</w:t>
      </w:r>
      <w:r w:rsidRPr="00146C6E">
        <w:rPr>
          <w:rFonts w:eastAsiaTheme="minorHAnsi"/>
        </w:rPr>
        <w:t xml:space="preserve">. This clinical policy is not intended to recommend treatment for </w:t>
      </w:r>
      <w:r w:rsidR="00B41F9C">
        <w:rPr>
          <w:rFonts w:eastAsiaTheme="minorHAnsi"/>
        </w:rPr>
        <w:t>members/enrollees</w:t>
      </w:r>
      <w:r w:rsidRPr="00146C6E">
        <w:rPr>
          <w:rFonts w:eastAsiaTheme="minorHAnsi"/>
        </w:rPr>
        <w:t xml:space="preserve">. </w:t>
      </w:r>
      <w:r w:rsidR="00B41F9C">
        <w:rPr>
          <w:rFonts w:eastAsiaTheme="minorHAnsi"/>
        </w:rPr>
        <w:t>Members/enrollees</w:t>
      </w:r>
      <w:r w:rsidRPr="00146C6E">
        <w:rPr>
          <w:rFonts w:eastAsiaTheme="minorHAnsi"/>
        </w:rPr>
        <w:t xml:space="preserve"> should consult with their treating physician in connection with diagnosis and treatment decisions. </w:t>
      </w:r>
    </w:p>
    <w:p w14:paraId="1BDE6598" w14:textId="77777777" w:rsidR="00DD6ADB" w:rsidRPr="00146C6E" w:rsidRDefault="00DD6ADB" w:rsidP="00146C6E">
      <w:pPr>
        <w:rPr>
          <w:rFonts w:eastAsiaTheme="minorHAnsi"/>
        </w:rPr>
      </w:pPr>
    </w:p>
    <w:p w14:paraId="3DEC4219"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2BB096AB" w14:textId="77777777" w:rsidR="00DD6ADB" w:rsidRPr="00146C6E" w:rsidRDefault="00DD6ADB" w:rsidP="00146C6E">
      <w:pPr>
        <w:rPr>
          <w:rFonts w:eastAsiaTheme="minorHAnsi"/>
        </w:rPr>
      </w:pPr>
    </w:p>
    <w:p w14:paraId="3090F2F1"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B41F9C">
        <w:rPr>
          <w:rFonts w:eastAsiaTheme="minorHAnsi"/>
        </w:rPr>
        <w:t>members/enrollees</w:t>
      </w:r>
      <w:r w:rsidRPr="00146C6E">
        <w:rPr>
          <w:rFonts w:eastAsiaTheme="minorHAnsi"/>
        </w:rPr>
        <w:t xml:space="preserve"> and their representatives are bound to the terms and conditions expressed herein through the terms of their contracts. Where no such contract exists, providers, </w:t>
      </w:r>
      <w:r w:rsidR="00B41F9C">
        <w:rPr>
          <w:rFonts w:eastAsiaTheme="minorHAnsi"/>
        </w:rPr>
        <w:t>members/enrollees</w:t>
      </w:r>
      <w:r w:rsidRPr="00146C6E">
        <w:rPr>
          <w:rFonts w:eastAsiaTheme="minorHAnsi"/>
        </w:rPr>
        <w:t xml:space="preserve"> and their representatives agree to be bound by such terms and conditions by providing services to </w:t>
      </w:r>
      <w:r w:rsidR="00B41F9C">
        <w:rPr>
          <w:rFonts w:eastAsiaTheme="minorHAnsi"/>
        </w:rPr>
        <w:t>members/enrollees</w:t>
      </w:r>
      <w:r w:rsidRPr="00146C6E">
        <w:rPr>
          <w:rFonts w:eastAsiaTheme="minorHAnsi"/>
        </w:rPr>
        <w:t xml:space="preserve"> and/or submitting claims for payment for such services.  </w:t>
      </w:r>
    </w:p>
    <w:p w14:paraId="43C4D2B4" w14:textId="77777777" w:rsidR="00DD6ADB" w:rsidRPr="00146C6E" w:rsidRDefault="00DD6ADB" w:rsidP="00146C6E">
      <w:pPr>
        <w:autoSpaceDE w:val="0"/>
        <w:autoSpaceDN w:val="0"/>
        <w:adjustRightInd w:val="0"/>
        <w:rPr>
          <w:rFonts w:eastAsiaTheme="minorHAnsi"/>
          <w:color w:val="000000"/>
        </w:rPr>
      </w:pPr>
    </w:p>
    <w:p w14:paraId="70D42458"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B41F9C">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58345D3" w14:textId="77777777" w:rsidR="00DD6ADB" w:rsidRPr="00146C6E" w:rsidRDefault="00DD6ADB" w:rsidP="00146C6E">
      <w:pPr>
        <w:rPr>
          <w:rFonts w:eastAsiaTheme="minorHAnsi"/>
        </w:rPr>
      </w:pPr>
    </w:p>
    <w:p w14:paraId="681A5AE2" w14:textId="77777777" w:rsidR="00DD6ADB" w:rsidRPr="00146C6E" w:rsidRDefault="00DD6ADB" w:rsidP="00146C6E">
      <w:pPr>
        <w:autoSpaceDE w:val="0"/>
        <w:autoSpaceDN w:val="0"/>
        <w:adjustRightInd w:val="0"/>
        <w:rPr>
          <w:color w:val="000000"/>
        </w:rPr>
      </w:pPr>
      <w:r w:rsidRPr="00146C6E">
        <w:rPr>
          <w:rFonts w:eastAsiaTheme="minorHAnsi"/>
          <w:b/>
          <w:bCs/>
          <w:color w:val="000000"/>
        </w:rPr>
        <w:lastRenderedPageBreak/>
        <w:t xml:space="preserve">Note: For Medicare </w:t>
      </w:r>
      <w:r w:rsidR="00B41F9C">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6"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561D88E3" w14:textId="77777777" w:rsidR="00875924" w:rsidRPr="00146C6E" w:rsidRDefault="00875924" w:rsidP="00146C6E">
      <w:pPr>
        <w:rPr>
          <w:iCs/>
        </w:rPr>
      </w:pPr>
    </w:p>
    <w:p w14:paraId="46193ED0" w14:textId="77777777" w:rsidR="00C75BD4" w:rsidRPr="00146C6E" w:rsidRDefault="00CB63DD" w:rsidP="00146C6E">
      <w:pPr>
        <w:rPr>
          <w:iCs/>
        </w:rPr>
      </w:pPr>
      <w:r>
        <w:rPr>
          <w:iCs/>
        </w:rPr>
        <w:t>©</w:t>
      </w:r>
      <w:r w:rsidR="008F3AD9">
        <w:rPr>
          <w:iCs/>
        </w:rPr>
        <w:t>201</w:t>
      </w:r>
      <w:r w:rsidR="004851E8">
        <w:rPr>
          <w:iCs/>
        </w:rPr>
        <w:t>6</w:t>
      </w:r>
      <w:r w:rsidR="008F3AD9" w:rsidRPr="00146C6E">
        <w:rPr>
          <w:iCs/>
        </w:rPr>
        <w:t xml:space="preserve"> </w:t>
      </w:r>
      <w:r w:rsidR="00C75BD4" w:rsidRPr="00146C6E">
        <w:rPr>
          <w:iCs/>
        </w:rPr>
        <w:t>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518B7CF1"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777F" w14:textId="77777777" w:rsidR="00555C1F" w:rsidRDefault="00555C1F">
      <w:r>
        <w:separator/>
      </w:r>
    </w:p>
  </w:endnote>
  <w:endnote w:type="continuationSeparator" w:id="0">
    <w:p w14:paraId="06321939" w14:textId="77777777" w:rsidR="00555C1F" w:rsidRDefault="0055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FF11" w14:textId="77777777" w:rsidR="00CF25CB" w:rsidRDefault="00CF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BDC7" w14:textId="7777777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153819">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153819">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1FD9" w14:textId="77777777" w:rsidR="002C6AAB" w:rsidRDefault="002C6AAB" w:rsidP="002C6AAB">
    <w:pPr>
      <w:pStyle w:val="Footer"/>
      <w:jc w:val="center"/>
    </w:pPr>
    <w:r>
      <w:t xml:space="preserve">Page </w:t>
    </w:r>
    <w:r>
      <w:fldChar w:fldCharType="begin"/>
    </w:r>
    <w:r>
      <w:instrText xml:space="preserve"> PAGE   \* MERGEFORMAT </w:instrText>
    </w:r>
    <w:r>
      <w:fldChar w:fldCharType="separate"/>
    </w:r>
    <w:r w:rsidR="00153819">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153819">
      <w:rPr>
        <w:noProof/>
      </w:rPr>
      <w:t>9</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36D9" w14:textId="77777777" w:rsidR="00555C1F" w:rsidRDefault="00555C1F">
      <w:r>
        <w:separator/>
      </w:r>
    </w:p>
  </w:footnote>
  <w:footnote w:type="continuationSeparator" w:id="0">
    <w:p w14:paraId="21753093" w14:textId="77777777" w:rsidR="00555C1F" w:rsidRDefault="0055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22E6" w14:textId="77777777" w:rsidR="00CF25CB" w:rsidRDefault="00CF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2706"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F260CB0" wp14:editId="01C19FAC">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663D0CC" w14:textId="77777777" w:rsidR="00DD025A" w:rsidRPr="00B777AF" w:rsidRDefault="00680F35" w:rsidP="00B777AF">
    <w:pPr>
      <w:rPr>
        <w:color w:val="00548C"/>
      </w:rPr>
    </w:pPr>
    <w:r>
      <w:rPr>
        <w:rFonts w:ascii="Times New Roman Bold" w:hAnsi="Times New Roman Bold"/>
        <w:b/>
        <w:bCs/>
        <w:color w:val="00548C"/>
      </w:rPr>
      <w:t>Osteogenic Stimulation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299B" w14:textId="77777777" w:rsidR="009135E0" w:rsidRDefault="00A20F73" w:rsidP="00B777AF">
    <w:pPr>
      <w:pStyle w:val="Header"/>
      <w:jc w:val="right"/>
    </w:pPr>
    <w:r>
      <w:rPr>
        <w:noProof/>
      </w:rPr>
      <w:drawing>
        <wp:inline distT="0" distB="0" distL="0" distR="0" wp14:anchorId="7C1733E4" wp14:editId="212EAAB1">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9515837" o:spid="_x0000_i1026" type="#_x0000_t75" style="width:9pt;height:9pt;visibility:visible;mso-wrap-style:square" o:bullet="t">
        <v:imagedata r:id="rId1" o:title=""/>
      </v:shape>
    </w:pict>
  </w:numPicBullet>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26BD"/>
    <w:multiLevelType w:val="multilevel"/>
    <w:tmpl w:val="E0BE9E7A"/>
    <w:lvl w:ilvl="0">
      <w:start w:val="4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F30C72"/>
    <w:multiLevelType w:val="hybridMultilevel"/>
    <w:tmpl w:val="55062500"/>
    <w:lvl w:ilvl="0" w:tplc="6BAC0802">
      <w:start w:val="1"/>
      <w:numFmt w:val="upperRoman"/>
      <w:lvlText w:val="%1."/>
      <w:lvlJc w:val="left"/>
      <w:pPr>
        <w:ind w:left="720" w:hanging="360"/>
      </w:pPr>
      <w:rPr>
        <w:rFonts w:hint="default"/>
        <w:b/>
        <w:i w:val="0"/>
      </w:rPr>
    </w:lvl>
    <w:lvl w:ilvl="1" w:tplc="C9321404">
      <w:start w:val="1"/>
      <w:numFmt w:val="upperLetter"/>
      <w:lvlText w:val="%2."/>
      <w:lvlJc w:val="left"/>
      <w:pPr>
        <w:ind w:left="1440" w:hanging="360"/>
      </w:pPr>
      <w:rPr>
        <w:b w:val="0"/>
      </w:rPr>
    </w:lvl>
    <w:lvl w:ilvl="2" w:tplc="DE54FC16">
      <w:start w:val="1"/>
      <w:numFmt w:val="decimal"/>
      <w:lvlText w:val="%3."/>
      <w:lvlJc w:val="left"/>
      <w:pPr>
        <w:ind w:left="2160" w:hanging="180"/>
      </w:pPr>
      <w:rPr>
        <w:b w:val="0"/>
      </w:rPr>
    </w:lvl>
    <w:lvl w:ilvl="3" w:tplc="0409000F">
      <w:start w:val="1"/>
      <w:numFmt w:val="decimal"/>
      <w:lvlText w:val="%4."/>
      <w:lvlJc w:val="left"/>
      <w:pPr>
        <w:ind w:left="2880" w:hanging="360"/>
      </w:pPr>
      <w:rPr>
        <w:b w:val="0"/>
      </w:r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F0374"/>
    <w:multiLevelType w:val="hybridMultilevel"/>
    <w:tmpl w:val="60809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85B6C"/>
    <w:multiLevelType w:val="hybridMultilevel"/>
    <w:tmpl w:val="206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383491"/>
    <w:multiLevelType w:val="hybridMultilevel"/>
    <w:tmpl w:val="A83ED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73553"/>
    <w:multiLevelType w:val="hybridMultilevel"/>
    <w:tmpl w:val="C08E9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4716B"/>
    <w:multiLevelType w:val="multilevel"/>
    <w:tmpl w:val="8EA4A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0AC11EC"/>
    <w:multiLevelType w:val="hybridMultilevel"/>
    <w:tmpl w:val="AF42E3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EF5156"/>
    <w:multiLevelType w:val="hybridMultilevel"/>
    <w:tmpl w:val="20FCED70"/>
    <w:lvl w:ilvl="0" w:tplc="0A3C1E8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F0D31"/>
    <w:multiLevelType w:val="hybridMultilevel"/>
    <w:tmpl w:val="8800CB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1767E"/>
    <w:multiLevelType w:val="hybridMultilevel"/>
    <w:tmpl w:val="1A16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96562"/>
    <w:multiLevelType w:val="hybridMultilevel"/>
    <w:tmpl w:val="88BA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E3D0A"/>
    <w:multiLevelType w:val="hybridMultilevel"/>
    <w:tmpl w:val="EA9027A0"/>
    <w:lvl w:ilvl="0" w:tplc="6BAC0802">
      <w:start w:val="1"/>
      <w:numFmt w:val="upperRoman"/>
      <w:lvlText w:val="%1."/>
      <w:lvlJc w:val="left"/>
      <w:pPr>
        <w:ind w:left="720" w:hanging="360"/>
      </w:pPr>
      <w:rPr>
        <w:rFonts w:hint="default"/>
        <w:b/>
        <w:i w:val="0"/>
      </w:rPr>
    </w:lvl>
    <w:lvl w:ilvl="1" w:tplc="C9321404">
      <w:start w:val="1"/>
      <w:numFmt w:val="upperLetter"/>
      <w:lvlText w:val="%2."/>
      <w:lvlJc w:val="left"/>
      <w:pPr>
        <w:ind w:left="1440" w:hanging="360"/>
      </w:pPr>
      <w:rPr>
        <w:b w:val="0"/>
      </w:rPr>
    </w:lvl>
    <w:lvl w:ilvl="2" w:tplc="DE54FC16">
      <w:start w:val="1"/>
      <w:numFmt w:val="decimal"/>
      <w:lvlText w:val="%3."/>
      <w:lvlJc w:val="left"/>
      <w:pPr>
        <w:ind w:left="2160" w:hanging="180"/>
      </w:pPr>
      <w:rPr>
        <w:b w:val="0"/>
      </w:rPr>
    </w:lvl>
    <w:lvl w:ilvl="3" w:tplc="72C45C66">
      <w:start w:val="1"/>
      <w:numFmt w:val="lowerLetter"/>
      <w:lvlText w:val="%4."/>
      <w:lvlJc w:val="left"/>
      <w:pPr>
        <w:ind w:left="2880" w:hanging="360"/>
      </w:pPr>
      <w:rPr>
        <w:b w:val="0"/>
      </w:r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710372874">
    <w:abstractNumId w:val="32"/>
  </w:num>
  <w:num w:numId="2" w16cid:durableId="505678802">
    <w:abstractNumId w:val="0"/>
  </w:num>
  <w:num w:numId="3" w16cid:durableId="943733419">
    <w:abstractNumId w:val="12"/>
  </w:num>
  <w:num w:numId="4" w16cid:durableId="440537257">
    <w:abstractNumId w:val="16"/>
  </w:num>
  <w:num w:numId="5" w16cid:durableId="1688216904">
    <w:abstractNumId w:val="17"/>
  </w:num>
  <w:num w:numId="6" w16cid:durableId="1635057825">
    <w:abstractNumId w:val="24"/>
  </w:num>
  <w:num w:numId="7" w16cid:durableId="1348679887">
    <w:abstractNumId w:val="25"/>
  </w:num>
  <w:num w:numId="8" w16cid:durableId="1627084795">
    <w:abstractNumId w:val="4"/>
  </w:num>
  <w:num w:numId="9" w16cid:durableId="655493815">
    <w:abstractNumId w:val="21"/>
  </w:num>
  <w:num w:numId="10" w16cid:durableId="907688006">
    <w:abstractNumId w:val="10"/>
  </w:num>
  <w:num w:numId="11" w16cid:durableId="480270339">
    <w:abstractNumId w:val="31"/>
  </w:num>
  <w:num w:numId="12" w16cid:durableId="370769091">
    <w:abstractNumId w:val="15"/>
  </w:num>
  <w:num w:numId="13" w16cid:durableId="803080053">
    <w:abstractNumId w:val="14"/>
  </w:num>
  <w:num w:numId="14" w16cid:durableId="1527980452">
    <w:abstractNumId w:val="8"/>
  </w:num>
  <w:num w:numId="15" w16cid:durableId="110245478">
    <w:abstractNumId w:val="11"/>
  </w:num>
  <w:num w:numId="16" w16cid:durableId="415522393">
    <w:abstractNumId w:val="26"/>
  </w:num>
  <w:num w:numId="17" w16cid:durableId="905843007">
    <w:abstractNumId w:val="22"/>
  </w:num>
  <w:num w:numId="18" w16cid:durableId="1229732089">
    <w:abstractNumId w:val="18"/>
  </w:num>
  <w:num w:numId="19" w16cid:durableId="690374422">
    <w:abstractNumId w:val="9"/>
  </w:num>
  <w:num w:numId="20" w16cid:durableId="789011907">
    <w:abstractNumId w:val="6"/>
  </w:num>
  <w:num w:numId="21" w16cid:durableId="1622033401">
    <w:abstractNumId w:val="23"/>
  </w:num>
  <w:num w:numId="22" w16cid:durableId="1399329248">
    <w:abstractNumId w:val="19"/>
  </w:num>
  <w:num w:numId="23" w16cid:durableId="1158033379">
    <w:abstractNumId w:val="1"/>
  </w:num>
  <w:num w:numId="24" w16cid:durableId="1199855911">
    <w:abstractNumId w:val="28"/>
  </w:num>
  <w:num w:numId="25" w16cid:durableId="485629395">
    <w:abstractNumId w:val="20"/>
  </w:num>
  <w:num w:numId="26" w16cid:durableId="700783811">
    <w:abstractNumId w:val="3"/>
  </w:num>
  <w:num w:numId="27" w16cid:durableId="1716734041">
    <w:abstractNumId w:val="29"/>
  </w:num>
  <w:num w:numId="28" w16cid:durableId="409619526">
    <w:abstractNumId w:val="7"/>
  </w:num>
  <w:num w:numId="29" w16cid:durableId="1487084386">
    <w:abstractNumId w:val="5"/>
  </w:num>
  <w:num w:numId="30" w16cid:durableId="750737574">
    <w:abstractNumId w:val="30"/>
  </w:num>
  <w:num w:numId="31" w16cid:durableId="1131366480">
    <w:abstractNumId w:val="13"/>
  </w:num>
  <w:num w:numId="32" w16cid:durableId="1822039050">
    <w:abstractNumId w:val="27"/>
  </w:num>
  <w:num w:numId="33" w16cid:durableId="1046493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21C"/>
    <w:rsid w:val="00001B08"/>
    <w:rsid w:val="00006B9F"/>
    <w:rsid w:val="00007843"/>
    <w:rsid w:val="00007F67"/>
    <w:rsid w:val="00014487"/>
    <w:rsid w:val="000159AB"/>
    <w:rsid w:val="00015A17"/>
    <w:rsid w:val="000169BF"/>
    <w:rsid w:val="00020AF9"/>
    <w:rsid w:val="00024894"/>
    <w:rsid w:val="000268BC"/>
    <w:rsid w:val="0003006A"/>
    <w:rsid w:val="00032D3F"/>
    <w:rsid w:val="0003372B"/>
    <w:rsid w:val="00033A94"/>
    <w:rsid w:val="00042722"/>
    <w:rsid w:val="000434D8"/>
    <w:rsid w:val="00043EE1"/>
    <w:rsid w:val="00044A44"/>
    <w:rsid w:val="000453B3"/>
    <w:rsid w:val="00045A70"/>
    <w:rsid w:val="000465DE"/>
    <w:rsid w:val="0004733E"/>
    <w:rsid w:val="00051C12"/>
    <w:rsid w:val="00053031"/>
    <w:rsid w:val="00060509"/>
    <w:rsid w:val="00063EF7"/>
    <w:rsid w:val="000675B5"/>
    <w:rsid w:val="00070E67"/>
    <w:rsid w:val="00071A24"/>
    <w:rsid w:val="00071DA0"/>
    <w:rsid w:val="00072045"/>
    <w:rsid w:val="00077D54"/>
    <w:rsid w:val="0008266A"/>
    <w:rsid w:val="00082A0C"/>
    <w:rsid w:val="0008309A"/>
    <w:rsid w:val="00083740"/>
    <w:rsid w:val="0008414F"/>
    <w:rsid w:val="00085A5C"/>
    <w:rsid w:val="00085A80"/>
    <w:rsid w:val="00087C83"/>
    <w:rsid w:val="00092426"/>
    <w:rsid w:val="00092E17"/>
    <w:rsid w:val="000938F2"/>
    <w:rsid w:val="00094136"/>
    <w:rsid w:val="000A1E50"/>
    <w:rsid w:val="000A1FCD"/>
    <w:rsid w:val="000A26C1"/>
    <w:rsid w:val="000A2BD1"/>
    <w:rsid w:val="000A2E94"/>
    <w:rsid w:val="000A3B4C"/>
    <w:rsid w:val="000A3F85"/>
    <w:rsid w:val="000A4D25"/>
    <w:rsid w:val="000B13BC"/>
    <w:rsid w:val="000B3001"/>
    <w:rsid w:val="000B3DC2"/>
    <w:rsid w:val="000B4BE7"/>
    <w:rsid w:val="000B6635"/>
    <w:rsid w:val="000B66E5"/>
    <w:rsid w:val="000B7782"/>
    <w:rsid w:val="000B7DA3"/>
    <w:rsid w:val="000C7C66"/>
    <w:rsid w:val="000D1272"/>
    <w:rsid w:val="000D36E3"/>
    <w:rsid w:val="000D40EF"/>
    <w:rsid w:val="000D54FA"/>
    <w:rsid w:val="000D6CDC"/>
    <w:rsid w:val="000E38F0"/>
    <w:rsid w:val="000E3A9A"/>
    <w:rsid w:val="000E6654"/>
    <w:rsid w:val="000F10C2"/>
    <w:rsid w:val="000F14E6"/>
    <w:rsid w:val="000F29E3"/>
    <w:rsid w:val="000F40D5"/>
    <w:rsid w:val="000F41B3"/>
    <w:rsid w:val="000F535C"/>
    <w:rsid w:val="000F7D81"/>
    <w:rsid w:val="00100D80"/>
    <w:rsid w:val="0010211D"/>
    <w:rsid w:val="00104259"/>
    <w:rsid w:val="00104B74"/>
    <w:rsid w:val="00110819"/>
    <w:rsid w:val="00112069"/>
    <w:rsid w:val="001148A8"/>
    <w:rsid w:val="001162ED"/>
    <w:rsid w:val="00122851"/>
    <w:rsid w:val="00122F36"/>
    <w:rsid w:val="001312C2"/>
    <w:rsid w:val="001336A2"/>
    <w:rsid w:val="00136F99"/>
    <w:rsid w:val="0014316D"/>
    <w:rsid w:val="00146C6E"/>
    <w:rsid w:val="001475A4"/>
    <w:rsid w:val="001478F1"/>
    <w:rsid w:val="00147EC3"/>
    <w:rsid w:val="00153819"/>
    <w:rsid w:val="0016235C"/>
    <w:rsid w:val="00165C88"/>
    <w:rsid w:val="0016751E"/>
    <w:rsid w:val="001709F1"/>
    <w:rsid w:val="00170B14"/>
    <w:rsid w:val="00171B56"/>
    <w:rsid w:val="00173BEA"/>
    <w:rsid w:val="00174746"/>
    <w:rsid w:val="00175466"/>
    <w:rsid w:val="00176AE0"/>
    <w:rsid w:val="001818D7"/>
    <w:rsid w:val="0018224A"/>
    <w:rsid w:val="00182F72"/>
    <w:rsid w:val="00185104"/>
    <w:rsid w:val="001853FB"/>
    <w:rsid w:val="00187155"/>
    <w:rsid w:val="00187E26"/>
    <w:rsid w:val="00193449"/>
    <w:rsid w:val="00195C73"/>
    <w:rsid w:val="001962BE"/>
    <w:rsid w:val="00196689"/>
    <w:rsid w:val="00196935"/>
    <w:rsid w:val="0019746F"/>
    <w:rsid w:val="001A54EB"/>
    <w:rsid w:val="001A56A5"/>
    <w:rsid w:val="001B0841"/>
    <w:rsid w:val="001B22E5"/>
    <w:rsid w:val="001B5A0A"/>
    <w:rsid w:val="001B6222"/>
    <w:rsid w:val="001B717C"/>
    <w:rsid w:val="001C1F98"/>
    <w:rsid w:val="001C2F00"/>
    <w:rsid w:val="001C3DF3"/>
    <w:rsid w:val="001C542C"/>
    <w:rsid w:val="001C73B1"/>
    <w:rsid w:val="001D0D34"/>
    <w:rsid w:val="001D70D4"/>
    <w:rsid w:val="001E1CA7"/>
    <w:rsid w:val="001E4199"/>
    <w:rsid w:val="001E4525"/>
    <w:rsid w:val="001E4EBB"/>
    <w:rsid w:val="001E7D12"/>
    <w:rsid w:val="001F3B85"/>
    <w:rsid w:val="001F3D6C"/>
    <w:rsid w:val="001F3D90"/>
    <w:rsid w:val="00203623"/>
    <w:rsid w:val="00203D15"/>
    <w:rsid w:val="0020515A"/>
    <w:rsid w:val="0020675F"/>
    <w:rsid w:val="0020775E"/>
    <w:rsid w:val="0021188D"/>
    <w:rsid w:val="002127CA"/>
    <w:rsid w:val="002160BC"/>
    <w:rsid w:val="00220736"/>
    <w:rsid w:val="00220995"/>
    <w:rsid w:val="002226C9"/>
    <w:rsid w:val="002238DF"/>
    <w:rsid w:val="00223B1F"/>
    <w:rsid w:val="00224249"/>
    <w:rsid w:val="00224579"/>
    <w:rsid w:val="00230FE4"/>
    <w:rsid w:val="00233651"/>
    <w:rsid w:val="00234537"/>
    <w:rsid w:val="0023755E"/>
    <w:rsid w:val="00244879"/>
    <w:rsid w:val="00245327"/>
    <w:rsid w:val="0025019E"/>
    <w:rsid w:val="002505CB"/>
    <w:rsid w:val="00250FE5"/>
    <w:rsid w:val="00251112"/>
    <w:rsid w:val="00251994"/>
    <w:rsid w:val="00254020"/>
    <w:rsid w:val="0025452A"/>
    <w:rsid w:val="00256F20"/>
    <w:rsid w:val="00257F79"/>
    <w:rsid w:val="0026080C"/>
    <w:rsid w:val="0026271A"/>
    <w:rsid w:val="00264428"/>
    <w:rsid w:val="0026606B"/>
    <w:rsid w:val="00272295"/>
    <w:rsid w:val="00280A1C"/>
    <w:rsid w:val="00285439"/>
    <w:rsid w:val="00285997"/>
    <w:rsid w:val="0029357C"/>
    <w:rsid w:val="00294383"/>
    <w:rsid w:val="002943E0"/>
    <w:rsid w:val="00296DD6"/>
    <w:rsid w:val="00296EDE"/>
    <w:rsid w:val="002A076A"/>
    <w:rsid w:val="002A1043"/>
    <w:rsid w:val="002A2425"/>
    <w:rsid w:val="002A2A42"/>
    <w:rsid w:val="002A39EE"/>
    <w:rsid w:val="002A5983"/>
    <w:rsid w:val="002B0582"/>
    <w:rsid w:val="002B06E2"/>
    <w:rsid w:val="002B3D04"/>
    <w:rsid w:val="002C5063"/>
    <w:rsid w:val="002C6AAB"/>
    <w:rsid w:val="002C6DA1"/>
    <w:rsid w:val="002D019A"/>
    <w:rsid w:val="002E40E5"/>
    <w:rsid w:val="002E48E7"/>
    <w:rsid w:val="002E5306"/>
    <w:rsid w:val="002F0779"/>
    <w:rsid w:val="002F1312"/>
    <w:rsid w:val="00306B07"/>
    <w:rsid w:val="003116EC"/>
    <w:rsid w:val="003140D6"/>
    <w:rsid w:val="00315118"/>
    <w:rsid w:val="00323B64"/>
    <w:rsid w:val="00331D07"/>
    <w:rsid w:val="00331ECD"/>
    <w:rsid w:val="00333078"/>
    <w:rsid w:val="00336E37"/>
    <w:rsid w:val="00341BF9"/>
    <w:rsid w:val="0034230E"/>
    <w:rsid w:val="00342638"/>
    <w:rsid w:val="0034265A"/>
    <w:rsid w:val="00350F22"/>
    <w:rsid w:val="00352E27"/>
    <w:rsid w:val="0036266E"/>
    <w:rsid w:val="00366629"/>
    <w:rsid w:val="00367872"/>
    <w:rsid w:val="00367BA8"/>
    <w:rsid w:val="00375862"/>
    <w:rsid w:val="00375B5B"/>
    <w:rsid w:val="00383149"/>
    <w:rsid w:val="00383E92"/>
    <w:rsid w:val="003840CC"/>
    <w:rsid w:val="00384E58"/>
    <w:rsid w:val="00394B93"/>
    <w:rsid w:val="0039666E"/>
    <w:rsid w:val="0039669E"/>
    <w:rsid w:val="00397064"/>
    <w:rsid w:val="003972CC"/>
    <w:rsid w:val="003A21EB"/>
    <w:rsid w:val="003A2939"/>
    <w:rsid w:val="003A7906"/>
    <w:rsid w:val="003B0D5E"/>
    <w:rsid w:val="003B5EDD"/>
    <w:rsid w:val="003C18A6"/>
    <w:rsid w:val="003C1ADD"/>
    <w:rsid w:val="003D149B"/>
    <w:rsid w:val="003D326A"/>
    <w:rsid w:val="003D7BE7"/>
    <w:rsid w:val="003E25AD"/>
    <w:rsid w:val="003E2F58"/>
    <w:rsid w:val="003E6E49"/>
    <w:rsid w:val="003F0730"/>
    <w:rsid w:val="003F1668"/>
    <w:rsid w:val="003F3D44"/>
    <w:rsid w:val="00400FEA"/>
    <w:rsid w:val="0040405C"/>
    <w:rsid w:val="004044AA"/>
    <w:rsid w:val="004046D8"/>
    <w:rsid w:val="00404A47"/>
    <w:rsid w:val="00410E8E"/>
    <w:rsid w:val="00412144"/>
    <w:rsid w:val="004131D6"/>
    <w:rsid w:val="0041420A"/>
    <w:rsid w:val="00414A9F"/>
    <w:rsid w:val="0041718C"/>
    <w:rsid w:val="00417D7D"/>
    <w:rsid w:val="00420C0B"/>
    <w:rsid w:val="00421808"/>
    <w:rsid w:val="0042264A"/>
    <w:rsid w:val="00424B64"/>
    <w:rsid w:val="0043030E"/>
    <w:rsid w:val="00432215"/>
    <w:rsid w:val="004336C8"/>
    <w:rsid w:val="0043741B"/>
    <w:rsid w:val="0044375B"/>
    <w:rsid w:val="004442F6"/>
    <w:rsid w:val="004473B6"/>
    <w:rsid w:val="0045000D"/>
    <w:rsid w:val="004502E7"/>
    <w:rsid w:val="0045178D"/>
    <w:rsid w:val="00454E5A"/>
    <w:rsid w:val="00460B9C"/>
    <w:rsid w:val="00461EC9"/>
    <w:rsid w:val="0046253A"/>
    <w:rsid w:val="004648C8"/>
    <w:rsid w:val="004667C6"/>
    <w:rsid w:val="0046739D"/>
    <w:rsid w:val="00472C6C"/>
    <w:rsid w:val="00473571"/>
    <w:rsid w:val="00473BAE"/>
    <w:rsid w:val="00476315"/>
    <w:rsid w:val="00476979"/>
    <w:rsid w:val="00480C09"/>
    <w:rsid w:val="00482BDE"/>
    <w:rsid w:val="004851E8"/>
    <w:rsid w:val="00491678"/>
    <w:rsid w:val="004932D7"/>
    <w:rsid w:val="00493710"/>
    <w:rsid w:val="00493A14"/>
    <w:rsid w:val="00496BCF"/>
    <w:rsid w:val="0049704B"/>
    <w:rsid w:val="0049710A"/>
    <w:rsid w:val="00497AED"/>
    <w:rsid w:val="004A6224"/>
    <w:rsid w:val="004A6761"/>
    <w:rsid w:val="004A6D7A"/>
    <w:rsid w:val="004C2A3C"/>
    <w:rsid w:val="004C2DD5"/>
    <w:rsid w:val="004C7108"/>
    <w:rsid w:val="004D2864"/>
    <w:rsid w:val="004D5053"/>
    <w:rsid w:val="004D7EC8"/>
    <w:rsid w:val="004E0B99"/>
    <w:rsid w:val="004E171C"/>
    <w:rsid w:val="004E35C3"/>
    <w:rsid w:val="004E55B7"/>
    <w:rsid w:val="004F455A"/>
    <w:rsid w:val="004F5FCB"/>
    <w:rsid w:val="004F6394"/>
    <w:rsid w:val="00501F17"/>
    <w:rsid w:val="00502868"/>
    <w:rsid w:val="00502CAC"/>
    <w:rsid w:val="00503A59"/>
    <w:rsid w:val="00504727"/>
    <w:rsid w:val="00505830"/>
    <w:rsid w:val="00506456"/>
    <w:rsid w:val="00507017"/>
    <w:rsid w:val="0050776E"/>
    <w:rsid w:val="005103B8"/>
    <w:rsid w:val="0051692E"/>
    <w:rsid w:val="00524BBD"/>
    <w:rsid w:val="00527681"/>
    <w:rsid w:val="005313AA"/>
    <w:rsid w:val="0053273C"/>
    <w:rsid w:val="00533A30"/>
    <w:rsid w:val="00534FE1"/>
    <w:rsid w:val="00542215"/>
    <w:rsid w:val="005423D4"/>
    <w:rsid w:val="00542D7A"/>
    <w:rsid w:val="0055092B"/>
    <w:rsid w:val="00550AFF"/>
    <w:rsid w:val="0055103C"/>
    <w:rsid w:val="005537B0"/>
    <w:rsid w:val="00554A5D"/>
    <w:rsid w:val="00555C1F"/>
    <w:rsid w:val="00561CA9"/>
    <w:rsid w:val="005620A6"/>
    <w:rsid w:val="0056261E"/>
    <w:rsid w:val="005628AA"/>
    <w:rsid w:val="005630E8"/>
    <w:rsid w:val="00564757"/>
    <w:rsid w:val="005659AA"/>
    <w:rsid w:val="00566DD2"/>
    <w:rsid w:val="00566EB3"/>
    <w:rsid w:val="00567BE0"/>
    <w:rsid w:val="005720B4"/>
    <w:rsid w:val="00574A0F"/>
    <w:rsid w:val="005776FD"/>
    <w:rsid w:val="00581246"/>
    <w:rsid w:val="00583376"/>
    <w:rsid w:val="005839B7"/>
    <w:rsid w:val="00585263"/>
    <w:rsid w:val="00590143"/>
    <w:rsid w:val="00590F57"/>
    <w:rsid w:val="00591FF4"/>
    <w:rsid w:val="005920B1"/>
    <w:rsid w:val="00593506"/>
    <w:rsid w:val="005962E3"/>
    <w:rsid w:val="00597A30"/>
    <w:rsid w:val="00597FF2"/>
    <w:rsid w:val="005A11EA"/>
    <w:rsid w:val="005A235E"/>
    <w:rsid w:val="005A3B62"/>
    <w:rsid w:val="005A5807"/>
    <w:rsid w:val="005A70F3"/>
    <w:rsid w:val="005A719B"/>
    <w:rsid w:val="005A7903"/>
    <w:rsid w:val="005B0142"/>
    <w:rsid w:val="005B334C"/>
    <w:rsid w:val="005B4EEC"/>
    <w:rsid w:val="005B6622"/>
    <w:rsid w:val="005C08F5"/>
    <w:rsid w:val="005C0E96"/>
    <w:rsid w:val="005C17DF"/>
    <w:rsid w:val="005C28E6"/>
    <w:rsid w:val="005C3607"/>
    <w:rsid w:val="005C48CF"/>
    <w:rsid w:val="005C4ADB"/>
    <w:rsid w:val="005D009F"/>
    <w:rsid w:val="005D145F"/>
    <w:rsid w:val="005D3EF5"/>
    <w:rsid w:val="005D5146"/>
    <w:rsid w:val="005D7208"/>
    <w:rsid w:val="005D7B81"/>
    <w:rsid w:val="005E0E45"/>
    <w:rsid w:val="005E0E8D"/>
    <w:rsid w:val="005E1067"/>
    <w:rsid w:val="005E10CA"/>
    <w:rsid w:val="005E2E84"/>
    <w:rsid w:val="005E411E"/>
    <w:rsid w:val="005E5062"/>
    <w:rsid w:val="005E7881"/>
    <w:rsid w:val="005F051C"/>
    <w:rsid w:val="005F076F"/>
    <w:rsid w:val="005F089D"/>
    <w:rsid w:val="005F2F1C"/>
    <w:rsid w:val="005F3746"/>
    <w:rsid w:val="00601E4F"/>
    <w:rsid w:val="0060499F"/>
    <w:rsid w:val="006053B3"/>
    <w:rsid w:val="00607393"/>
    <w:rsid w:val="00607432"/>
    <w:rsid w:val="006110FA"/>
    <w:rsid w:val="006119C8"/>
    <w:rsid w:val="00611C80"/>
    <w:rsid w:val="00611E39"/>
    <w:rsid w:val="00613449"/>
    <w:rsid w:val="006142D7"/>
    <w:rsid w:val="00614F8F"/>
    <w:rsid w:val="006252E9"/>
    <w:rsid w:val="00625464"/>
    <w:rsid w:val="006257F1"/>
    <w:rsid w:val="006348CF"/>
    <w:rsid w:val="00640009"/>
    <w:rsid w:val="00642E8E"/>
    <w:rsid w:val="00643F20"/>
    <w:rsid w:val="006457CE"/>
    <w:rsid w:val="006474BB"/>
    <w:rsid w:val="00647A1A"/>
    <w:rsid w:val="0065122F"/>
    <w:rsid w:val="0065408D"/>
    <w:rsid w:val="006551F4"/>
    <w:rsid w:val="0066192C"/>
    <w:rsid w:val="00664039"/>
    <w:rsid w:val="006657F4"/>
    <w:rsid w:val="006664E9"/>
    <w:rsid w:val="0066673F"/>
    <w:rsid w:val="0067038A"/>
    <w:rsid w:val="0067383D"/>
    <w:rsid w:val="0067492B"/>
    <w:rsid w:val="00676BE5"/>
    <w:rsid w:val="0067783F"/>
    <w:rsid w:val="00680458"/>
    <w:rsid w:val="00680F35"/>
    <w:rsid w:val="00684C18"/>
    <w:rsid w:val="00686988"/>
    <w:rsid w:val="006902B9"/>
    <w:rsid w:val="006912BA"/>
    <w:rsid w:val="006938AD"/>
    <w:rsid w:val="00694556"/>
    <w:rsid w:val="0069657B"/>
    <w:rsid w:val="00696BFC"/>
    <w:rsid w:val="006A5EFB"/>
    <w:rsid w:val="006A6E63"/>
    <w:rsid w:val="006A72E5"/>
    <w:rsid w:val="006B160E"/>
    <w:rsid w:val="006B6A08"/>
    <w:rsid w:val="006C0AFA"/>
    <w:rsid w:val="006C2B08"/>
    <w:rsid w:val="006C47FF"/>
    <w:rsid w:val="006C74DF"/>
    <w:rsid w:val="006D4669"/>
    <w:rsid w:val="006D4FDC"/>
    <w:rsid w:val="006D5DF4"/>
    <w:rsid w:val="006E2B58"/>
    <w:rsid w:val="006F354E"/>
    <w:rsid w:val="006F4C79"/>
    <w:rsid w:val="006F4D70"/>
    <w:rsid w:val="006F64E3"/>
    <w:rsid w:val="006F65BA"/>
    <w:rsid w:val="00702575"/>
    <w:rsid w:val="00703D5F"/>
    <w:rsid w:val="00704692"/>
    <w:rsid w:val="0070657F"/>
    <w:rsid w:val="00706ED0"/>
    <w:rsid w:val="00710637"/>
    <w:rsid w:val="00712441"/>
    <w:rsid w:val="00712758"/>
    <w:rsid w:val="007163E2"/>
    <w:rsid w:val="00720078"/>
    <w:rsid w:val="0072706B"/>
    <w:rsid w:val="00727BD3"/>
    <w:rsid w:val="00730E70"/>
    <w:rsid w:val="00734542"/>
    <w:rsid w:val="00735624"/>
    <w:rsid w:val="00736152"/>
    <w:rsid w:val="007420BD"/>
    <w:rsid w:val="0074304D"/>
    <w:rsid w:val="00743C2F"/>
    <w:rsid w:val="00744250"/>
    <w:rsid w:val="00746BFA"/>
    <w:rsid w:val="00755B60"/>
    <w:rsid w:val="007620E8"/>
    <w:rsid w:val="007627BA"/>
    <w:rsid w:val="00766A00"/>
    <w:rsid w:val="00772335"/>
    <w:rsid w:val="00774032"/>
    <w:rsid w:val="00775438"/>
    <w:rsid w:val="007764CE"/>
    <w:rsid w:val="00776526"/>
    <w:rsid w:val="007810DB"/>
    <w:rsid w:val="007816AC"/>
    <w:rsid w:val="007819F8"/>
    <w:rsid w:val="00783A3A"/>
    <w:rsid w:val="00785428"/>
    <w:rsid w:val="00786630"/>
    <w:rsid w:val="0078720D"/>
    <w:rsid w:val="00787F00"/>
    <w:rsid w:val="00792BF8"/>
    <w:rsid w:val="00794A7C"/>
    <w:rsid w:val="00796583"/>
    <w:rsid w:val="0079678A"/>
    <w:rsid w:val="00796F72"/>
    <w:rsid w:val="007A0BCC"/>
    <w:rsid w:val="007A0CE8"/>
    <w:rsid w:val="007A6E3F"/>
    <w:rsid w:val="007B07AE"/>
    <w:rsid w:val="007B097F"/>
    <w:rsid w:val="007B287E"/>
    <w:rsid w:val="007B50D0"/>
    <w:rsid w:val="007B58C3"/>
    <w:rsid w:val="007C3B9D"/>
    <w:rsid w:val="007D146E"/>
    <w:rsid w:val="007D21FF"/>
    <w:rsid w:val="007D2D3D"/>
    <w:rsid w:val="007D39BA"/>
    <w:rsid w:val="007D4801"/>
    <w:rsid w:val="007D5F9C"/>
    <w:rsid w:val="007D6AB7"/>
    <w:rsid w:val="007E0EAE"/>
    <w:rsid w:val="007E3705"/>
    <w:rsid w:val="007E511A"/>
    <w:rsid w:val="007E6ACE"/>
    <w:rsid w:val="007E6B6B"/>
    <w:rsid w:val="007E7796"/>
    <w:rsid w:val="007E7E69"/>
    <w:rsid w:val="007F0A68"/>
    <w:rsid w:val="007F0AFD"/>
    <w:rsid w:val="007F1658"/>
    <w:rsid w:val="007F1D49"/>
    <w:rsid w:val="007F1F19"/>
    <w:rsid w:val="007F6618"/>
    <w:rsid w:val="007F7C6D"/>
    <w:rsid w:val="00807FFD"/>
    <w:rsid w:val="008150DE"/>
    <w:rsid w:val="00817524"/>
    <w:rsid w:val="0082089A"/>
    <w:rsid w:val="00826B12"/>
    <w:rsid w:val="008327D2"/>
    <w:rsid w:val="008334C6"/>
    <w:rsid w:val="00833C02"/>
    <w:rsid w:val="00835E32"/>
    <w:rsid w:val="00836E4D"/>
    <w:rsid w:val="008404D1"/>
    <w:rsid w:val="00842569"/>
    <w:rsid w:val="0084495F"/>
    <w:rsid w:val="00846442"/>
    <w:rsid w:val="008479C9"/>
    <w:rsid w:val="0085717A"/>
    <w:rsid w:val="00857C10"/>
    <w:rsid w:val="00860122"/>
    <w:rsid w:val="008666C0"/>
    <w:rsid w:val="00867FD2"/>
    <w:rsid w:val="008713AC"/>
    <w:rsid w:val="0087256B"/>
    <w:rsid w:val="008758E8"/>
    <w:rsid w:val="00875924"/>
    <w:rsid w:val="00875C29"/>
    <w:rsid w:val="0087698C"/>
    <w:rsid w:val="00877EC7"/>
    <w:rsid w:val="00883757"/>
    <w:rsid w:val="00884116"/>
    <w:rsid w:val="0088592C"/>
    <w:rsid w:val="008878E2"/>
    <w:rsid w:val="00891C30"/>
    <w:rsid w:val="00894327"/>
    <w:rsid w:val="008944B5"/>
    <w:rsid w:val="00894711"/>
    <w:rsid w:val="00895754"/>
    <w:rsid w:val="0089605A"/>
    <w:rsid w:val="008966B6"/>
    <w:rsid w:val="00896E94"/>
    <w:rsid w:val="008A19B0"/>
    <w:rsid w:val="008A36ED"/>
    <w:rsid w:val="008B0705"/>
    <w:rsid w:val="008B7E03"/>
    <w:rsid w:val="008C1A87"/>
    <w:rsid w:val="008C2413"/>
    <w:rsid w:val="008C5763"/>
    <w:rsid w:val="008C6B3A"/>
    <w:rsid w:val="008C71B0"/>
    <w:rsid w:val="008D28A1"/>
    <w:rsid w:val="008D2DC7"/>
    <w:rsid w:val="008D4589"/>
    <w:rsid w:val="008D472A"/>
    <w:rsid w:val="008D6007"/>
    <w:rsid w:val="008D6850"/>
    <w:rsid w:val="008E26DE"/>
    <w:rsid w:val="008E3709"/>
    <w:rsid w:val="008E6F3F"/>
    <w:rsid w:val="008F3142"/>
    <w:rsid w:val="008F3AD9"/>
    <w:rsid w:val="008F3D74"/>
    <w:rsid w:val="008F68FA"/>
    <w:rsid w:val="008F78B8"/>
    <w:rsid w:val="00902C9B"/>
    <w:rsid w:val="0090437C"/>
    <w:rsid w:val="00912F6D"/>
    <w:rsid w:val="009135E0"/>
    <w:rsid w:val="00915CA4"/>
    <w:rsid w:val="009255C6"/>
    <w:rsid w:val="00925AE2"/>
    <w:rsid w:val="00932F56"/>
    <w:rsid w:val="00935051"/>
    <w:rsid w:val="00935E28"/>
    <w:rsid w:val="00936219"/>
    <w:rsid w:val="009455F9"/>
    <w:rsid w:val="00947826"/>
    <w:rsid w:val="00950820"/>
    <w:rsid w:val="0095147F"/>
    <w:rsid w:val="00952EEF"/>
    <w:rsid w:val="009533C0"/>
    <w:rsid w:val="009544E9"/>
    <w:rsid w:val="0095522F"/>
    <w:rsid w:val="0095750F"/>
    <w:rsid w:val="009608A9"/>
    <w:rsid w:val="00960B9D"/>
    <w:rsid w:val="00961071"/>
    <w:rsid w:val="00962E5E"/>
    <w:rsid w:val="00963062"/>
    <w:rsid w:val="009639BA"/>
    <w:rsid w:val="009735FA"/>
    <w:rsid w:val="009761A1"/>
    <w:rsid w:val="00976B74"/>
    <w:rsid w:val="0097789F"/>
    <w:rsid w:val="00977ECA"/>
    <w:rsid w:val="00982180"/>
    <w:rsid w:val="009822CE"/>
    <w:rsid w:val="00982F46"/>
    <w:rsid w:val="00983C45"/>
    <w:rsid w:val="00983C84"/>
    <w:rsid w:val="00985142"/>
    <w:rsid w:val="0098577A"/>
    <w:rsid w:val="00986D99"/>
    <w:rsid w:val="00986E20"/>
    <w:rsid w:val="009875EA"/>
    <w:rsid w:val="00991186"/>
    <w:rsid w:val="009912E8"/>
    <w:rsid w:val="009928B2"/>
    <w:rsid w:val="00996BD9"/>
    <w:rsid w:val="009A1BB1"/>
    <w:rsid w:val="009A1D21"/>
    <w:rsid w:val="009A4BAC"/>
    <w:rsid w:val="009A6592"/>
    <w:rsid w:val="009A73A1"/>
    <w:rsid w:val="009A7DAB"/>
    <w:rsid w:val="009B3483"/>
    <w:rsid w:val="009B446A"/>
    <w:rsid w:val="009B5A88"/>
    <w:rsid w:val="009C18BD"/>
    <w:rsid w:val="009C2590"/>
    <w:rsid w:val="009C48C9"/>
    <w:rsid w:val="009C61B2"/>
    <w:rsid w:val="009C67DB"/>
    <w:rsid w:val="009D063A"/>
    <w:rsid w:val="009D5928"/>
    <w:rsid w:val="009D6060"/>
    <w:rsid w:val="009E23E2"/>
    <w:rsid w:val="009E2D74"/>
    <w:rsid w:val="009E2F20"/>
    <w:rsid w:val="009E38E3"/>
    <w:rsid w:val="009E6044"/>
    <w:rsid w:val="009E6113"/>
    <w:rsid w:val="009E6F29"/>
    <w:rsid w:val="009E76AF"/>
    <w:rsid w:val="009F45E9"/>
    <w:rsid w:val="009F7821"/>
    <w:rsid w:val="00A02FE8"/>
    <w:rsid w:val="00A0320F"/>
    <w:rsid w:val="00A038D6"/>
    <w:rsid w:val="00A05BF6"/>
    <w:rsid w:val="00A113AB"/>
    <w:rsid w:val="00A161B1"/>
    <w:rsid w:val="00A20F73"/>
    <w:rsid w:val="00A23291"/>
    <w:rsid w:val="00A24408"/>
    <w:rsid w:val="00A266DE"/>
    <w:rsid w:val="00A332C9"/>
    <w:rsid w:val="00A33BAA"/>
    <w:rsid w:val="00A35C2B"/>
    <w:rsid w:val="00A37D2A"/>
    <w:rsid w:val="00A411F0"/>
    <w:rsid w:val="00A41969"/>
    <w:rsid w:val="00A43263"/>
    <w:rsid w:val="00A477D0"/>
    <w:rsid w:val="00A60413"/>
    <w:rsid w:val="00A604D0"/>
    <w:rsid w:val="00A607D4"/>
    <w:rsid w:val="00A63340"/>
    <w:rsid w:val="00A633F2"/>
    <w:rsid w:val="00A643EF"/>
    <w:rsid w:val="00A71F87"/>
    <w:rsid w:val="00A7224A"/>
    <w:rsid w:val="00A72C6E"/>
    <w:rsid w:val="00A74406"/>
    <w:rsid w:val="00A74E42"/>
    <w:rsid w:val="00A80045"/>
    <w:rsid w:val="00A83658"/>
    <w:rsid w:val="00A85489"/>
    <w:rsid w:val="00A875CE"/>
    <w:rsid w:val="00A87B1F"/>
    <w:rsid w:val="00A93CD0"/>
    <w:rsid w:val="00A95D32"/>
    <w:rsid w:val="00AA1819"/>
    <w:rsid w:val="00AA336E"/>
    <w:rsid w:val="00AA428E"/>
    <w:rsid w:val="00AA444B"/>
    <w:rsid w:val="00AA50B6"/>
    <w:rsid w:val="00AA6584"/>
    <w:rsid w:val="00AB0311"/>
    <w:rsid w:val="00AB0CD1"/>
    <w:rsid w:val="00AB2432"/>
    <w:rsid w:val="00AB7CDB"/>
    <w:rsid w:val="00AC0F51"/>
    <w:rsid w:val="00AC1848"/>
    <w:rsid w:val="00AC458C"/>
    <w:rsid w:val="00AD18ED"/>
    <w:rsid w:val="00AD1AA6"/>
    <w:rsid w:val="00AD1DED"/>
    <w:rsid w:val="00AD2B5D"/>
    <w:rsid w:val="00AD427B"/>
    <w:rsid w:val="00AD446F"/>
    <w:rsid w:val="00AE045E"/>
    <w:rsid w:val="00AE3AEE"/>
    <w:rsid w:val="00AE79FF"/>
    <w:rsid w:val="00AF0D70"/>
    <w:rsid w:val="00AF1F2A"/>
    <w:rsid w:val="00AF30EF"/>
    <w:rsid w:val="00AF4482"/>
    <w:rsid w:val="00AF46B5"/>
    <w:rsid w:val="00AF5490"/>
    <w:rsid w:val="00AF713D"/>
    <w:rsid w:val="00B0061E"/>
    <w:rsid w:val="00B02706"/>
    <w:rsid w:val="00B03CD7"/>
    <w:rsid w:val="00B05C3F"/>
    <w:rsid w:val="00B07445"/>
    <w:rsid w:val="00B12D7C"/>
    <w:rsid w:val="00B14629"/>
    <w:rsid w:val="00B14F92"/>
    <w:rsid w:val="00B1504F"/>
    <w:rsid w:val="00B15C08"/>
    <w:rsid w:val="00B251CB"/>
    <w:rsid w:val="00B276D2"/>
    <w:rsid w:val="00B34725"/>
    <w:rsid w:val="00B40C52"/>
    <w:rsid w:val="00B41F9C"/>
    <w:rsid w:val="00B4214D"/>
    <w:rsid w:val="00B45E3A"/>
    <w:rsid w:val="00B4633B"/>
    <w:rsid w:val="00B47C02"/>
    <w:rsid w:val="00B51025"/>
    <w:rsid w:val="00B511D7"/>
    <w:rsid w:val="00B528E3"/>
    <w:rsid w:val="00B5674B"/>
    <w:rsid w:val="00B56A52"/>
    <w:rsid w:val="00B60600"/>
    <w:rsid w:val="00B66786"/>
    <w:rsid w:val="00B70FEE"/>
    <w:rsid w:val="00B72EEE"/>
    <w:rsid w:val="00B75967"/>
    <w:rsid w:val="00B777AF"/>
    <w:rsid w:val="00B8063A"/>
    <w:rsid w:val="00B81352"/>
    <w:rsid w:val="00B8149F"/>
    <w:rsid w:val="00B81789"/>
    <w:rsid w:val="00B91A2A"/>
    <w:rsid w:val="00B928F1"/>
    <w:rsid w:val="00B92DF1"/>
    <w:rsid w:val="00B94732"/>
    <w:rsid w:val="00B96914"/>
    <w:rsid w:val="00BA730F"/>
    <w:rsid w:val="00BB5ADA"/>
    <w:rsid w:val="00BC1524"/>
    <w:rsid w:val="00BC6A30"/>
    <w:rsid w:val="00BD0834"/>
    <w:rsid w:val="00BD11AB"/>
    <w:rsid w:val="00BD2CB2"/>
    <w:rsid w:val="00BD3117"/>
    <w:rsid w:val="00BD6FB6"/>
    <w:rsid w:val="00BE3D8F"/>
    <w:rsid w:val="00BE3EF7"/>
    <w:rsid w:val="00BE4BF3"/>
    <w:rsid w:val="00BE786D"/>
    <w:rsid w:val="00BE7C7A"/>
    <w:rsid w:val="00BF0ADD"/>
    <w:rsid w:val="00BF15BB"/>
    <w:rsid w:val="00BF1DEF"/>
    <w:rsid w:val="00BF4150"/>
    <w:rsid w:val="00C01AA6"/>
    <w:rsid w:val="00C0622D"/>
    <w:rsid w:val="00C06257"/>
    <w:rsid w:val="00C079B0"/>
    <w:rsid w:val="00C140AC"/>
    <w:rsid w:val="00C14250"/>
    <w:rsid w:val="00C22019"/>
    <w:rsid w:val="00C2297C"/>
    <w:rsid w:val="00C2632A"/>
    <w:rsid w:val="00C300EF"/>
    <w:rsid w:val="00C37BAF"/>
    <w:rsid w:val="00C4020F"/>
    <w:rsid w:val="00C4097A"/>
    <w:rsid w:val="00C459A2"/>
    <w:rsid w:val="00C47C55"/>
    <w:rsid w:val="00C5007A"/>
    <w:rsid w:val="00C51115"/>
    <w:rsid w:val="00C531AE"/>
    <w:rsid w:val="00C60387"/>
    <w:rsid w:val="00C61106"/>
    <w:rsid w:val="00C647C6"/>
    <w:rsid w:val="00C648A0"/>
    <w:rsid w:val="00C64BB4"/>
    <w:rsid w:val="00C67092"/>
    <w:rsid w:val="00C708B8"/>
    <w:rsid w:val="00C71AD0"/>
    <w:rsid w:val="00C7386D"/>
    <w:rsid w:val="00C73CF5"/>
    <w:rsid w:val="00C75BD4"/>
    <w:rsid w:val="00C820C5"/>
    <w:rsid w:val="00C854F5"/>
    <w:rsid w:val="00C85F34"/>
    <w:rsid w:val="00C8788C"/>
    <w:rsid w:val="00C91EC6"/>
    <w:rsid w:val="00C920DC"/>
    <w:rsid w:val="00C922D1"/>
    <w:rsid w:val="00C96847"/>
    <w:rsid w:val="00CA3131"/>
    <w:rsid w:val="00CA53B9"/>
    <w:rsid w:val="00CA5C08"/>
    <w:rsid w:val="00CB12AE"/>
    <w:rsid w:val="00CB23C6"/>
    <w:rsid w:val="00CB31D1"/>
    <w:rsid w:val="00CB3F48"/>
    <w:rsid w:val="00CB4F8A"/>
    <w:rsid w:val="00CB63DD"/>
    <w:rsid w:val="00CC0F47"/>
    <w:rsid w:val="00CC4500"/>
    <w:rsid w:val="00CC473C"/>
    <w:rsid w:val="00CC52A7"/>
    <w:rsid w:val="00CC657E"/>
    <w:rsid w:val="00CC7983"/>
    <w:rsid w:val="00CD100B"/>
    <w:rsid w:val="00CD3E6F"/>
    <w:rsid w:val="00CE0024"/>
    <w:rsid w:val="00CE0BCD"/>
    <w:rsid w:val="00CE0BEB"/>
    <w:rsid w:val="00CE53DB"/>
    <w:rsid w:val="00CE5C12"/>
    <w:rsid w:val="00CE69AB"/>
    <w:rsid w:val="00CF05B9"/>
    <w:rsid w:val="00CF25CB"/>
    <w:rsid w:val="00CF2624"/>
    <w:rsid w:val="00CF30F3"/>
    <w:rsid w:val="00D01255"/>
    <w:rsid w:val="00D025F3"/>
    <w:rsid w:val="00D036D5"/>
    <w:rsid w:val="00D04D73"/>
    <w:rsid w:val="00D054E7"/>
    <w:rsid w:val="00D07441"/>
    <w:rsid w:val="00D11C51"/>
    <w:rsid w:val="00D13CF6"/>
    <w:rsid w:val="00D169DA"/>
    <w:rsid w:val="00D1706D"/>
    <w:rsid w:val="00D27480"/>
    <w:rsid w:val="00D31696"/>
    <w:rsid w:val="00D32057"/>
    <w:rsid w:val="00D323C6"/>
    <w:rsid w:val="00D33A21"/>
    <w:rsid w:val="00D36448"/>
    <w:rsid w:val="00D378FA"/>
    <w:rsid w:val="00D42508"/>
    <w:rsid w:val="00D46036"/>
    <w:rsid w:val="00D51281"/>
    <w:rsid w:val="00D574CA"/>
    <w:rsid w:val="00D62BFC"/>
    <w:rsid w:val="00D63279"/>
    <w:rsid w:val="00D71BC4"/>
    <w:rsid w:val="00D75F62"/>
    <w:rsid w:val="00D80533"/>
    <w:rsid w:val="00D81CEF"/>
    <w:rsid w:val="00D8657F"/>
    <w:rsid w:val="00D87DF4"/>
    <w:rsid w:val="00D900B3"/>
    <w:rsid w:val="00D912CA"/>
    <w:rsid w:val="00D92D4A"/>
    <w:rsid w:val="00D92E83"/>
    <w:rsid w:val="00D97E3B"/>
    <w:rsid w:val="00DA33FD"/>
    <w:rsid w:val="00DA413C"/>
    <w:rsid w:val="00DA5D97"/>
    <w:rsid w:val="00DA7D1C"/>
    <w:rsid w:val="00DB0002"/>
    <w:rsid w:val="00DB002B"/>
    <w:rsid w:val="00DB1DE9"/>
    <w:rsid w:val="00DB502A"/>
    <w:rsid w:val="00DB53F0"/>
    <w:rsid w:val="00DB64D7"/>
    <w:rsid w:val="00DB7073"/>
    <w:rsid w:val="00DC11E8"/>
    <w:rsid w:val="00DC7766"/>
    <w:rsid w:val="00DD025A"/>
    <w:rsid w:val="00DD1BFA"/>
    <w:rsid w:val="00DD2692"/>
    <w:rsid w:val="00DD6ADB"/>
    <w:rsid w:val="00DD75D0"/>
    <w:rsid w:val="00DD7D7A"/>
    <w:rsid w:val="00DE05ED"/>
    <w:rsid w:val="00DE18E2"/>
    <w:rsid w:val="00DE6EB8"/>
    <w:rsid w:val="00DF09D7"/>
    <w:rsid w:val="00DF0C6A"/>
    <w:rsid w:val="00DF3099"/>
    <w:rsid w:val="00DF6CAA"/>
    <w:rsid w:val="00DF7EB7"/>
    <w:rsid w:val="00E03D8B"/>
    <w:rsid w:val="00E03DB4"/>
    <w:rsid w:val="00E05551"/>
    <w:rsid w:val="00E11EB2"/>
    <w:rsid w:val="00E120E5"/>
    <w:rsid w:val="00E13EDB"/>
    <w:rsid w:val="00E14493"/>
    <w:rsid w:val="00E15071"/>
    <w:rsid w:val="00E23DA0"/>
    <w:rsid w:val="00E25189"/>
    <w:rsid w:val="00E26E47"/>
    <w:rsid w:val="00E26F3A"/>
    <w:rsid w:val="00E324F6"/>
    <w:rsid w:val="00E332B3"/>
    <w:rsid w:val="00E33E5E"/>
    <w:rsid w:val="00E33FD2"/>
    <w:rsid w:val="00E37A10"/>
    <w:rsid w:val="00E37CE3"/>
    <w:rsid w:val="00E4090C"/>
    <w:rsid w:val="00E422A8"/>
    <w:rsid w:val="00E42310"/>
    <w:rsid w:val="00E44685"/>
    <w:rsid w:val="00E45631"/>
    <w:rsid w:val="00E46130"/>
    <w:rsid w:val="00E47050"/>
    <w:rsid w:val="00E47CDC"/>
    <w:rsid w:val="00E5031F"/>
    <w:rsid w:val="00E51A4B"/>
    <w:rsid w:val="00E52A67"/>
    <w:rsid w:val="00E60D4E"/>
    <w:rsid w:val="00E645CF"/>
    <w:rsid w:val="00E64783"/>
    <w:rsid w:val="00E64BDD"/>
    <w:rsid w:val="00E65876"/>
    <w:rsid w:val="00E708F1"/>
    <w:rsid w:val="00E719D1"/>
    <w:rsid w:val="00E72105"/>
    <w:rsid w:val="00E72257"/>
    <w:rsid w:val="00E734C2"/>
    <w:rsid w:val="00E73E7C"/>
    <w:rsid w:val="00E76D37"/>
    <w:rsid w:val="00E90AE9"/>
    <w:rsid w:val="00E912CB"/>
    <w:rsid w:val="00E919B4"/>
    <w:rsid w:val="00E91B2E"/>
    <w:rsid w:val="00E92CDD"/>
    <w:rsid w:val="00E93519"/>
    <w:rsid w:val="00E93838"/>
    <w:rsid w:val="00E9385E"/>
    <w:rsid w:val="00E9423B"/>
    <w:rsid w:val="00E94943"/>
    <w:rsid w:val="00E957D7"/>
    <w:rsid w:val="00E97C17"/>
    <w:rsid w:val="00EA0014"/>
    <w:rsid w:val="00EA0DE7"/>
    <w:rsid w:val="00EA3809"/>
    <w:rsid w:val="00EB0112"/>
    <w:rsid w:val="00EB10CD"/>
    <w:rsid w:val="00EB29C3"/>
    <w:rsid w:val="00EB39B6"/>
    <w:rsid w:val="00EC0311"/>
    <w:rsid w:val="00EC695B"/>
    <w:rsid w:val="00ED0A0D"/>
    <w:rsid w:val="00ED57F6"/>
    <w:rsid w:val="00ED5C72"/>
    <w:rsid w:val="00ED7F32"/>
    <w:rsid w:val="00EE0117"/>
    <w:rsid w:val="00EE1AF9"/>
    <w:rsid w:val="00EE6D45"/>
    <w:rsid w:val="00EF26D8"/>
    <w:rsid w:val="00EF4C6C"/>
    <w:rsid w:val="00F01241"/>
    <w:rsid w:val="00F01EED"/>
    <w:rsid w:val="00F0265F"/>
    <w:rsid w:val="00F0301C"/>
    <w:rsid w:val="00F0396A"/>
    <w:rsid w:val="00F03DC0"/>
    <w:rsid w:val="00F0427D"/>
    <w:rsid w:val="00F0508F"/>
    <w:rsid w:val="00F06511"/>
    <w:rsid w:val="00F07D2E"/>
    <w:rsid w:val="00F11482"/>
    <w:rsid w:val="00F13B85"/>
    <w:rsid w:val="00F153FE"/>
    <w:rsid w:val="00F24450"/>
    <w:rsid w:val="00F26863"/>
    <w:rsid w:val="00F2705D"/>
    <w:rsid w:val="00F3422D"/>
    <w:rsid w:val="00F34AF5"/>
    <w:rsid w:val="00F35EEE"/>
    <w:rsid w:val="00F363CB"/>
    <w:rsid w:val="00F366CA"/>
    <w:rsid w:val="00F422E1"/>
    <w:rsid w:val="00F43E4C"/>
    <w:rsid w:val="00F44416"/>
    <w:rsid w:val="00F53E47"/>
    <w:rsid w:val="00F55827"/>
    <w:rsid w:val="00F560FE"/>
    <w:rsid w:val="00F56DEB"/>
    <w:rsid w:val="00F624EC"/>
    <w:rsid w:val="00F63885"/>
    <w:rsid w:val="00F648E1"/>
    <w:rsid w:val="00F669B1"/>
    <w:rsid w:val="00F66A44"/>
    <w:rsid w:val="00F67BBD"/>
    <w:rsid w:val="00F67F6B"/>
    <w:rsid w:val="00F71F8E"/>
    <w:rsid w:val="00F73D96"/>
    <w:rsid w:val="00F74762"/>
    <w:rsid w:val="00F8085C"/>
    <w:rsid w:val="00F825A7"/>
    <w:rsid w:val="00F82FF5"/>
    <w:rsid w:val="00F85604"/>
    <w:rsid w:val="00F86C28"/>
    <w:rsid w:val="00F92B6E"/>
    <w:rsid w:val="00F95133"/>
    <w:rsid w:val="00F951E7"/>
    <w:rsid w:val="00F969F7"/>
    <w:rsid w:val="00FA34EF"/>
    <w:rsid w:val="00FA7A13"/>
    <w:rsid w:val="00FB0592"/>
    <w:rsid w:val="00FB139B"/>
    <w:rsid w:val="00FB1E28"/>
    <w:rsid w:val="00FB22C2"/>
    <w:rsid w:val="00FB25B4"/>
    <w:rsid w:val="00FB3882"/>
    <w:rsid w:val="00FB4518"/>
    <w:rsid w:val="00FB57AA"/>
    <w:rsid w:val="00FC0F24"/>
    <w:rsid w:val="00FC38E2"/>
    <w:rsid w:val="00FC5BBA"/>
    <w:rsid w:val="00FD2801"/>
    <w:rsid w:val="00FD6553"/>
    <w:rsid w:val="00FD6D5D"/>
    <w:rsid w:val="00FE0AB6"/>
    <w:rsid w:val="00FE0DB2"/>
    <w:rsid w:val="00FE290A"/>
    <w:rsid w:val="00FE4FCA"/>
    <w:rsid w:val="00FE5E10"/>
    <w:rsid w:val="00FF20EC"/>
    <w:rsid w:val="00FF2C44"/>
    <w:rsid w:val="00FF39ED"/>
    <w:rsid w:val="00FF418B"/>
    <w:rsid w:val="00FF5FD3"/>
    <w:rsid w:val="00FF66CF"/>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5642C2B"/>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17"/>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895754"/>
    <w:rPr>
      <w:sz w:val="24"/>
      <w:szCs w:val="24"/>
    </w:rPr>
  </w:style>
  <w:style w:type="character" w:styleId="UnresolvedMention">
    <w:name w:val="Unresolved Mention"/>
    <w:basedOn w:val="DefaultParagraphFont"/>
    <w:uiPriority w:val="99"/>
    <w:semiHidden/>
    <w:unhideWhenUsed/>
    <w:rsid w:val="00315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hayesinc.com" TargetMode="External"/><Relationship Id="rId26" Type="http://schemas.openxmlformats.org/officeDocument/2006/relationships/hyperlink" Target="http://www.cms.gov" TargetMode="External"/><Relationship Id="rId3" Type="http://schemas.openxmlformats.org/officeDocument/2006/relationships/customXml" Target="../customXml/item3.xml"/><Relationship Id="rId21" Type="http://schemas.openxmlformats.org/officeDocument/2006/relationships/hyperlink" Target="http://www.hayesinc.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rthoinfo.aaos.org/en/diseases--conditions/nonun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a.gov/media/141850/downloa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ice.org.uk/guidance/mtg12"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ms.hhs.gov/mcd/search.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ice.org.uk/guidance/ipg621/evidence/overview-pdf-4908164509"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DJFWSFD4XKSH-124878013-3726</_dlc_DocId>
    <_dlc_DocIdUrl xmlns="572ca965-256a-4485-8fe1-bc861aae90a1">
      <Url>https://wellcareportal19.wellcare.com/HealthServices/HSProjects/ClinicalPolicy/_layouts/15/DocIdRedir.aspx?ID=DJFWSFD4XKSH-124878013-3726</Url>
      <Description>DJFWSFD4XKSH-124878013-3726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B2CEE9ECFB2F4B8CDDE70696D3A1EC" ma:contentTypeVersion="0" ma:contentTypeDescription="Create a new document." ma:contentTypeScope="" ma:versionID="3e839231f0bfba257de14851bdd40a79">
  <xsd:schema xmlns:xsd="http://www.w3.org/2001/XMLSchema" xmlns:xs="http://www.w3.org/2001/XMLSchema" xmlns:p="http://schemas.microsoft.com/office/2006/metadata/properties" xmlns:ns2="572ca965-256a-4485-8fe1-bc861aae90a1" targetNamespace="http://schemas.microsoft.com/office/2006/metadata/properties" ma:root="true" ma:fieldsID="ade13a7daf685ed9e55b49223c9a7127" ns2:_="">
    <xsd:import namespace="572ca965-256a-4485-8fe1-bc861aae90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3DB7D-E574-4777-85C9-17FE60D093FF}">
  <ds:schemaRefs>
    <ds:schemaRef ds:uri="http://schemas.openxmlformats.org/officeDocument/2006/bibliography"/>
  </ds:schemaRefs>
</ds:datastoreItem>
</file>

<file path=customXml/itemProps2.xml><?xml version="1.0" encoding="utf-8"?>
<ds:datastoreItem xmlns:ds="http://schemas.openxmlformats.org/officeDocument/2006/customXml" ds:itemID="{7FB9EB85-6469-4622-9F39-A4A1BD69C715}">
  <ds:schemaRefs>
    <ds:schemaRef ds:uri="http://schemas.microsoft.com/sharepoint/events"/>
  </ds:schemaRefs>
</ds:datastoreItem>
</file>

<file path=customXml/itemProps3.xml><?xml version="1.0" encoding="utf-8"?>
<ds:datastoreItem xmlns:ds="http://schemas.openxmlformats.org/officeDocument/2006/customXml" ds:itemID="{797FB042-211E-49DC-AE95-D5E4519CAE04}">
  <ds:schemaRefs>
    <ds:schemaRef ds:uri="http://schemas.microsoft.com/sharepoint/v3/contenttype/forms"/>
  </ds:schemaRefs>
</ds:datastoreItem>
</file>

<file path=customXml/itemProps4.xml><?xml version="1.0" encoding="utf-8"?>
<ds:datastoreItem xmlns:ds="http://schemas.openxmlformats.org/officeDocument/2006/customXml" ds:itemID="{1BA17327-DDE7-42FD-8775-A3A4AA6B0209}">
  <ds:schemaRefs>
    <ds:schemaRef ds:uri="http://schemas.microsoft.com/office/2006/metadata/properties"/>
    <ds:schemaRef ds:uri="http://schemas.microsoft.com/office/infopath/2007/PartnerControls"/>
    <ds:schemaRef ds:uri="572ca965-256a-4485-8fe1-bc861aae90a1"/>
  </ds:schemaRefs>
</ds:datastoreItem>
</file>

<file path=customXml/itemProps5.xml><?xml version="1.0" encoding="utf-8"?>
<ds:datastoreItem xmlns:ds="http://schemas.openxmlformats.org/officeDocument/2006/customXml" ds:itemID="{2DC326AD-D3DE-48DF-822E-32CE64FD4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2025-07-09T16:14:00Z</dcterms:created>
  <dcterms:modified xsi:type="dcterms:W3CDTF">2025-07-09T16:14:00Z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0x010100ECB2CEE9ECFB2F4B8CDDE70696D3A1EC</vt:lpwstr>
  </property>
  <property fmtid="{D5CDD505-2E9C-101B-9397-08002B2CF9AE}" pid="3" name="_dlc_DocIdItemGuid">
    <vt:lpwstr>16e41079-3a7c-4a7e-865a-ff36c110dd86</vt:lpwstr>
  </property>
  <property fmtid="{D5CDD505-2E9C-101B-9397-08002B2CF9AE}" pid="4" name="MSIP_Label_5a776955-85f6-4fec-9553-96dd3e0373c4_Enabled">
    <vt:lpwstr>true</vt:lpwstr>
  </property>
  <property fmtid="{D5CDD505-2E9C-101B-9397-08002B2CF9AE}" pid="5" name="MSIP_Label_5a776955-85f6-4fec-9553-96dd3e0373c4_SetDate">
    <vt:lpwstr>2022-08-04T14:51:08Z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c75638ee-ee70-4b4a-a6ae-c253db3aba11</vt:lpwstr>
  </property>
  <property fmtid="{D5CDD505-2E9C-101B-9397-08002B2CF9AE}" pid="10" name="MSIP_Label_5a776955-85f6-4fec-9553-96dd3e0373c4_ContentBits">
    <vt:lpwstr>0</vt:lpwstr>
  </property>
</Properties>
</file>