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29A2E" w14:textId="02181032" w:rsidR="00B777AF" w:rsidRPr="007908C1" w:rsidRDefault="00230FE4" w:rsidP="00D574CA">
      <w:pPr>
        <w:pStyle w:val="PolicyMainHead"/>
        <w:tabs>
          <w:tab w:val="left" w:pos="360"/>
        </w:tabs>
        <w:spacing w:after="0" w:line="240" w:lineRule="auto"/>
        <w:rPr>
          <w:rFonts w:ascii="Times New Roman" w:hAnsi="Times New Roman"/>
          <w:color w:val="00548C"/>
          <w:sz w:val="36"/>
        </w:rPr>
        <w:sectPr w:rsidR="00B777AF" w:rsidRPr="007908C1" w:rsidSect="00CB63DD">
          <w:headerReference w:type="even" r:id="rId10"/>
          <w:headerReference w:type="default" r:id="rId11"/>
          <w:footerReference w:type="even" r:id="rId12"/>
          <w:footerReference w:type="default" r:id="rId13"/>
          <w:headerReference w:type="first" r:id="rId14"/>
          <w:footerReference w:type="first" r:id="rId15"/>
          <w:pgSz w:w="12240" w:h="15840" w:code="1"/>
          <w:pgMar w:top="1440" w:right="907" w:bottom="1152" w:left="1440" w:header="576" w:footer="288" w:gutter="0"/>
          <w:cols w:space="720"/>
          <w:titlePg/>
          <w:docGrid w:linePitch="360"/>
        </w:sectPr>
      </w:pPr>
      <w:r>
        <w:rPr>
          <w:rFonts w:ascii="Times New Roman" w:hAnsi="Times New Roman"/>
          <w:color w:val="00548C"/>
          <w:sz w:val="36"/>
        </w:rPr>
        <w:t>Clinic</w:t>
      </w:r>
      <w:r w:rsidRPr="005D7B81">
        <w:rPr>
          <w:rFonts w:ascii="Times New Roman" w:hAnsi="Times New Roman"/>
          <w:color w:val="00548C"/>
          <w:sz w:val="36"/>
        </w:rPr>
        <w:t xml:space="preserve">al </w:t>
      </w:r>
      <w:r>
        <w:rPr>
          <w:rFonts w:ascii="Times New Roman" w:hAnsi="Times New Roman"/>
          <w:color w:val="00548C"/>
          <w:sz w:val="36"/>
        </w:rPr>
        <w:t xml:space="preserve">Policy: </w:t>
      </w:r>
      <w:r w:rsidR="00635F8C">
        <w:rPr>
          <w:rFonts w:ascii="Times New Roman" w:hAnsi="Times New Roman"/>
          <w:color w:val="00548C"/>
          <w:sz w:val="36"/>
        </w:rPr>
        <w:t xml:space="preserve">Implantable </w:t>
      </w:r>
      <w:r w:rsidR="0031095D">
        <w:rPr>
          <w:rFonts w:ascii="Times New Roman" w:hAnsi="Times New Roman"/>
          <w:color w:val="00548C"/>
          <w:sz w:val="36"/>
        </w:rPr>
        <w:t>Intrathecal</w:t>
      </w:r>
      <w:r w:rsidR="0027645B">
        <w:rPr>
          <w:rFonts w:ascii="Times New Roman" w:hAnsi="Times New Roman"/>
          <w:color w:val="00548C"/>
          <w:sz w:val="36"/>
        </w:rPr>
        <w:t xml:space="preserve"> or Epidural</w:t>
      </w:r>
      <w:r w:rsidR="0031095D">
        <w:rPr>
          <w:rFonts w:ascii="Times New Roman" w:hAnsi="Times New Roman"/>
          <w:color w:val="00548C"/>
          <w:sz w:val="36"/>
        </w:rPr>
        <w:t xml:space="preserve"> Pain </w:t>
      </w:r>
      <w:r w:rsidR="00635F8C">
        <w:rPr>
          <w:rFonts w:ascii="Times New Roman" w:hAnsi="Times New Roman"/>
          <w:color w:val="00548C"/>
          <w:sz w:val="36"/>
        </w:rPr>
        <w:t>Pump</w:t>
      </w:r>
      <w:r w:rsidR="007908C1">
        <w:rPr>
          <w:rFonts w:ascii="Times New Roman" w:hAnsi="Times New Roman"/>
          <w:color w:val="00548C"/>
          <w:sz w:val="36"/>
        </w:rPr>
        <w:t xml:space="preserve"> </w:t>
      </w:r>
    </w:p>
    <w:p w14:paraId="5FB19739" w14:textId="7A5FB11F" w:rsidR="00480C09" w:rsidRPr="003D7BE7" w:rsidRDefault="00D574CA" w:rsidP="00CB63DD">
      <w:pPr>
        <w:pStyle w:val="PolicyMainHead"/>
        <w:spacing w:after="0" w:line="240" w:lineRule="auto"/>
        <w:rPr>
          <w:rFonts w:ascii="Times New Roman" w:hAnsi="Times New Roman"/>
          <w:color w:val="00548C"/>
          <w:sz w:val="24"/>
          <w:szCs w:val="24"/>
        </w:rPr>
        <w:sectPr w:rsidR="00480C09" w:rsidRPr="003D7BE7" w:rsidSect="00CB63DD">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sidR="00C96847">
        <w:rPr>
          <w:rFonts w:ascii="Times New Roman" w:hAnsi="Times New Roman"/>
          <w:color w:val="00548C"/>
          <w:sz w:val="24"/>
          <w:szCs w:val="24"/>
        </w:rPr>
        <w:t>MP.</w:t>
      </w:r>
      <w:r w:rsidR="00EE253B">
        <w:rPr>
          <w:rFonts w:ascii="Times New Roman" w:hAnsi="Times New Roman"/>
          <w:color w:val="00548C"/>
          <w:sz w:val="24"/>
          <w:szCs w:val="24"/>
        </w:rPr>
        <w:t>173</w:t>
      </w:r>
      <w:r w:rsidR="00CB63DD">
        <w:rPr>
          <w:rFonts w:ascii="Times New Roman" w:hAnsi="Times New Roman"/>
          <w:color w:val="00548C"/>
          <w:sz w:val="24"/>
          <w:szCs w:val="24"/>
        </w:rPr>
        <w:tab/>
      </w:r>
      <w:r w:rsidR="00CB63DD">
        <w:rPr>
          <w:rFonts w:ascii="Times New Roman" w:hAnsi="Times New Roman"/>
          <w:color w:val="00548C"/>
          <w:sz w:val="24"/>
          <w:szCs w:val="24"/>
        </w:rPr>
        <w:tab/>
        <w:t xml:space="preserve">  </w:t>
      </w:r>
      <w:r w:rsidR="00CB63DD">
        <w:rPr>
          <w:rFonts w:ascii="Times New Roman" w:hAnsi="Times New Roman"/>
          <w:color w:val="00548C"/>
          <w:sz w:val="24"/>
          <w:szCs w:val="24"/>
        </w:rPr>
        <w:tab/>
      </w:r>
      <w:r w:rsidR="00480C09" w:rsidRPr="003D7BE7">
        <w:rPr>
          <w:rFonts w:ascii="Times New Roman" w:hAnsi="Times New Roman"/>
          <w:color w:val="00548C"/>
          <w:sz w:val="24"/>
          <w:szCs w:val="24"/>
        </w:rPr>
        <w:tab/>
      </w:r>
      <w:r w:rsidR="00CB63DD">
        <w:rPr>
          <w:rFonts w:ascii="Times New Roman" w:hAnsi="Times New Roman"/>
          <w:color w:val="00548C"/>
          <w:sz w:val="24"/>
          <w:szCs w:val="24"/>
        </w:rPr>
        <w:tab/>
        <w:t xml:space="preserve">     </w:t>
      </w:r>
      <w:hyperlink w:anchor="Coding_Implications" w:history="1">
        <w:r w:rsidR="007B50D0" w:rsidRPr="00875924">
          <w:rPr>
            <w:rStyle w:val="Hyperlink"/>
            <w:rFonts w:ascii="Times New Roman" w:hAnsi="Times New Roman"/>
            <w:sz w:val="24"/>
            <w:szCs w:val="24"/>
          </w:rPr>
          <w:t>Coding Implications</w:t>
        </w:r>
      </w:hyperlink>
      <w:r w:rsidR="007B50D0" w:rsidRPr="003D7BE7">
        <w:rPr>
          <w:rFonts w:ascii="Times New Roman" w:hAnsi="Times New Roman"/>
          <w:color w:val="00548C"/>
          <w:sz w:val="24"/>
          <w:szCs w:val="24"/>
        </w:rPr>
        <w:t xml:space="preserve"> </w:t>
      </w:r>
    </w:p>
    <w:p w14:paraId="3B034E9B" w14:textId="1A553DB4" w:rsidR="00875924" w:rsidRDefault="00326BF6" w:rsidP="00CB63DD">
      <w:pPr>
        <w:pStyle w:val="PolicyMainHead"/>
        <w:spacing w:after="0" w:line="240" w:lineRule="auto"/>
        <w:rPr>
          <w:rFonts w:ascii="Times New Roman" w:hAnsi="Times New Roman"/>
          <w:color w:val="00548C"/>
          <w:sz w:val="24"/>
          <w:szCs w:val="24"/>
        </w:rPr>
      </w:pPr>
      <w:r>
        <w:rPr>
          <w:rFonts w:ascii="Times New Roman" w:hAnsi="Times New Roman"/>
          <w:color w:val="00548C"/>
          <w:sz w:val="24"/>
          <w:szCs w:val="24"/>
        </w:rPr>
        <w:t>Date of Last Revision</w:t>
      </w:r>
      <w:r w:rsidR="00D574CA" w:rsidRPr="003D7BE7">
        <w:rPr>
          <w:rFonts w:ascii="Times New Roman" w:hAnsi="Times New Roman"/>
          <w:color w:val="00548C"/>
          <w:sz w:val="24"/>
          <w:szCs w:val="24"/>
        </w:rPr>
        <w:t xml:space="preserve">: </w:t>
      </w:r>
      <w:r w:rsidR="006927A7">
        <w:rPr>
          <w:rFonts w:ascii="Times New Roman" w:hAnsi="Times New Roman"/>
          <w:color w:val="00548C"/>
          <w:sz w:val="24"/>
          <w:szCs w:val="24"/>
        </w:rPr>
        <w:t>1</w:t>
      </w:r>
      <w:r w:rsidR="006E0CF6">
        <w:rPr>
          <w:rFonts w:ascii="Times New Roman" w:hAnsi="Times New Roman"/>
          <w:color w:val="00548C"/>
          <w:sz w:val="24"/>
          <w:szCs w:val="24"/>
        </w:rPr>
        <w:t>1</w:t>
      </w:r>
      <w:r w:rsidR="007908C1">
        <w:rPr>
          <w:rFonts w:ascii="Times New Roman" w:hAnsi="Times New Roman"/>
          <w:color w:val="00548C"/>
          <w:sz w:val="24"/>
          <w:szCs w:val="24"/>
        </w:rPr>
        <w:t>/</w:t>
      </w:r>
      <w:r w:rsidR="001B59D7">
        <w:rPr>
          <w:rFonts w:ascii="Times New Roman" w:hAnsi="Times New Roman"/>
          <w:color w:val="00548C"/>
          <w:sz w:val="24"/>
          <w:szCs w:val="24"/>
        </w:rPr>
        <w:t>2</w:t>
      </w:r>
      <w:r w:rsidR="00BE4A67">
        <w:rPr>
          <w:rFonts w:ascii="Times New Roman" w:hAnsi="Times New Roman"/>
          <w:color w:val="00548C"/>
          <w:sz w:val="24"/>
          <w:szCs w:val="24"/>
        </w:rPr>
        <w:t>5</w:t>
      </w:r>
    </w:p>
    <w:p w14:paraId="08EB758A" w14:textId="77777777" w:rsidR="00875924" w:rsidRDefault="007B50D0" w:rsidP="00875924">
      <w:pPr>
        <w:pStyle w:val="PolicyMainHead"/>
        <w:tabs>
          <w:tab w:val="left" w:pos="360"/>
        </w:tabs>
        <w:spacing w:after="0" w:line="240" w:lineRule="auto"/>
        <w:jc w:val="right"/>
        <w:rPr>
          <w:rStyle w:val="Strong"/>
          <w:rFonts w:ascii="Times New Roman" w:hAnsi="Times New Roman"/>
          <w:b w:val="0"/>
          <w:bCs w:val="0"/>
          <w:u w:val="single"/>
        </w:rPr>
        <w:sectPr w:rsidR="00875924" w:rsidSect="00CB63DD">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sidR="00875924">
        <w:rPr>
          <w:rFonts w:ascii="Times New Roman" w:hAnsi="Times New Roman"/>
          <w:color w:val="00548C"/>
          <w:sz w:val="24"/>
          <w:szCs w:val="24"/>
        </w:rPr>
        <w:t xml:space="preserve"> </w:t>
      </w:r>
    </w:p>
    <w:p w14:paraId="4C08F1D2" w14:textId="77777777" w:rsidR="005D7B81" w:rsidRDefault="00032D3F" w:rsidP="00032D3F">
      <w:pPr>
        <w:pStyle w:val="NormalWeb"/>
        <w:tabs>
          <w:tab w:val="left" w:pos="975"/>
        </w:tabs>
        <w:spacing w:before="0" w:beforeAutospacing="0" w:after="0" w:afterAutospacing="0"/>
        <w:rPr>
          <w:rFonts w:ascii="Times New Roman" w:hAnsi="Times New Roman" w:cs="Times New Roman"/>
        </w:rPr>
      </w:pPr>
      <w:r>
        <w:rPr>
          <w:rFonts w:ascii="Times New Roman" w:hAnsi="Times New Roman" w:cs="Times New Roman"/>
        </w:rPr>
        <w:tab/>
      </w:r>
    </w:p>
    <w:p w14:paraId="0E31D218" w14:textId="77777777" w:rsidR="00D574CA" w:rsidRDefault="005D7B81" w:rsidP="00D574CA">
      <w:pPr>
        <w:pStyle w:val="NormalWeb"/>
        <w:spacing w:before="0" w:beforeAutospacing="0" w:after="0" w:afterAutospacing="0"/>
        <w:rPr>
          <w:rFonts w:ascii="Times New Roman" w:hAnsi="Times New Roman" w:cs="Times New Roman"/>
          <w:b/>
          <w:color w:val="00548C"/>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sidR="00493710">
        <w:rPr>
          <w:rFonts w:ascii="Times New Roman" w:hAnsi="Times New Roman" w:cs="Times New Roman"/>
          <w:b/>
          <w:color w:val="00548C"/>
        </w:rPr>
        <w:t>is</w:t>
      </w:r>
      <w:r w:rsidRPr="005D7B81">
        <w:rPr>
          <w:rFonts w:ascii="Times New Roman" w:hAnsi="Times New Roman" w:cs="Times New Roman"/>
          <w:b/>
          <w:color w:val="00548C"/>
        </w:rPr>
        <w:t xml:space="preserve"> policy for</w:t>
      </w:r>
      <w:r w:rsidR="00493710">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sidR="00493710">
        <w:rPr>
          <w:rFonts w:ascii="Times New Roman" w:hAnsi="Times New Roman" w:cs="Times New Roman"/>
          <w:b/>
          <w:color w:val="00548C"/>
        </w:rPr>
        <w:t>.</w:t>
      </w:r>
    </w:p>
    <w:p w14:paraId="28559D2A" w14:textId="77777777" w:rsidR="00577B41" w:rsidRPr="005D7B81" w:rsidRDefault="00577B41" w:rsidP="00D574CA">
      <w:pPr>
        <w:pStyle w:val="NormalWeb"/>
        <w:spacing w:before="0" w:beforeAutospacing="0" w:after="0" w:afterAutospacing="0"/>
        <w:rPr>
          <w:rStyle w:val="Strong"/>
          <w:rFonts w:ascii="Times New Roman" w:hAnsi="Times New Roman" w:cs="Times New Roman"/>
          <w:b w:val="0"/>
          <w:bCs w:val="0"/>
          <w:color w:val="00548C"/>
          <w:u w:val="single"/>
        </w:rPr>
      </w:pPr>
    </w:p>
    <w:p w14:paraId="777B21CE" w14:textId="77777777" w:rsidR="00583376" w:rsidRPr="00B777AF" w:rsidRDefault="00583376">
      <w:pPr>
        <w:pStyle w:val="Heading2"/>
        <w:rPr>
          <w:u w:val="none"/>
        </w:rPr>
      </w:pPr>
      <w:r w:rsidRPr="00B777AF">
        <w:rPr>
          <w:u w:val="none"/>
        </w:rPr>
        <w:t xml:space="preserve">Description </w:t>
      </w:r>
    </w:p>
    <w:p w14:paraId="49CCDBF7" w14:textId="52C3AB55" w:rsidR="00755C58" w:rsidRPr="004E3E6A" w:rsidRDefault="00635F8C" w:rsidP="00196935">
      <w:r>
        <w:t>An</w:t>
      </w:r>
      <w:r w:rsidR="008F68F2">
        <w:t xml:space="preserve"> </w:t>
      </w:r>
      <w:r>
        <w:t>i</w:t>
      </w:r>
      <w:r w:rsidR="008F68F2" w:rsidRPr="008F68F2">
        <w:t>mplantable</w:t>
      </w:r>
      <w:r>
        <w:t>,</w:t>
      </w:r>
      <w:r w:rsidR="008F68F2" w:rsidRPr="008F68F2">
        <w:t xml:space="preserve"> </w:t>
      </w:r>
      <w:r>
        <w:t xml:space="preserve">intrathecal drug delivery system consists of an implanted pump and catheter that delivers a </w:t>
      </w:r>
      <w:r w:rsidR="008F68F2" w:rsidRPr="008F68F2">
        <w:t xml:space="preserve">drug directly </w:t>
      </w:r>
      <w:r>
        <w:t>into the spinal fluid.</w:t>
      </w:r>
      <w:r w:rsidR="006927A7">
        <w:t xml:space="preserve"> </w:t>
      </w:r>
      <w:r>
        <w:t xml:space="preserve">The device </w:t>
      </w:r>
      <w:r w:rsidR="008F68F2" w:rsidRPr="008F68F2">
        <w:t>can be programmed for continuous or variable rates of infusion</w:t>
      </w:r>
      <w:r w:rsidR="008F68F2">
        <w:t>.</w:t>
      </w:r>
      <w:r w:rsidR="00824655">
        <w:t xml:space="preserve"> </w:t>
      </w:r>
      <w:r w:rsidR="00824655" w:rsidRPr="00824655">
        <w:t xml:space="preserve">Intrathecal drug delivery systems offer an invasive alternative for the long-term management of select patients </w:t>
      </w:r>
      <w:r w:rsidR="00824655" w:rsidRPr="004E3E6A">
        <w:t>with intractable pain.</w:t>
      </w:r>
      <w:r w:rsidR="00AC5371" w:rsidRPr="004E3E6A">
        <w:t xml:space="preserve">  </w:t>
      </w:r>
    </w:p>
    <w:p w14:paraId="531F5D95" w14:textId="77777777" w:rsidR="005D7B81" w:rsidRPr="004E3E6A" w:rsidRDefault="008F68F2" w:rsidP="00196935">
      <w:r w:rsidRPr="004E3E6A">
        <w:tab/>
      </w:r>
      <w:r w:rsidRPr="004E3E6A">
        <w:tab/>
      </w:r>
      <w:r w:rsidR="00E52955" w:rsidRPr="004E3E6A">
        <w:t xml:space="preserve"> </w:t>
      </w:r>
    </w:p>
    <w:p w14:paraId="75560893" w14:textId="7A645A2F" w:rsidR="00E52955" w:rsidRPr="004E3E6A" w:rsidRDefault="009A337D" w:rsidP="00196935">
      <w:pPr>
        <w:rPr>
          <w:i/>
        </w:rPr>
      </w:pPr>
      <w:r w:rsidRPr="004E3E6A">
        <w:rPr>
          <w:i/>
        </w:rPr>
        <w:t>Refer to CP.PHAR.149 Intrathecal Baclofen (Gablofen, Lioresal) for requests for Baclofen</w:t>
      </w:r>
      <w:r w:rsidR="0062432D" w:rsidRPr="004E3E6A">
        <w:rPr>
          <w:i/>
        </w:rPr>
        <w:t>.</w:t>
      </w:r>
    </w:p>
    <w:p w14:paraId="0093DB61" w14:textId="0B6ACFF1" w:rsidR="00340064" w:rsidRPr="004E3E6A" w:rsidRDefault="00340064" w:rsidP="00196935">
      <w:pPr>
        <w:rPr>
          <w:i/>
        </w:rPr>
      </w:pPr>
      <w:r w:rsidRPr="004E3E6A">
        <w:rPr>
          <w:i/>
        </w:rPr>
        <w:t>Refer to</w:t>
      </w:r>
      <w:r w:rsidR="000428C4" w:rsidRPr="004E3E6A">
        <w:rPr>
          <w:i/>
        </w:rPr>
        <w:t xml:space="preserve"> the</w:t>
      </w:r>
      <w:r w:rsidRPr="004E3E6A">
        <w:rPr>
          <w:i/>
        </w:rPr>
        <w:t xml:space="preserve"> CP.MP</w:t>
      </w:r>
      <w:r w:rsidR="001D4A4C" w:rsidRPr="004E3E6A">
        <w:rPr>
          <w:i/>
        </w:rPr>
        <w:t>.</w:t>
      </w:r>
      <w:r w:rsidRPr="004E3E6A">
        <w:rPr>
          <w:i/>
        </w:rPr>
        <w:t xml:space="preserve">107 </w:t>
      </w:r>
      <w:r w:rsidR="000428C4" w:rsidRPr="004E3E6A">
        <w:rPr>
          <w:i/>
        </w:rPr>
        <w:t>Durable Medical Equipment (DME)</w:t>
      </w:r>
      <w:r w:rsidRPr="004E3E6A">
        <w:rPr>
          <w:i/>
        </w:rPr>
        <w:t xml:space="preserve"> section on </w:t>
      </w:r>
      <w:r w:rsidR="009109E9" w:rsidRPr="004E3E6A">
        <w:rPr>
          <w:i/>
        </w:rPr>
        <w:t xml:space="preserve">Pumps </w:t>
      </w:r>
      <w:r w:rsidR="000428C4" w:rsidRPr="004E3E6A">
        <w:rPr>
          <w:i/>
        </w:rPr>
        <w:t xml:space="preserve">for criteria for </w:t>
      </w:r>
      <w:r w:rsidR="009914E6" w:rsidRPr="004E3E6A">
        <w:rPr>
          <w:i/>
        </w:rPr>
        <w:t>other indications</w:t>
      </w:r>
      <w:r w:rsidR="005F71A7" w:rsidRPr="004E3E6A">
        <w:rPr>
          <w:i/>
        </w:rPr>
        <w:t>.</w:t>
      </w:r>
    </w:p>
    <w:p w14:paraId="4353C1F9" w14:textId="77777777" w:rsidR="009A337D" w:rsidRPr="004E3E6A" w:rsidRDefault="00340064" w:rsidP="00196935">
      <w:pPr>
        <w:rPr>
          <w:i/>
        </w:rPr>
      </w:pPr>
      <w:r w:rsidRPr="004E3E6A">
        <w:rPr>
          <w:i/>
        </w:rPr>
        <w:t xml:space="preserve"> </w:t>
      </w:r>
    </w:p>
    <w:p w14:paraId="7F454DF6" w14:textId="77777777" w:rsidR="00583376" w:rsidRPr="004E3E6A" w:rsidRDefault="00583376">
      <w:pPr>
        <w:pStyle w:val="Heading2"/>
        <w:rPr>
          <w:u w:val="none"/>
        </w:rPr>
      </w:pPr>
      <w:r w:rsidRPr="004E3E6A">
        <w:rPr>
          <w:u w:val="none"/>
        </w:rPr>
        <w:t>Policy/Criteria</w:t>
      </w:r>
    </w:p>
    <w:p w14:paraId="180156D1" w14:textId="77777777" w:rsidR="0029051F" w:rsidRPr="004C39F7" w:rsidRDefault="001165F0" w:rsidP="006F65FB">
      <w:pPr>
        <w:pStyle w:val="ListParagraph"/>
        <w:numPr>
          <w:ilvl w:val="0"/>
          <w:numId w:val="2"/>
        </w:numPr>
        <w:ind w:left="360"/>
      </w:pPr>
      <w:bookmarkStart w:id="0" w:name="_Hlk153268976"/>
      <w:r w:rsidRPr="004E3E6A">
        <w:t>I</w:t>
      </w:r>
      <w:r w:rsidR="00DE51D7" w:rsidRPr="004E3E6A">
        <w:t>t is the policy of health plans affiliated with Centene Corporation</w:t>
      </w:r>
      <w:r w:rsidR="00DE51D7" w:rsidRPr="004E3E6A">
        <w:rPr>
          <w:vertAlign w:val="superscript"/>
        </w:rPr>
        <w:t>®</w:t>
      </w:r>
      <w:r w:rsidR="00DE51D7" w:rsidRPr="004E3E6A">
        <w:t xml:space="preserve"> </w:t>
      </w:r>
      <w:bookmarkEnd w:id="0"/>
      <w:r w:rsidR="00DE51D7" w:rsidRPr="004E3E6A">
        <w:t>that</w:t>
      </w:r>
      <w:r w:rsidR="001C5F1B" w:rsidRPr="004E3E6A">
        <w:t xml:space="preserve"> </w:t>
      </w:r>
      <w:r w:rsidR="001C5F1B" w:rsidRPr="004E3E6A">
        <w:rPr>
          <w:b/>
        </w:rPr>
        <w:t>a</w:t>
      </w:r>
      <w:r w:rsidR="00303396" w:rsidRPr="004E3E6A">
        <w:rPr>
          <w:b/>
        </w:rPr>
        <w:t xml:space="preserve"> </w:t>
      </w:r>
      <w:r w:rsidR="004C7DE7" w:rsidRPr="004E3E6A">
        <w:rPr>
          <w:b/>
          <w:i/>
        </w:rPr>
        <w:t xml:space="preserve">preliminary </w:t>
      </w:r>
      <w:r w:rsidR="002030F4" w:rsidRPr="004E3E6A">
        <w:rPr>
          <w:b/>
          <w:i/>
        </w:rPr>
        <w:t>trial</w:t>
      </w:r>
      <w:r w:rsidR="00491457" w:rsidRPr="004E3E6A">
        <w:rPr>
          <w:i/>
        </w:rPr>
        <w:t xml:space="preserve"> </w:t>
      </w:r>
      <w:r w:rsidR="002030F4" w:rsidRPr="004E3E6A">
        <w:rPr>
          <w:i/>
        </w:rPr>
        <w:t xml:space="preserve">of </w:t>
      </w:r>
      <w:r w:rsidR="006B604C" w:rsidRPr="004E3E6A">
        <w:rPr>
          <w:i/>
        </w:rPr>
        <w:t xml:space="preserve">epidural or </w:t>
      </w:r>
      <w:r w:rsidR="00491457" w:rsidRPr="004E3E6A">
        <w:rPr>
          <w:i/>
        </w:rPr>
        <w:t xml:space="preserve">intrathecal </w:t>
      </w:r>
      <w:r w:rsidR="002030F4" w:rsidRPr="004E3E6A">
        <w:rPr>
          <w:i/>
        </w:rPr>
        <w:t>administration of an opioid drug</w:t>
      </w:r>
      <w:r w:rsidR="00326BF6">
        <w:rPr>
          <w:i/>
        </w:rPr>
        <w:t xml:space="preserve"> </w:t>
      </w:r>
      <w:r w:rsidR="001C5F1B">
        <w:t xml:space="preserve">is </w:t>
      </w:r>
      <w:r w:rsidR="001C5F1B" w:rsidRPr="009A337D">
        <w:rPr>
          <w:b/>
        </w:rPr>
        <w:t>medically necessary</w:t>
      </w:r>
      <w:r w:rsidR="0029051F">
        <w:rPr>
          <w:b/>
        </w:rPr>
        <w:t xml:space="preserve"> when all of the </w:t>
      </w:r>
      <w:r w:rsidR="0029051F" w:rsidRPr="004C39F7">
        <w:rPr>
          <w:b/>
        </w:rPr>
        <w:t>following criteria are met:</w:t>
      </w:r>
    </w:p>
    <w:p w14:paraId="20CCE03D" w14:textId="2E86BF50" w:rsidR="00F41A9E" w:rsidRPr="004C39F7" w:rsidRDefault="00F9550B" w:rsidP="00764DE5">
      <w:pPr>
        <w:pStyle w:val="ListParagraph"/>
        <w:numPr>
          <w:ilvl w:val="0"/>
          <w:numId w:val="6"/>
        </w:numPr>
        <w:ind w:left="720"/>
      </w:pPr>
      <w:bookmarkStart w:id="1" w:name="_Hlk153279267"/>
      <w:r w:rsidRPr="004C39F7">
        <w:t xml:space="preserve">Request is for </w:t>
      </w:r>
      <w:r w:rsidR="00491457" w:rsidRPr="004C39F7">
        <w:t xml:space="preserve">either of </w:t>
      </w:r>
      <w:r w:rsidR="001C5F1B" w:rsidRPr="004C39F7">
        <w:t xml:space="preserve">the </w:t>
      </w:r>
      <w:r w:rsidR="009A337D" w:rsidRPr="004C39F7">
        <w:t xml:space="preserve">following indications: </w:t>
      </w:r>
    </w:p>
    <w:bookmarkEnd w:id="1"/>
    <w:p w14:paraId="6EC34006" w14:textId="1BC8F36B" w:rsidR="00DE51D7" w:rsidRPr="004C39F7" w:rsidRDefault="00CD459B" w:rsidP="00764DE5">
      <w:pPr>
        <w:pStyle w:val="ListParagraph"/>
        <w:numPr>
          <w:ilvl w:val="3"/>
          <w:numId w:val="4"/>
        </w:numPr>
        <w:ind w:left="1080"/>
      </w:pPr>
      <w:r w:rsidRPr="004C39F7">
        <w:t>C</w:t>
      </w:r>
      <w:r w:rsidR="00DE51D7" w:rsidRPr="004C39F7">
        <w:t>hronic intractable pain</w:t>
      </w:r>
      <w:r w:rsidR="005B7E2D" w:rsidRPr="004C39F7">
        <w:t xml:space="preserve"> </w:t>
      </w:r>
      <w:r w:rsidR="001A428A" w:rsidRPr="004C39F7">
        <w:t xml:space="preserve">of malignant </w:t>
      </w:r>
      <w:r w:rsidR="00DE51D7" w:rsidRPr="004C39F7">
        <w:t xml:space="preserve">origin </w:t>
      </w:r>
      <w:r w:rsidR="00BD359F" w:rsidRPr="004C39F7">
        <w:t>when all of the following criteria is met:</w:t>
      </w:r>
    </w:p>
    <w:p w14:paraId="537C2B67" w14:textId="1422C3FA" w:rsidR="00DE51D7" w:rsidRPr="004C39F7" w:rsidRDefault="00147DEF" w:rsidP="00764DE5">
      <w:pPr>
        <w:pStyle w:val="ListParagraph"/>
        <w:numPr>
          <w:ilvl w:val="0"/>
          <w:numId w:val="15"/>
        </w:numPr>
        <w:tabs>
          <w:tab w:val="left" w:pos="1080"/>
        </w:tabs>
      </w:pPr>
      <w:r w:rsidRPr="004C39F7">
        <w:t>I</w:t>
      </w:r>
      <w:r w:rsidR="00DE51D7" w:rsidRPr="004C39F7">
        <w:t>nadequate response</w:t>
      </w:r>
      <w:r w:rsidR="00144C71" w:rsidRPr="004C39F7">
        <w:t xml:space="preserve"> to</w:t>
      </w:r>
      <w:r w:rsidR="001108F4" w:rsidRPr="004C39F7">
        <w:t>,</w:t>
      </w:r>
      <w:r w:rsidR="00DE51D7" w:rsidRPr="004C39F7">
        <w:t xml:space="preserve"> </w:t>
      </w:r>
      <w:r w:rsidR="00A121C6" w:rsidRPr="004C39F7">
        <w:t xml:space="preserve">or </w:t>
      </w:r>
      <w:r w:rsidR="00144C71" w:rsidRPr="004C39F7">
        <w:t>intolerable</w:t>
      </w:r>
      <w:r w:rsidR="00A121C6" w:rsidRPr="004C39F7">
        <w:t xml:space="preserve"> side effects from</w:t>
      </w:r>
      <w:r w:rsidR="001108F4" w:rsidRPr="004C39F7">
        <w:t>,</w:t>
      </w:r>
      <w:r w:rsidR="00DE51D7" w:rsidRPr="004C39F7">
        <w:t xml:space="preserve"> noninvasive methods of pain control such as systemic opioids;</w:t>
      </w:r>
    </w:p>
    <w:p w14:paraId="5D99E6C2" w14:textId="4D356E29" w:rsidR="00BD359F" w:rsidRPr="004C39F7" w:rsidRDefault="00BD359F" w:rsidP="00764DE5">
      <w:pPr>
        <w:pStyle w:val="ListParagraph"/>
        <w:numPr>
          <w:ilvl w:val="0"/>
          <w:numId w:val="15"/>
        </w:numPr>
      </w:pPr>
      <w:r w:rsidRPr="004C39F7">
        <w:t xml:space="preserve">Life expectancy </w:t>
      </w:r>
      <w:r w:rsidR="007C6A87" w:rsidRPr="004C39F7">
        <w:t xml:space="preserve">&gt; </w:t>
      </w:r>
      <w:r w:rsidR="00074130" w:rsidRPr="004C39F7">
        <w:t xml:space="preserve">three </w:t>
      </w:r>
      <w:r w:rsidRPr="004C39F7">
        <w:t xml:space="preserve">months; </w:t>
      </w:r>
    </w:p>
    <w:p w14:paraId="7436803B" w14:textId="293F7596" w:rsidR="00F5733F" w:rsidRPr="004C39F7" w:rsidRDefault="001A428A" w:rsidP="00764DE5">
      <w:pPr>
        <w:pStyle w:val="ListParagraph"/>
        <w:numPr>
          <w:ilvl w:val="0"/>
          <w:numId w:val="15"/>
        </w:numPr>
      </w:pPr>
      <w:r w:rsidRPr="004C39F7">
        <w:t xml:space="preserve">No </w:t>
      </w:r>
      <w:r w:rsidR="00BD359F" w:rsidRPr="004C39F7">
        <w:t xml:space="preserve">evidence of </w:t>
      </w:r>
      <w:r w:rsidR="00F5733F" w:rsidRPr="004C39F7">
        <w:t>epidural metastatic lesion(s) or tumor encroachment of the thecal sac by imaging</w:t>
      </w:r>
      <w:r w:rsidR="008F7848" w:rsidRPr="004C39F7">
        <w:t>;</w:t>
      </w:r>
    </w:p>
    <w:p w14:paraId="2C1210E9" w14:textId="2E5520E6" w:rsidR="001A428A" w:rsidRPr="004C39F7" w:rsidRDefault="00491457" w:rsidP="00764DE5">
      <w:pPr>
        <w:pStyle w:val="ListParagraph"/>
        <w:numPr>
          <w:ilvl w:val="0"/>
          <w:numId w:val="4"/>
        </w:numPr>
        <w:ind w:left="1080"/>
      </w:pPr>
      <w:r w:rsidRPr="004C39F7">
        <w:t>Chronic i</w:t>
      </w:r>
      <w:r w:rsidR="004C7DE7" w:rsidRPr="004C39F7">
        <w:t xml:space="preserve">ntractable </w:t>
      </w:r>
      <w:r w:rsidR="001A428A" w:rsidRPr="004C39F7">
        <w:t xml:space="preserve">pain of nonmalignant origin </w:t>
      </w:r>
      <w:r w:rsidR="000E194E" w:rsidRPr="004C39F7">
        <w:t xml:space="preserve">(e.g. failed back surgery syndrome, complex regional pain syndrome) </w:t>
      </w:r>
      <w:r w:rsidR="007D49B2" w:rsidRPr="004C39F7">
        <w:t xml:space="preserve">when all the following criteria </w:t>
      </w:r>
      <w:r w:rsidR="000530A9" w:rsidRPr="004C39F7">
        <w:t xml:space="preserve">are </w:t>
      </w:r>
      <w:r w:rsidR="007D49B2" w:rsidRPr="004C39F7">
        <w:t>met:</w:t>
      </w:r>
    </w:p>
    <w:p w14:paraId="4C1F8712" w14:textId="40D3B0FD" w:rsidR="00F5733F" w:rsidRPr="004C39F7" w:rsidRDefault="000F2408" w:rsidP="00764DE5">
      <w:pPr>
        <w:pStyle w:val="ListParagraph"/>
        <w:numPr>
          <w:ilvl w:val="0"/>
          <w:numId w:val="16"/>
        </w:numPr>
        <w:ind w:left="1440"/>
      </w:pPr>
      <w:r w:rsidRPr="004C39F7">
        <w:t>P</w:t>
      </w:r>
      <w:r w:rsidR="00F5733F" w:rsidRPr="004C39F7">
        <w:t>athology</w:t>
      </w:r>
      <w:r w:rsidR="007C6A87" w:rsidRPr="004C39F7">
        <w:t xml:space="preserve"> for the pain</w:t>
      </w:r>
      <w:r w:rsidRPr="004C39F7">
        <w:t xml:space="preserve"> has been identified;</w:t>
      </w:r>
      <w:r w:rsidR="00F5733F" w:rsidRPr="004C39F7">
        <w:t xml:space="preserve"> </w:t>
      </w:r>
    </w:p>
    <w:p w14:paraId="7E61FB35" w14:textId="66319EDD" w:rsidR="000F2408" w:rsidRPr="004C39F7" w:rsidRDefault="000F2408" w:rsidP="00764DE5">
      <w:pPr>
        <w:pStyle w:val="ListParagraph"/>
        <w:numPr>
          <w:ilvl w:val="0"/>
          <w:numId w:val="16"/>
        </w:numPr>
        <w:ind w:left="1440"/>
      </w:pPr>
      <w:r w:rsidRPr="004C39F7">
        <w:t xml:space="preserve">Life expectancy is &gt; </w:t>
      </w:r>
      <w:r w:rsidR="0017546F" w:rsidRPr="004C39F7">
        <w:t xml:space="preserve">three </w:t>
      </w:r>
      <w:r w:rsidRPr="004C39F7">
        <w:t>months;</w:t>
      </w:r>
    </w:p>
    <w:p w14:paraId="708DA1DE" w14:textId="77777777" w:rsidR="00F5733F" w:rsidRPr="004C39F7" w:rsidRDefault="00D21794" w:rsidP="00764DE5">
      <w:pPr>
        <w:pStyle w:val="ListParagraph"/>
        <w:numPr>
          <w:ilvl w:val="0"/>
          <w:numId w:val="16"/>
        </w:numPr>
        <w:ind w:left="1440"/>
      </w:pPr>
      <w:r w:rsidRPr="004C39F7">
        <w:t>Failure or inability to tolerate other conservative treatment methods, including but not limited to</w:t>
      </w:r>
      <w:r w:rsidR="00340064" w:rsidRPr="004C39F7">
        <w:t xml:space="preserve">, </w:t>
      </w:r>
      <w:r w:rsidR="00246A99" w:rsidRPr="004C39F7">
        <w:t xml:space="preserve">systemic pharmacotherapy, </w:t>
      </w:r>
      <w:r w:rsidRPr="004C39F7">
        <w:t>physical therapy</w:t>
      </w:r>
      <w:r w:rsidR="00D02CF8" w:rsidRPr="004C39F7">
        <w:t>, behavioral health treatment for pain,</w:t>
      </w:r>
      <w:r w:rsidRPr="004C39F7">
        <w:t xml:space="preserve"> and appropriate </w:t>
      </w:r>
      <w:r w:rsidR="00EC63A9" w:rsidRPr="004C39F7">
        <w:t>nonsurgical treatment;</w:t>
      </w:r>
    </w:p>
    <w:p w14:paraId="0487A3CF" w14:textId="77777777" w:rsidR="00353E0E" w:rsidRPr="004C39F7" w:rsidRDefault="00353E0E" w:rsidP="00764DE5">
      <w:pPr>
        <w:pStyle w:val="ListParagraph"/>
        <w:numPr>
          <w:ilvl w:val="0"/>
          <w:numId w:val="16"/>
        </w:numPr>
        <w:ind w:left="1440"/>
      </w:pPr>
      <w:r w:rsidRPr="004C39F7">
        <w:t>Compliance with previous attempts to treat the</w:t>
      </w:r>
      <w:r w:rsidR="00246A99" w:rsidRPr="004C39F7">
        <w:t xml:space="preserve"> condition;</w:t>
      </w:r>
    </w:p>
    <w:p w14:paraId="2CF78755" w14:textId="2EAA26CA" w:rsidR="00B73419" w:rsidRPr="002814B8" w:rsidRDefault="002030F4" w:rsidP="00A01ADC">
      <w:pPr>
        <w:pStyle w:val="ListParagraph"/>
        <w:numPr>
          <w:ilvl w:val="0"/>
          <w:numId w:val="16"/>
        </w:numPr>
        <w:ind w:left="1440"/>
      </w:pPr>
      <w:r w:rsidRPr="004C39F7">
        <w:t>A p</w:t>
      </w:r>
      <w:r w:rsidR="00AF0953" w:rsidRPr="004C39F7">
        <w:t xml:space="preserve">sychological evaluation </w:t>
      </w:r>
      <w:r w:rsidR="00EC63A9" w:rsidRPr="004C39F7">
        <w:t xml:space="preserve">confirms </w:t>
      </w:r>
      <w:r w:rsidR="00F138A4" w:rsidRPr="004C39F7">
        <w:t xml:space="preserve">a </w:t>
      </w:r>
      <w:r w:rsidR="00353E0E" w:rsidRPr="004C39F7">
        <w:t xml:space="preserve">mental health </w:t>
      </w:r>
      <w:r w:rsidR="00EC63A9" w:rsidRPr="004C39F7">
        <w:t>condition</w:t>
      </w:r>
      <w:r w:rsidR="00353E0E" w:rsidRPr="004C39F7">
        <w:t xml:space="preserve"> </w:t>
      </w:r>
      <w:r w:rsidR="000F2408" w:rsidRPr="004C39F7">
        <w:t xml:space="preserve">is not </w:t>
      </w:r>
      <w:r w:rsidR="00353E0E" w:rsidRPr="004C39F7">
        <w:t xml:space="preserve">a major </w:t>
      </w:r>
      <w:r w:rsidR="00353E0E" w:rsidRPr="002814B8">
        <w:t>contributor to chronic pain</w:t>
      </w:r>
      <w:r w:rsidR="00D02CF8" w:rsidRPr="002814B8">
        <w:t xml:space="preserve"> symptoms</w:t>
      </w:r>
      <w:r w:rsidR="00777E01" w:rsidRPr="002814B8">
        <w:t>;</w:t>
      </w:r>
    </w:p>
    <w:p w14:paraId="2F0F8D1D" w14:textId="77777777" w:rsidR="00F5733F" w:rsidRPr="004C39F7" w:rsidRDefault="00F5733F" w:rsidP="00764DE5">
      <w:pPr>
        <w:pStyle w:val="ListParagraph"/>
        <w:numPr>
          <w:ilvl w:val="0"/>
          <w:numId w:val="16"/>
        </w:numPr>
        <w:ind w:left="1440"/>
      </w:pPr>
      <w:r w:rsidRPr="004C39F7">
        <w:t>Further surgical intervention or other treatment is not indicated or likely to be effective</w:t>
      </w:r>
      <w:r w:rsidR="00777E01" w:rsidRPr="004C39F7">
        <w:t>;</w:t>
      </w:r>
    </w:p>
    <w:p w14:paraId="1E239E6A" w14:textId="59084F20" w:rsidR="003F3D44" w:rsidRPr="004C39F7" w:rsidRDefault="00F138A4" w:rsidP="00764DE5">
      <w:pPr>
        <w:pStyle w:val="ListParagraph"/>
        <w:numPr>
          <w:ilvl w:val="0"/>
          <w:numId w:val="16"/>
        </w:numPr>
        <w:ind w:left="1440"/>
      </w:pPr>
      <w:r w:rsidRPr="004C39F7">
        <w:t xml:space="preserve">Prior to the trial, </w:t>
      </w:r>
      <w:r w:rsidR="007C6A87" w:rsidRPr="004C39F7">
        <w:t xml:space="preserve">systemic opioids </w:t>
      </w:r>
      <w:r w:rsidR="0023489D" w:rsidRPr="004C39F7">
        <w:t>ha</w:t>
      </w:r>
      <w:r w:rsidR="007C6A87" w:rsidRPr="004C39F7">
        <w:t>ve</w:t>
      </w:r>
      <w:r w:rsidR="0023489D" w:rsidRPr="004C39F7">
        <w:t xml:space="preserve"> </w:t>
      </w:r>
      <w:r w:rsidR="007C6A87" w:rsidRPr="004C39F7">
        <w:t xml:space="preserve">been </w:t>
      </w:r>
      <w:r w:rsidR="0023489D" w:rsidRPr="004C39F7">
        <w:t xml:space="preserve">weaned </w:t>
      </w:r>
      <w:r w:rsidR="00D02CF8" w:rsidRPr="004C39F7">
        <w:t>by at least 50%</w:t>
      </w:r>
      <w:r w:rsidR="00BE5D2C" w:rsidRPr="004C39F7">
        <w:t>;</w:t>
      </w:r>
    </w:p>
    <w:p w14:paraId="5780FC6F" w14:textId="6CF311ED" w:rsidR="00D02CF8" w:rsidRPr="004C39F7" w:rsidRDefault="00D02CF8" w:rsidP="00682359">
      <w:pPr>
        <w:pStyle w:val="ListParagraph"/>
        <w:numPr>
          <w:ilvl w:val="0"/>
          <w:numId w:val="16"/>
        </w:numPr>
        <w:ind w:left="1440"/>
      </w:pPr>
      <w:r w:rsidRPr="004C39F7">
        <w:t>Opioid induced hyperalgesia has been ruled out as a possible cause of the chronic pain symptoms</w:t>
      </w:r>
      <w:r w:rsidR="00AE6FD8">
        <w:t>;</w:t>
      </w:r>
      <w:r w:rsidR="004A5F25">
        <w:t xml:space="preserve"> </w:t>
      </w:r>
    </w:p>
    <w:p w14:paraId="3B82840E" w14:textId="439999E4" w:rsidR="00682359" w:rsidRPr="004C39F7" w:rsidRDefault="00682359" w:rsidP="00682359">
      <w:pPr>
        <w:pStyle w:val="ListParagraph"/>
        <w:numPr>
          <w:ilvl w:val="0"/>
          <w:numId w:val="6"/>
        </w:numPr>
        <w:ind w:left="720"/>
      </w:pPr>
      <w:bookmarkStart w:id="2" w:name="_Hlk153279863"/>
      <w:r w:rsidRPr="004C39F7">
        <w:t>None of the following contraindications:</w:t>
      </w:r>
    </w:p>
    <w:p w14:paraId="291686F2" w14:textId="27E657F4" w:rsidR="00516669" w:rsidRPr="004C39F7" w:rsidRDefault="00516669" w:rsidP="00764DE5">
      <w:pPr>
        <w:pStyle w:val="ListParagraph"/>
        <w:numPr>
          <w:ilvl w:val="3"/>
          <w:numId w:val="4"/>
        </w:numPr>
        <w:ind w:left="1080"/>
      </w:pPr>
      <w:r w:rsidRPr="004C39F7">
        <w:t>Known allergies to materials in the implant;</w:t>
      </w:r>
    </w:p>
    <w:p w14:paraId="6043CA8D" w14:textId="646F677D" w:rsidR="00516669" w:rsidRPr="004C39F7" w:rsidRDefault="00516669" w:rsidP="00764DE5">
      <w:pPr>
        <w:pStyle w:val="ListParagraph"/>
        <w:numPr>
          <w:ilvl w:val="3"/>
          <w:numId w:val="4"/>
        </w:numPr>
        <w:ind w:left="1080"/>
      </w:pPr>
      <w:bookmarkStart w:id="3" w:name="_Hlk153437100"/>
      <w:r w:rsidRPr="004C39F7">
        <w:t xml:space="preserve">Active </w:t>
      </w:r>
      <w:r w:rsidR="00324813" w:rsidRPr="004C39F7">
        <w:t>alcohol or</w:t>
      </w:r>
      <w:r w:rsidRPr="004C39F7">
        <w:t xml:space="preserve"> drug abuse</w:t>
      </w:r>
      <w:r w:rsidR="00324813" w:rsidRPr="004C39F7">
        <w:t>, including</w:t>
      </w:r>
      <w:r w:rsidR="00FB770E" w:rsidRPr="004C39F7">
        <w:t xml:space="preserve"> but not limited to opioid addiction and </w:t>
      </w:r>
      <w:r w:rsidR="00324813" w:rsidRPr="004C39F7">
        <w:t xml:space="preserve"> </w:t>
      </w:r>
      <w:r w:rsidR="00EF283C" w:rsidRPr="004C39F7">
        <w:t xml:space="preserve">   </w:t>
      </w:r>
      <w:r w:rsidR="00324813" w:rsidRPr="004C39F7">
        <w:t xml:space="preserve">intravenous </w:t>
      </w:r>
      <w:r w:rsidR="00DF07C9" w:rsidRPr="004C39F7">
        <w:t xml:space="preserve">drug </w:t>
      </w:r>
      <w:r w:rsidR="00324813" w:rsidRPr="004C39F7">
        <w:t>abuse</w:t>
      </w:r>
      <w:r w:rsidRPr="004C39F7">
        <w:t>;</w:t>
      </w:r>
    </w:p>
    <w:bookmarkEnd w:id="3"/>
    <w:p w14:paraId="23BE7EDB" w14:textId="77777777" w:rsidR="00516669" w:rsidRPr="004C39F7" w:rsidRDefault="00516669" w:rsidP="00764DE5">
      <w:pPr>
        <w:pStyle w:val="ListParagraph"/>
        <w:numPr>
          <w:ilvl w:val="3"/>
          <w:numId w:val="4"/>
        </w:numPr>
        <w:ind w:left="1080"/>
      </w:pPr>
      <w:r w:rsidRPr="004C39F7">
        <w:lastRenderedPageBreak/>
        <w:t>Diagnosis of dementia or psychosis;</w:t>
      </w:r>
    </w:p>
    <w:p w14:paraId="5E156628" w14:textId="77777777" w:rsidR="00516669" w:rsidRPr="004C39F7" w:rsidRDefault="00516669" w:rsidP="00764DE5">
      <w:pPr>
        <w:pStyle w:val="ListParagraph"/>
        <w:numPr>
          <w:ilvl w:val="3"/>
          <w:numId w:val="4"/>
        </w:numPr>
        <w:ind w:left="1080"/>
      </w:pPr>
      <w:r w:rsidRPr="004C39F7">
        <w:t>Active systemic infection;</w:t>
      </w:r>
    </w:p>
    <w:p w14:paraId="3493C92F" w14:textId="23BB5FC4" w:rsidR="00516669" w:rsidRPr="004C39F7" w:rsidRDefault="00516669" w:rsidP="00764DE5">
      <w:pPr>
        <w:pStyle w:val="ListParagraph"/>
        <w:numPr>
          <w:ilvl w:val="3"/>
          <w:numId w:val="4"/>
        </w:numPr>
        <w:ind w:left="1080"/>
      </w:pPr>
      <w:r w:rsidRPr="004C39F7">
        <w:t>Active infection at the site of implantation.</w:t>
      </w:r>
    </w:p>
    <w:bookmarkEnd w:id="2"/>
    <w:p w14:paraId="0A611A73" w14:textId="77777777" w:rsidR="00F138A4" w:rsidRPr="002030F4" w:rsidRDefault="00F138A4" w:rsidP="00F138A4">
      <w:pPr>
        <w:pStyle w:val="ListParagraph"/>
        <w:ind w:left="1080"/>
      </w:pPr>
    </w:p>
    <w:p w14:paraId="4A406560" w14:textId="22C36D45" w:rsidR="00CD459B" w:rsidRPr="00764DE5" w:rsidRDefault="00F5733F" w:rsidP="006F65FB">
      <w:pPr>
        <w:pStyle w:val="ListParagraph"/>
        <w:numPr>
          <w:ilvl w:val="0"/>
          <w:numId w:val="3"/>
        </w:numPr>
        <w:ind w:left="360"/>
      </w:pPr>
      <w:r w:rsidRPr="002030F4">
        <w:t xml:space="preserve">It is the policy of health plans affiliated with Centene Corporation that </w:t>
      </w:r>
      <w:r w:rsidRPr="002030F4">
        <w:rPr>
          <w:i/>
        </w:rPr>
        <w:t>implantation of a</w:t>
      </w:r>
      <w:r w:rsidR="00CD459B" w:rsidRPr="002030F4">
        <w:rPr>
          <w:i/>
        </w:rPr>
        <w:t xml:space="preserve"> </w:t>
      </w:r>
      <w:r w:rsidR="00CD459B" w:rsidRPr="001B59D7">
        <w:rPr>
          <w:b/>
          <w:i/>
        </w:rPr>
        <w:t>permanent</w:t>
      </w:r>
      <w:r w:rsidR="00CD459B" w:rsidRPr="002030F4">
        <w:rPr>
          <w:i/>
        </w:rPr>
        <w:t xml:space="preserve"> </w:t>
      </w:r>
      <w:r w:rsidR="00303396" w:rsidRPr="002030F4">
        <w:rPr>
          <w:i/>
        </w:rPr>
        <w:t xml:space="preserve">epidural or intrathecal </w:t>
      </w:r>
      <w:r w:rsidR="00755C58" w:rsidRPr="002030F4">
        <w:rPr>
          <w:i/>
        </w:rPr>
        <w:t>pain pump</w:t>
      </w:r>
      <w:r w:rsidR="00353E0E" w:rsidRPr="002030F4">
        <w:t xml:space="preserve"> </w:t>
      </w:r>
      <w:r w:rsidR="004C7DE7" w:rsidRPr="002030F4">
        <w:t xml:space="preserve">to </w:t>
      </w:r>
      <w:r w:rsidR="004C7DE7" w:rsidRPr="00160557">
        <w:t xml:space="preserve">administer </w:t>
      </w:r>
      <w:r w:rsidR="00EF223D" w:rsidRPr="00160557">
        <w:t xml:space="preserve">an </w:t>
      </w:r>
      <w:r w:rsidR="004C7DE7" w:rsidRPr="00160557">
        <w:t>opioid</w:t>
      </w:r>
      <w:r w:rsidR="004C7DE7" w:rsidRPr="002030F4">
        <w:t xml:space="preserve"> drug, </w:t>
      </w:r>
      <w:r w:rsidR="0027645B">
        <w:t>alone</w:t>
      </w:r>
      <w:r w:rsidR="0027645B" w:rsidRPr="002030F4">
        <w:t xml:space="preserve"> </w:t>
      </w:r>
      <w:r w:rsidR="004C7DE7" w:rsidRPr="002030F4">
        <w:t xml:space="preserve">or in combination with other non-opioid drugs, </w:t>
      </w:r>
      <w:r w:rsidR="00CD459B" w:rsidRPr="002030F4">
        <w:t xml:space="preserve">is </w:t>
      </w:r>
      <w:r w:rsidR="00CD459B" w:rsidRPr="000507A6">
        <w:rPr>
          <w:b/>
        </w:rPr>
        <w:t>medically necessary</w:t>
      </w:r>
      <w:r w:rsidR="00CD459B" w:rsidRPr="00764DE5">
        <w:rPr>
          <w:b/>
        </w:rPr>
        <w:t xml:space="preserve"> </w:t>
      </w:r>
      <w:r w:rsidR="0027645B" w:rsidRPr="00764DE5">
        <w:rPr>
          <w:b/>
        </w:rPr>
        <w:t xml:space="preserve">when </w:t>
      </w:r>
      <w:r w:rsidR="000507A6" w:rsidRPr="00764DE5">
        <w:rPr>
          <w:b/>
        </w:rPr>
        <w:t>all of the following criteria are met</w:t>
      </w:r>
      <w:r w:rsidR="004C7DE7" w:rsidRPr="00764DE5">
        <w:rPr>
          <w:b/>
        </w:rPr>
        <w:t>:</w:t>
      </w:r>
      <w:r w:rsidR="00CD459B" w:rsidRPr="00764DE5">
        <w:rPr>
          <w:b/>
        </w:rPr>
        <w:t xml:space="preserve"> </w:t>
      </w:r>
    </w:p>
    <w:p w14:paraId="5C7A14CD" w14:textId="6EB79434" w:rsidR="00E55373" w:rsidRPr="004C39F7" w:rsidRDefault="00E55373" w:rsidP="00764DE5">
      <w:pPr>
        <w:pStyle w:val="ListParagraph"/>
        <w:numPr>
          <w:ilvl w:val="0"/>
          <w:numId w:val="21"/>
        </w:numPr>
      </w:pPr>
      <w:r w:rsidRPr="004C39F7">
        <w:t>Request is for either of the following indications:</w:t>
      </w:r>
    </w:p>
    <w:p w14:paraId="28845FB3" w14:textId="2489C170" w:rsidR="000C3916" w:rsidRPr="004C39F7" w:rsidRDefault="004C7DE7" w:rsidP="00764DE5">
      <w:pPr>
        <w:pStyle w:val="ListParagraph"/>
        <w:numPr>
          <w:ilvl w:val="0"/>
          <w:numId w:val="23"/>
        </w:numPr>
      </w:pPr>
      <w:r w:rsidRPr="004C39F7">
        <w:t>Chronic intractable pain of malignant origin</w:t>
      </w:r>
      <w:r w:rsidR="00B87D65" w:rsidRPr="004C39F7">
        <w:t xml:space="preserve"> </w:t>
      </w:r>
      <w:r w:rsidR="00E17172" w:rsidRPr="004C39F7">
        <w:t>when the above criteria for</w:t>
      </w:r>
      <w:r w:rsidR="00B87D65" w:rsidRPr="004C39F7">
        <w:t xml:space="preserve"> </w:t>
      </w:r>
      <w:r w:rsidR="00D3334F" w:rsidRPr="004C39F7">
        <w:t xml:space="preserve">the preliminary trial </w:t>
      </w:r>
      <w:r w:rsidR="0027645B" w:rsidRPr="004C39F7">
        <w:t>are</w:t>
      </w:r>
      <w:r w:rsidR="000D40B5" w:rsidRPr="004C39F7">
        <w:t xml:space="preserve"> met</w:t>
      </w:r>
      <w:r w:rsidR="0027645B" w:rsidRPr="004C39F7">
        <w:t xml:space="preserve">, and all </w:t>
      </w:r>
      <w:r w:rsidR="007B2767" w:rsidRPr="004C39F7">
        <w:t xml:space="preserve">of </w:t>
      </w:r>
      <w:r w:rsidR="0027645B" w:rsidRPr="004C39F7">
        <w:t>the following:</w:t>
      </w:r>
    </w:p>
    <w:p w14:paraId="2FCDA5E6" w14:textId="3AF67039" w:rsidR="004C7DE7" w:rsidRPr="004C39F7" w:rsidRDefault="000C3916" w:rsidP="00764DE5">
      <w:pPr>
        <w:pStyle w:val="ListParagraph"/>
        <w:numPr>
          <w:ilvl w:val="1"/>
          <w:numId w:val="20"/>
        </w:numPr>
      </w:pPr>
      <w:r w:rsidRPr="004C39F7">
        <w:t>T</w:t>
      </w:r>
      <w:r w:rsidR="008C5B0C" w:rsidRPr="004C39F7">
        <w:t xml:space="preserve">he trial </w:t>
      </w:r>
      <w:r w:rsidR="00D3334F" w:rsidRPr="004C39F7">
        <w:t xml:space="preserve">provided </w:t>
      </w:r>
      <w:r w:rsidR="007B52B1" w:rsidRPr="004C39F7">
        <w:t>≥ 50% reduction in pain</w:t>
      </w:r>
      <w:r w:rsidR="007B52B1" w:rsidRPr="004C39F7" w:rsidDel="007B52B1">
        <w:t xml:space="preserve"> </w:t>
      </w:r>
      <w:r w:rsidR="00B87D65" w:rsidRPr="004C39F7">
        <w:t>with minimal side effects</w:t>
      </w:r>
      <w:r w:rsidR="009F4695" w:rsidRPr="004C39F7">
        <w:t>;</w:t>
      </w:r>
      <w:r w:rsidR="0027645B" w:rsidRPr="004C39F7">
        <w:t>*</w:t>
      </w:r>
      <w:r w:rsidR="0017392A" w:rsidRPr="004C39F7">
        <w:t xml:space="preserve"> </w:t>
      </w:r>
    </w:p>
    <w:p w14:paraId="23033966" w14:textId="54E75568" w:rsidR="000C3916" w:rsidRPr="004C39F7" w:rsidRDefault="000C3916" w:rsidP="00764DE5">
      <w:pPr>
        <w:pStyle w:val="ListParagraph"/>
        <w:numPr>
          <w:ilvl w:val="0"/>
          <w:numId w:val="20"/>
        </w:numPr>
        <w:tabs>
          <w:tab w:val="left" w:pos="1080"/>
        </w:tabs>
        <w:ind w:left="1440"/>
      </w:pPr>
      <w:r w:rsidRPr="004C39F7">
        <w:t>Body size is sufficient to support the weight and bulk of the device;</w:t>
      </w:r>
    </w:p>
    <w:p w14:paraId="4DBDBE31" w14:textId="46FCCFC7" w:rsidR="000C3916" w:rsidRPr="004C39F7" w:rsidRDefault="000C3916" w:rsidP="00764DE5">
      <w:pPr>
        <w:pStyle w:val="ListParagraph"/>
        <w:numPr>
          <w:ilvl w:val="0"/>
          <w:numId w:val="20"/>
        </w:numPr>
        <w:ind w:left="1440"/>
      </w:pPr>
      <w:r w:rsidRPr="004C39F7">
        <w:t xml:space="preserve">No other implanted programmable devices </w:t>
      </w:r>
      <w:r w:rsidR="0027645B" w:rsidRPr="004C39F7">
        <w:t>for which</w:t>
      </w:r>
      <w:r w:rsidRPr="004C39F7">
        <w:t xml:space="preserve"> the </w:t>
      </w:r>
      <w:r w:rsidR="0027645B" w:rsidRPr="004C39F7">
        <w:t>interaction</w:t>
      </w:r>
      <w:r w:rsidRPr="004C39F7">
        <w:t xml:space="preserve"> between </w:t>
      </w:r>
      <w:r w:rsidR="00071506" w:rsidRPr="004C39F7">
        <w:t xml:space="preserve">       </w:t>
      </w:r>
      <w:r w:rsidR="0050519C" w:rsidRPr="004C39F7">
        <w:t xml:space="preserve">      </w:t>
      </w:r>
      <w:r w:rsidRPr="004C39F7">
        <w:t>devices may inadvertently change the prescription;</w:t>
      </w:r>
    </w:p>
    <w:p w14:paraId="2BAF1333" w14:textId="52E05EEB" w:rsidR="00BB2E5F" w:rsidRPr="004C39F7" w:rsidRDefault="000C3916" w:rsidP="00764DE5">
      <w:pPr>
        <w:pStyle w:val="ListParagraph"/>
        <w:numPr>
          <w:ilvl w:val="0"/>
          <w:numId w:val="20"/>
        </w:numPr>
        <w:ind w:left="1440"/>
      </w:pPr>
      <w:r w:rsidRPr="004C39F7">
        <w:t>No known allergy or hypersensitivity to the drug being used</w:t>
      </w:r>
      <w:r w:rsidR="0027645B" w:rsidRPr="004C39F7">
        <w:t>;</w:t>
      </w:r>
    </w:p>
    <w:p w14:paraId="7F622505" w14:textId="2B7B6FE6" w:rsidR="004C7DE7" w:rsidRPr="004C39F7" w:rsidRDefault="0027645B" w:rsidP="00764DE5">
      <w:pPr>
        <w:pStyle w:val="ListParagraph"/>
        <w:numPr>
          <w:ilvl w:val="0"/>
          <w:numId w:val="23"/>
        </w:numPr>
      </w:pPr>
      <w:r w:rsidRPr="004C39F7">
        <w:t>S</w:t>
      </w:r>
      <w:r w:rsidR="004C7DE7" w:rsidRPr="004C39F7">
        <w:t>evere chronic pain of non-malignant origin</w:t>
      </w:r>
      <w:r w:rsidR="00246A99" w:rsidRPr="004C39F7">
        <w:t xml:space="preserve"> </w:t>
      </w:r>
      <w:r w:rsidR="00CA1B5C" w:rsidRPr="004C39F7">
        <w:t xml:space="preserve">when the above criteria for the </w:t>
      </w:r>
      <w:r w:rsidR="00071506" w:rsidRPr="004C39F7">
        <w:t xml:space="preserve"> </w:t>
      </w:r>
      <w:r w:rsidR="00CA1B5C" w:rsidRPr="004C39F7">
        <w:t xml:space="preserve">preliminary trial is met </w:t>
      </w:r>
      <w:r w:rsidR="00246A99" w:rsidRPr="004C39F7">
        <w:t>and all of the following</w:t>
      </w:r>
      <w:r w:rsidR="004C7DE7" w:rsidRPr="004C39F7">
        <w:t>:</w:t>
      </w:r>
    </w:p>
    <w:p w14:paraId="7333210E" w14:textId="6243B1A2" w:rsidR="00855EA7" w:rsidRPr="004C39F7" w:rsidRDefault="00855EA7" w:rsidP="00764DE5">
      <w:pPr>
        <w:pStyle w:val="ListParagraph"/>
        <w:numPr>
          <w:ilvl w:val="1"/>
          <w:numId w:val="20"/>
        </w:numPr>
      </w:pPr>
      <w:r w:rsidRPr="004C39F7">
        <w:t xml:space="preserve">Preliminary trial provided </w:t>
      </w:r>
      <w:r w:rsidR="00BE5D2C" w:rsidRPr="004C39F7">
        <w:t>≥</w:t>
      </w:r>
      <w:r w:rsidR="007C6A87" w:rsidRPr="004C39F7">
        <w:t xml:space="preserve"> 50% reduction in pain and increase in function</w:t>
      </w:r>
      <w:r w:rsidRPr="004C39F7">
        <w:t xml:space="preserve"> with minimal side effects</w:t>
      </w:r>
      <w:r w:rsidR="00F138A4" w:rsidRPr="004C39F7">
        <w:t>;</w:t>
      </w:r>
    </w:p>
    <w:p w14:paraId="0B881A30" w14:textId="0836D58E" w:rsidR="00F138A4" w:rsidRPr="004C39F7" w:rsidRDefault="006E1745" w:rsidP="00764DE5">
      <w:pPr>
        <w:pStyle w:val="ListParagraph"/>
        <w:numPr>
          <w:ilvl w:val="1"/>
          <w:numId w:val="20"/>
        </w:numPr>
      </w:pPr>
      <w:r w:rsidRPr="004C39F7">
        <w:t>There is a plan in place to continue to wean s</w:t>
      </w:r>
      <w:r w:rsidR="00F138A4" w:rsidRPr="004C39F7">
        <w:t>ystemic opioids</w:t>
      </w:r>
      <w:r w:rsidR="00246A99" w:rsidRPr="004C39F7">
        <w:t>;</w:t>
      </w:r>
    </w:p>
    <w:p w14:paraId="55A91129" w14:textId="6BA2DEA1" w:rsidR="00F138A4" w:rsidRDefault="007C6A87" w:rsidP="00764DE5">
      <w:pPr>
        <w:pStyle w:val="ListParagraph"/>
        <w:numPr>
          <w:ilvl w:val="1"/>
          <w:numId w:val="20"/>
        </w:numPr>
      </w:pPr>
      <w:r>
        <w:t>No</w:t>
      </w:r>
      <w:r w:rsidR="00F138A4">
        <w:t xml:space="preserve"> active coagulopathy;</w:t>
      </w:r>
    </w:p>
    <w:p w14:paraId="52042FA1" w14:textId="66245B83" w:rsidR="007A3D4B" w:rsidRPr="00A45A74" w:rsidRDefault="007A3D4B" w:rsidP="00764DE5">
      <w:pPr>
        <w:pStyle w:val="ListParagraph"/>
        <w:numPr>
          <w:ilvl w:val="1"/>
          <w:numId w:val="20"/>
        </w:numPr>
      </w:pPr>
      <w:bookmarkStart w:id="4" w:name="_Hlk90976795"/>
      <w:bookmarkStart w:id="5" w:name="_Hlk90976763"/>
      <w:r w:rsidRPr="00A45A74">
        <w:t xml:space="preserve">Body size </w:t>
      </w:r>
      <w:r w:rsidR="00855EA7" w:rsidRPr="00A45A74">
        <w:t>is s</w:t>
      </w:r>
      <w:r w:rsidRPr="00A45A74">
        <w:t>ufficient to support the weight and bulk of the device;</w:t>
      </w:r>
    </w:p>
    <w:p w14:paraId="05A4163F" w14:textId="69C770A9" w:rsidR="007A3D4B" w:rsidRPr="00A45A74" w:rsidRDefault="00855EA7" w:rsidP="00764DE5">
      <w:pPr>
        <w:pStyle w:val="ListParagraph"/>
        <w:numPr>
          <w:ilvl w:val="1"/>
          <w:numId w:val="20"/>
        </w:numPr>
      </w:pPr>
      <w:r w:rsidRPr="00A45A74">
        <w:t>No o</w:t>
      </w:r>
      <w:r w:rsidR="007A3D4B" w:rsidRPr="00A45A74">
        <w:t xml:space="preserve">ther implanted programmable devices </w:t>
      </w:r>
      <w:r w:rsidR="0027645B" w:rsidRPr="00A45A74">
        <w:t xml:space="preserve">for which </w:t>
      </w:r>
      <w:r w:rsidR="007A3D4B" w:rsidRPr="00A45A74">
        <w:t xml:space="preserve">the </w:t>
      </w:r>
      <w:r w:rsidR="0027645B" w:rsidRPr="00A45A74">
        <w:t xml:space="preserve">interaction </w:t>
      </w:r>
      <w:r w:rsidR="007A3D4B" w:rsidRPr="00A45A74">
        <w:t>between devices may inadvertently change the prescription</w:t>
      </w:r>
      <w:r w:rsidR="00080288" w:rsidRPr="00A45A74">
        <w:t>;</w:t>
      </w:r>
    </w:p>
    <w:p w14:paraId="02F631CD" w14:textId="0BB93F10" w:rsidR="007A3D4B" w:rsidRPr="00A45A74" w:rsidRDefault="00855EA7" w:rsidP="00764DE5">
      <w:pPr>
        <w:pStyle w:val="ListParagraph"/>
        <w:numPr>
          <w:ilvl w:val="1"/>
          <w:numId w:val="20"/>
        </w:numPr>
      </w:pPr>
      <w:r w:rsidRPr="00A45A74">
        <w:t>No k</w:t>
      </w:r>
      <w:r w:rsidR="007A3D4B" w:rsidRPr="00A45A74">
        <w:t>nown allergy or hypersensitivity to the drug being used</w:t>
      </w:r>
      <w:bookmarkEnd w:id="4"/>
      <w:r w:rsidR="00080288" w:rsidRPr="00A45A74">
        <w:t>;</w:t>
      </w:r>
    </w:p>
    <w:bookmarkEnd w:id="5"/>
    <w:p w14:paraId="39E140D1" w14:textId="145C4473" w:rsidR="00080288" w:rsidRPr="00A45A74" w:rsidRDefault="00855EA7" w:rsidP="00764DE5">
      <w:pPr>
        <w:pStyle w:val="ListParagraph"/>
        <w:numPr>
          <w:ilvl w:val="1"/>
          <w:numId w:val="20"/>
        </w:numPr>
      </w:pPr>
      <w:r w:rsidRPr="00A45A74">
        <w:t>No evidence of i</w:t>
      </w:r>
      <w:r w:rsidR="00F5733F" w:rsidRPr="00A45A74">
        <w:t>ncreased intracranial pressure</w:t>
      </w:r>
      <w:r w:rsidR="00080288" w:rsidRPr="00A45A74">
        <w:t>;</w:t>
      </w:r>
    </w:p>
    <w:p w14:paraId="03A4EF2A" w14:textId="1B079C8E" w:rsidR="00EC435A" w:rsidRPr="00A45A74" w:rsidRDefault="00855EA7" w:rsidP="00764DE5">
      <w:pPr>
        <w:pStyle w:val="ListParagraph"/>
        <w:numPr>
          <w:ilvl w:val="1"/>
          <w:numId w:val="20"/>
        </w:numPr>
      </w:pPr>
      <w:r w:rsidRPr="00A45A74">
        <w:t>No s</w:t>
      </w:r>
      <w:r w:rsidR="00F86BBD" w:rsidRPr="00A45A74">
        <w:t>pinal anomalies that may complicate the implantation and fixation of a catheter for drug delivery</w:t>
      </w:r>
      <w:r w:rsidR="00A21943" w:rsidRPr="00A45A74">
        <w:t>;</w:t>
      </w:r>
    </w:p>
    <w:p w14:paraId="05E43031" w14:textId="03B5CCE7" w:rsidR="00D02CF8" w:rsidRPr="00A45A74" w:rsidRDefault="00D02CF8" w:rsidP="00764DE5">
      <w:pPr>
        <w:pStyle w:val="ListParagraph"/>
        <w:numPr>
          <w:ilvl w:val="1"/>
          <w:numId w:val="20"/>
        </w:numPr>
      </w:pPr>
      <w:r w:rsidRPr="00A45A74">
        <w:t>Continued active participation in any behavioral health or psychological treatment</w:t>
      </w:r>
      <w:r w:rsidR="00EC435A" w:rsidRPr="00A45A74">
        <w:t xml:space="preserve"> </w:t>
      </w:r>
      <w:r w:rsidRPr="00A45A74">
        <w:t>modalities</w:t>
      </w:r>
      <w:r w:rsidR="00FD4C73">
        <w:t>;</w:t>
      </w:r>
      <w:r w:rsidR="00FD4C73" w:rsidRPr="00FD4C73">
        <w:t xml:space="preserve"> </w:t>
      </w:r>
    </w:p>
    <w:p w14:paraId="3CDFE031" w14:textId="5D25DACE" w:rsidR="00784E56" w:rsidRPr="00A45A74" w:rsidRDefault="00784E56" w:rsidP="00764DE5">
      <w:pPr>
        <w:pStyle w:val="ListParagraph"/>
        <w:numPr>
          <w:ilvl w:val="0"/>
          <w:numId w:val="21"/>
        </w:numPr>
        <w:rPr>
          <w:bCs/>
        </w:rPr>
      </w:pPr>
      <w:r w:rsidRPr="00A45A74">
        <w:rPr>
          <w:bCs/>
        </w:rPr>
        <w:t>None of the following contraindications:</w:t>
      </w:r>
    </w:p>
    <w:p w14:paraId="73A8831A" w14:textId="27381DE8" w:rsidR="00784E56" w:rsidRPr="00A45A74" w:rsidRDefault="00784E56" w:rsidP="00764DE5">
      <w:pPr>
        <w:pStyle w:val="ListParagraph"/>
        <w:numPr>
          <w:ilvl w:val="0"/>
          <w:numId w:val="22"/>
        </w:numPr>
      </w:pPr>
      <w:r w:rsidRPr="00A45A74">
        <w:t>Known allergies to materials in the implant;</w:t>
      </w:r>
    </w:p>
    <w:p w14:paraId="22BA6B57" w14:textId="6272D000" w:rsidR="00784E56" w:rsidRPr="00A45A74" w:rsidRDefault="00784E56" w:rsidP="00764DE5">
      <w:pPr>
        <w:pStyle w:val="ListParagraph"/>
        <w:numPr>
          <w:ilvl w:val="0"/>
          <w:numId w:val="22"/>
        </w:numPr>
      </w:pPr>
      <w:r w:rsidRPr="00A45A74">
        <w:t xml:space="preserve">Active </w:t>
      </w:r>
      <w:r w:rsidR="00363F53" w:rsidRPr="00A45A74">
        <w:t>alcohol or drug abuse, including but not limited to opioid addiction and intravenous drug abuse</w:t>
      </w:r>
      <w:r w:rsidRPr="00A45A74">
        <w:t>;</w:t>
      </w:r>
    </w:p>
    <w:p w14:paraId="64B4BBD9" w14:textId="0BCEE8A1" w:rsidR="00784E56" w:rsidRPr="00A45A74" w:rsidRDefault="00784E56" w:rsidP="00764DE5">
      <w:pPr>
        <w:pStyle w:val="ListParagraph"/>
        <w:numPr>
          <w:ilvl w:val="0"/>
          <w:numId w:val="22"/>
        </w:numPr>
      </w:pPr>
      <w:r w:rsidRPr="00A45A74">
        <w:t>Diagnosis of dementia or psychosis;</w:t>
      </w:r>
    </w:p>
    <w:p w14:paraId="04976C78" w14:textId="13E49A75" w:rsidR="00784E56" w:rsidRPr="00A45A74" w:rsidRDefault="00784E56" w:rsidP="00764DE5">
      <w:pPr>
        <w:pStyle w:val="ListParagraph"/>
        <w:numPr>
          <w:ilvl w:val="0"/>
          <w:numId w:val="22"/>
        </w:numPr>
      </w:pPr>
      <w:r w:rsidRPr="00A45A74">
        <w:t>Active systemic infection;</w:t>
      </w:r>
    </w:p>
    <w:p w14:paraId="0C31DA16" w14:textId="13D7C51A" w:rsidR="00F64826" w:rsidRPr="00A45A74" w:rsidRDefault="00784E56" w:rsidP="00764DE5">
      <w:pPr>
        <w:pStyle w:val="ListParagraph"/>
        <w:numPr>
          <w:ilvl w:val="0"/>
          <w:numId w:val="22"/>
        </w:numPr>
      </w:pPr>
      <w:r w:rsidRPr="00A45A74">
        <w:t>Active infection at the site of implantation.</w:t>
      </w:r>
    </w:p>
    <w:p w14:paraId="650B96AC" w14:textId="77777777" w:rsidR="0027645B" w:rsidRPr="00A45A74" w:rsidRDefault="0027645B" w:rsidP="0027645B">
      <w:pPr>
        <w:pStyle w:val="ListParagraph"/>
        <w:rPr>
          <w:i/>
          <w:iCs/>
        </w:rPr>
      </w:pPr>
    </w:p>
    <w:p w14:paraId="19F5160F" w14:textId="05387C45" w:rsidR="00EC1CBD" w:rsidRPr="007C3C9E" w:rsidRDefault="0027645B" w:rsidP="00784E56">
      <w:pPr>
        <w:pStyle w:val="ListParagraph"/>
      </w:pPr>
      <w:r w:rsidRPr="00A45A74">
        <w:rPr>
          <w:i/>
          <w:iCs/>
        </w:rPr>
        <w:t>*Note</w:t>
      </w:r>
      <w:r w:rsidRPr="00A45A74">
        <w:t xml:space="preserve">: </w:t>
      </w:r>
      <w:r w:rsidRPr="007E41A8">
        <w:t>The trial requirement for a percutaneous intrathecal or epidural drug delivery system for pain of malignant origin may be reviewed</w:t>
      </w:r>
      <w:r w:rsidR="00EF5D47" w:rsidRPr="007E41A8">
        <w:t xml:space="preserve"> by a medical director</w:t>
      </w:r>
      <w:r w:rsidRPr="007E41A8">
        <w:t xml:space="preserve"> on a case-by-case basis for instances of advanced disease, when survival time is limited, or considered high risk for procedures.</w:t>
      </w:r>
    </w:p>
    <w:p w14:paraId="1E198DF0" w14:textId="77777777" w:rsidR="00F138A4" w:rsidRPr="00684E53" w:rsidRDefault="00F138A4" w:rsidP="00684E53">
      <w:pPr>
        <w:tabs>
          <w:tab w:val="left" w:pos="900"/>
          <w:tab w:val="left" w:pos="990"/>
        </w:tabs>
        <w:rPr>
          <w:bCs/>
          <w:color w:val="000000"/>
        </w:rPr>
      </w:pPr>
    </w:p>
    <w:p w14:paraId="5566E443" w14:textId="77777777" w:rsidR="00FB0592" w:rsidRDefault="00FB0592" w:rsidP="00FB0592">
      <w:pPr>
        <w:pStyle w:val="Heading2"/>
        <w:rPr>
          <w:u w:val="none"/>
        </w:rPr>
      </w:pPr>
      <w:r w:rsidRPr="00B777AF">
        <w:rPr>
          <w:u w:val="none"/>
        </w:rPr>
        <w:lastRenderedPageBreak/>
        <w:t>Background</w:t>
      </w:r>
    </w:p>
    <w:p w14:paraId="674FC165" w14:textId="4C8CB9C8" w:rsidR="00E52955" w:rsidRDefault="00F66452" w:rsidP="00F66452">
      <w:pPr>
        <w:rPr>
          <w:bCs/>
          <w:vertAlign w:val="superscript"/>
        </w:rPr>
      </w:pPr>
      <w:r w:rsidRPr="00F66452">
        <w:rPr>
          <w:bCs/>
        </w:rPr>
        <w:t xml:space="preserve">Chronic pain is </w:t>
      </w:r>
      <w:r w:rsidRPr="00F10CDC">
        <w:rPr>
          <w:bCs/>
        </w:rPr>
        <w:t xml:space="preserve">often defined as pain that persists longer than </w:t>
      </w:r>
      <w:r w:rsidR="001E3ED3" w:rsidRPr="00F10CDC">
        <w:rPr>
          <w:bCs/>
        </w:rPr>
        <w:t xml:space="preserve">six </w:t>
      </w:r>
      <w:r w:rsidRPr="00F10CDC">
        <w:rPr>
          <w:bCs/>
        </w:rPr>
        <w:t>months. The</w:t>
      </w:r>
      <w:r w:rsidRPr="00F10CDC">
        <w:t xml:space="preserve"> </w:t>
      </w:r>
      <w:r w:rsidRPr="007E41A8">
        <w:rPr>
          <w:bCs/>
        </w:rPr>
        <w:t>American Society of Interventional Pain Physicians</w:t>
      </w:r>
      <w:r w:rsidRPr="00F10CDC">
        <w:rPr>
          <w:bCs/>
        </w:rPr>
        <w:t xml:space="preserve"> (ASIPP) defines chronic pain as</w:t>
      </w:r>
      <w:r w:rsidR="001F7468" w:rsidRPr="00F10CDC">
        <w:rPr>
          <w:bCs/>
        </w:rPr>
        <w:t>,</w:t>
      </w:r>
      <w:r w:rsidRPr="00F10CDC">
        <w:rPr>
          <w:bCs/>
        </w:rPr>
        <w:t xml:space="preserve"> “a complex and multifactorial phenomenon with pain that persists </w:t>
      </w:r>
      <w:r w:rsidR="005C74F1" w:rsidRPr="00F10CDC">
        <w:rPr>
          <w:bCs/>
        </w:rPr>
        <w:t xml:space="preserve">six </w:t>
      </w:r>
      <w:r w:rsidRPr="00F10CDC">
        <w:rPr>
          <w:bCs/>
        </w:rPr>
        <w:t>months after an injury and/or beyond the usual course of an acute disease or a reasonable time for a comparable injury to heal, that is associated with chronic pathologic processes that cause continuous or intermittent pain for months or years, that may continue in the presence or absence of demonstrable pathology and may not be amenable to routine pain control methods with healing never occurring.”</w:t>
      </w:r>
      <w:r w:rsidR="00116B99">
        <w:rPr>
          <w:bCs/>
          <w:vertAlign w:val="superscript"/>
        </w:rPr>
        <w:t>1</w:t>
      </w:r>
      <w:r w:rsidR="00733F3E" w:rsidRPr="00F10CDC">
        <w:rPr>
          <w:bCs/>
          <w:vertAlign w:val="superscript"/>
        </w:rPr>
        <w:t>(p</w:t>
      </w:r>
      <w:r w:rsidR="00F10CDC" w:rsidRPr="00F10CDC">
        <w:rPr>
          <w:bCs/>
          <w:vertAlign w:val="superscript"/>
        </w:rPr>
        <w:t>S</w:t>
      </w:r>
      <w:r w:rsidR="00733F3E" w:rsidRPr="00F10CDC">
        <w:rPr>
          <w:bCs/>
          <w:vertAlign w:val="superscript"/>
        </w:rPr>
        <w:t>52)</w:t>
      </w:r>
      <w:r w:rsidR="00596B7D" w:rsidRPr="00F10CDC">
        <w:rPr>
          <w:bCs/>
        </w:rPr>
        <w:t xml:space="preserve"> Numerous</w:t>
      </w:r>
      <w:r w:rsidR="00916E7D" w:rsidRPr="00F10CDC">
        <w:rPr>
          <w:bCs/>
        </w:rPr>
        <w:t xml:space="preserve"> health conditions can cause chronic pain</w:t>
      </w:r>
      <w:r w:rsidR="000F666F" w:rsidRPr="00F10CDC">
        <w:rPr>
          <w:bCs/>
        </w:rPr>
        <w:t xml:space="preserve">, including, but not limited to, </w:t>
      </w:r>
      <w:r w:rsidR="000010BD" w:rsidRPr="00F10CDC">
        <w:rPr>
          <w:bCs/>
        </w:rPr>
        <w:t>chronic</w:t>
      </w:r>
      <w:r w:rsidR="000010BD">
        <w:rPr>
          <w:bCs/>
        </w:rPr>
        <w:t xml:space="preserve"> </w:t>
      </w:r>
      <w:r w:rsidR="000F666F">
        <w:rPr>
          <w:bCs/>
        </w:rPr>
        <w:t xml:space="preserve">cancer pain, </w:t>
      </w:r>
      <w:r w:rsidR="000F666F" w:rsidRPr="000F666F">
        <w:rPr>
          <w:bCs/>
        </w:rPr>
        <w:t>failed back surgery syndrome</w:t>
      </w:r>
      <w:r w:rsidR="000F666F">
        <w:rPr>
          <w:bCs/>
        </w:rPr>
        <w:t xml:space="preserve">, </w:t>
      </w:r>
      <w:r w:rsidR="000F666F" w:rsidRPr="000F666F">
        <w:rPr>
          <w:bCs/>
        </w:rPr>
        <w:t>complex regional pain syndrome,</w:t>
      </w:r>
      <w:r w:rsidR="000F666F">
        <w:rPr>
          <w:bCs/>
        </w:rPr>
        <w:t xml:space="preserve"> </w:t>
      </w:r>
      <w:r w:rsidR="000F666F" w:rsidRPr="000F666F">
        <w:rPr>
          <w:bCs/>
        </w:rPr>
        <w:t>diabetic neuropathy, and post-herpetic</w:t>
      </w:r>
      <w:r w:rsidR="000F666F">
        <w:rPr>
          <w:bCs/>
        </w:rPr>
        <w:t xml:space="preserve"> </w:t>
      </w:r>
      <w:r w:rsidR="000F666F" w:rsidRPr="000F666F">
        <w:rPr>
          <w:bCs/>
        </w:rPr>
        <w:t>neuralgia</w:t>
      </w:r>
      <w:r w:rsidR="000F666F">
        <w:rPr>
          <w:bCs/>
        </w:rPr>
        <w:t>.</w:t>
      </w:r>
      <w:r w:rsidR="000F666F" w:rsidRPr="000F666F">
        <w:rPr>
          <w:bCs/>
          <w:vertAlign w:val="superscript"/>
        </w:rPr>
        <w:t xml:space="preserve">2 </w:t>
      </w:r>
    </w:p>
    <w:p w14:paraId="79BB1E79" w14:textId="77777777" w:rsidR="00BD1EA0" w:rsidRDefault="00BD1EA0" w:rsidP="000F666F">
      <w:pPr>
        <w:rPr>
          <w:bCs/>
        </w:rPr>
      </w:pPr>
    </w:p>
    <w:p w14:paraId="1A8CFF8C" w14:textId="23A0F5D6" w:rsidR="004C14AD" w:rsidRDefault="004C14AD" w:rsidP="000010BD">
      <w:pPr>
        <w:rPr>
          <w:bCs/>
        </w:rPr>
      </w:pPr>
      <w:r w:rsidRPr="008D7A68">
        <w:rPr>
          <w:bCs/>
        </w:rPr>
        <w:t>Opioid therapy</w:t>
      </w:r>
      <w:r w:rsidRPr="004C14AD">
        <w:rPr>
          <w:bCs/>
        </w:rPr>
        <w:t xml:space="preserve"> for the treatment of </w:t>
      </w:r>
      <w:r w:rsidRPr="001D07F5">
        <w:rPr>
          <w:bCs/>
        </w:rPr>
        <w:t>chronic non-cancer pain is controversial</w:t>
      </w:r>
      <w:r w:rsidRPr="004C14AD">
        <w:rPr>
          <w:bCs/>
        </w:rPr>
        <w:t xml:space="preserve">, due to insufficient evidence of </w:t>
      </w:r>
      <w:r w:rsidR="00120A21" w:rsidRPr="004C14AD">
        <w:rPr>
          <w:bCs/>
        </w:rPr>
        <w:t>long-term</w:t>
      </w:r>
      <w:r w:rsidRPr="004C14AD">
        <w:rPr>
          <w:bCs/>
        </w:rPr>
        <w:t xml:space="preserve"> efficacy and the risk of serious harm</w:t>
      </w:r>
      <w:r w:rsidR="009423A3">
        <w:rPr>
          <w:bCs/>
        </w:rPr>
        <w:t xml:space="preserve">, </w:t>
      </w:r>
      <w:r w:rsidR="009423A3" w:rsidRPr="009423A3">
        <w:rPr>
          <w:bCs/>
        </w:rPr>
        <w:t>including addiction and abuse</w:t>
      </w:r>
      <w:r w:rsidR="009423A3">
        <w:rPr>
          <w:bCs/>
        </w:rPr>
        <w:t xml:space="preserve">, especially </w:t>
      </w:r>
      <w:r w:rsidRPr="004C14AD">
        <w:rPr>
          <w:bCs/>
        </w:rPr>
        <w:t>in the context of the ongoing opioid epidemic in the United States</w:t>
      </w:r>
      <w:r>
        <w:rPr>
          <w:bCs/>
        </w:rPr>
        <w:t xml:space="preserve">. </w:t>
      </w:r>
      <w:r w:rsidRPr="004C14AD">
        <w:rPr>
          <w:bCs/>
        </w:rPr>
        <w:t xml:space="preserve">For patients with chronic non-cancer pain, opioids should only be used when other potentially effective and safer therapies have not provided sufficient pain relief </w:t>
      </w:r>
      <w:r w:rsidR="00CF4A40" w:rsidRPr="00CF4A40">
        <w:rPr>
          <w:bCs/>
        </w:rPr>
        <w:t xml:space="preserve">or </w:t>
      </w:r>
      <w:r w:rsidR="008F5593">
        <w:rPr>
          <w:bCs/>
        </w:rPr>
        <w:t xml:space="preserve">when </w:t>
      </w:r>
      <w:r w:rsidR="00CF4A40" w:rsidRPr="00CF4A40">
        <w:rPr>
          <w:bCs/>
        </w:rPr>
        <w:t>intolerable side effects</w:t>
      </w:r>
      <w:r w:rsidR="008F5593">
        <w:rPr>
          <w:bCs/>
        </w:rPr>
        <w:t xml:space="preserve"> are experienced</w:t>
      </w:r>
      <w:r w:rsidR="00CF4A40">
        <w:rPr>
          <w:bCs/>
        </w:rPr>
        <w:t xml:space="preserve">, </w:t>
      </w:r>
      <w:r w:rsidRPr="004C14AD">
        <w:rPr>
          <w:bCs/>
        </w:rPr>
        <w:t xml:space="preserve">and pain is adversely affecting a patient's </w:t>
      </w:r>
      <w:r w:rsidR="00CF4A40">
        <w:rPr>
          <w:bCs/>
        </w:rPr>
        <w:t xml:space="preserve">function and/or quality of life. The </w:t>
      </w:r>
      <w:r w:rsidRPr="004C14AD">
        <w:rPr>
          <w:bCs/>
        </w:rPr>
        <w:t xml:space="preserve">potential benefits of opioid therapy </w:t>
      </w:r>
      <w:r w:rsidR="00CF4A40">
        <w:rPr>
          <w:bCs/>
        </w:rPr>
        <w:t xml:space="preserve">should </w:t>
      </w:r>
      <w:r w:rsidRPr="004C14AD">
        <w:rPr>
          <w:bCs/>
        </w:rPr>
        <w:t>outweigh potential harms</w:t>
      </w:r>
      <w:r>
        <w:rPr>
          <w:bCs/>
        </w:rPr>
        <w:t xml:space="preserve">. </w:t>
      </w:r>
      <w:r w:rsidR="002853C9" w:rsidRPr="002853C9">
        <w:rPr>
          <w:bCs/>
        </w:rPr>
        <w:t>Opioids should be combined with non</w:t>
      </w:r>
      <w:r w:rsidR="00120A21">
        <w:rPr>
          <w:bCs/>
        </w:rPr>
        <w:t>-</w:t>
      </w:r>
      <w:r w:rsidR="002853C9" w:rsidRPr="002853C9">
        <w:rPr>
          <w:bCs/>
        </w:rPr>
        <w:t>opioid pharmacotherapy and nonpharmacologic therapies as appropriate</w:t>
      </w:r>
      <w:r w:rsidR="002853C9">
        <w:rPr>
          <w:bCs/>
        </w:rPr>
        <w:t>.</w:t>
      </w:r>
      <w:r w:rsidR="00116B99">
        <w:rPr>
          <w:vertAlign w:val="superscript"/>
        </w:rPr>
        <w:t>3</w:t>
      </w:r>
    </w:p>
    <w:p w14:paraId="2E344D71" w14:textId="77777777" w:rsidR="004C14AD" w:rsidRDefault="004C14AD" w:rsidP="000010BD">
      <w:pPr>
        <w:rPr>
          <w:bCs/>
        </w:rPr>
      </w:pPr>
    </w:p>
    <w:p w14:paraId="278BA8A4" w14:textId="6C9E3665" w:rsidR="000F666F" w:rsidRDefault="004C14AD" w:rsidP="000010BD">
      <w:pPr>
        <w:rPr>
          <w:bCs/>
        </w:rPr>
      </w:pPr>
      <w:r>
        <w:rPr>
          <w:bCs/>
        </w:rPr>
        <w:t>I</w:t>
      </w:r>
      <w:r w:rsidR="007E1F5A" w:rsidRPr="007E1F5A">
        <w:rPr>
          <w:bCs/>
        </w:rPr>
        <w:t xml:space="preserve">ntrathecal therapy offers an invasive alternative for the long-term management of select patients with </w:t>
      </w:r>
      <w:r w:rsidR="000010BD" w:rsidRPr="000010BD">
        <w:rPr>
          <w:bCs/>
        </w:rPr>
        <w:t>recalcitrant pain after all other methods have</w:t>
      </w:r>
      <w:r w:rsidR="000010BD">
        <w:rPr>
          <w:bCs/>
        </w:rPr>
        <w:t xml:space="preserve"> </w:t>
      </w:r>
      <w:r w:rsidR="00E73A87">
        <w:rPr>
          <w:bCs/>
        </w:rPr>
        <w:t xml:space="preserve">failed, </w:t>
      </w:r>
      <w:r w:rsidR="000010BD" w:rsidRPr="000010BD">
        <w:rPr>
          <w:bCs/>
        </w:rPr>
        <w:t>including conservative and surgical treatmen</w:t>
      </w:r>
      <w:r w:rsidR="000010BD">
        <w:rPr>
          <w:bCs/>
        </w:rPr>
        <w:t xml:space="preserve">t. </w:t>
      </w:r>
      <w:r w:rsidR="00E37FC8" w:rsidRPr="00E37FC8">
        <w:rPr>
          <w:bCs/>
        </w:rPr>
        <w:t>Implantable intrathecal infusion systems</w:t>
      </w:r>
      <w:r w:rsidR="00755C58">
        <w:rPr>
          <w:bCs/>
        </w:rPr>
        <w:t>, also referred to as i</w:t>
      </w:r>
      <w:r w:rsidR="00755C58" w:rsidRPr="00755C58">
        <w:rPr>
          <w:bCs/>
        </w:rPr>
        <w:t>ntrathecal drug delivery (IDD) systems</w:t>
      </w:r>
      <w:r w:rsidR="00D21794">
        <w:rPr>
          <w:bCs/>
        </w:rPr>
        <w:t xml:space="preserve">, </w:t>
      </w:r>
      <w:r w:rsidR="00E37FC8" w:rsidRPr="00E37FC8">
        <w:rPr>
          <w:bCs/>
        </w:rPr>
        <w:t>provide targeted drug delivery to the central nervous system</w:t>
      </w:r>
      <w:r w:rsidR="00120A21">
        <w:rPr>
          <w:bCs/>
        </w:rPr>
        <w:t>. They</w:t>
      </w:r>
      <w:r w:rsidR="00E37FC8" w:rsidRPr="00E37FC8">
        <w:rPr>
          <w:bCs/>
        </w:rPr>
        <w:t xml:space="preserve"> are mo</w:t>
      </w:r>
      <w:r w:rsidR="00E37FC8">
        <w:rPr>
          <w:bCs/>
        </w:rPr>
        <w:t>st</w:t>
      </w:r>
      <w:r w:rsidR="00E37FC8" w:rsidRPr="00E37FC8">
        <w:rPr>
          <w:bCs/>
        </w:rPr>
        <w:t xml:space="preserve"> commonly used for cancer-related pain</w:t>
      </w:r>
      <w:r w:rsidR="00D21794">
        <w:rPr>
          <w:bCs/>
        </w:rPr>
        <w:t xml:space="preserve">. </w:t>
      </w:r>
      <w:r w:rsidR="009423A3">
        <w:rPr>
          <w:bCs/>
        </w:rPr>
        <w:t xml:space="preserve">Their use for </w:t>
      </w:r>
      <w:r w:rsidR="009423A3" w:rsidRPr="001D07F5">
        <w:rPr>
          <w:bCs/>
        </w:rPr>
        <w:t>management of pain of non-malignant origin is controversial and generally reserved for treatment of last resort</w:t>
      </w:r>
      <w:r w:rsidR="009423A3">
        <w:rPr>
          <w:bCs/>
        </w:rPr>
        <w:t>.</w:t>
      </w:r>
      <w:r w:rsidR="00D21794">
        <w:rPr>
          <w:bCs/>
        </w:rPr>
        <w:t xml:space="preserve"> </w:t>
      </w:r>
      <w:r w:rsidR="00E37FC8" w:rsidRPr="00E37FC8">
        <w:rPr>
          <w:bCs/>
        </w:rPr>
        <w:t>A number of medications are used</w:t>
      </w:r>
      <w:r w:rsidR="00E37FC8">
        <w:rPr>
          <w:bCs/>
        </w:rPr>
        <w:t xml:space="preserve">, </w:t>
      </w:r>
      <w:r w:rsidR="00E37FC8" w:rsidRPr="00E37FC8">
        <w:rPr>
          <w:bCs/>
        </w:rPr>
        <w:t>including opioids (</w:t>
      </w:r>
      <w:r w:rsidR="009423A3">
        <w:rPr>
          <w:bCs/>
        </w:rPr>
        <w:t>e.g.</w:t>
      </w:r>
      <w:r w:rsidR="00E37FC8" w:rsidRPr="00E37FC8">
        <w:rPr>
          <w:bCs/>
        </w:rPr>
        <w:t xml:space="preserve"> morphine</w:t>
      </w:r>
      <w:r w:rsidR="009423A3">
        <w:rPr>
          <w:bCs/>
        </w:rPr>
        <w:t xml:space="preserve">) </w:t>
      </w:r>
      <w:r w:rsidR="00E37FC8" w:rsidRPr="00E37FC8">
        <w:rPr>
          <w:bCs/>
        </w:rPr>
        <w:t>or a combination of opioids along with a local anesthetic (e.g., ziconotide, clonidine)</w:t>
      </w:r>
      <w:r w:rsidR="00B44FBA">
        <w:rPr>
          <w:bCs/>
        </w:rPr>
        <w:t>.</w:t>
      </w:r>
      <w:r w:rsidR="00E37FC8" w:rsidRPr="00E37FC8">
        <w:rPr>
          <w:bCs/>
        </w:rPr>
        <w:t xml:space="preserve">  </w:t>
      </w:r>
    </w:p>
    <w:p w14:paraId="33D16515" w14:textId="77777777" w:rsidR="007E1F5A" w:rsidRDefault="007E1F5A" w:rsidP="007E1F5A">
      <w:pPr>
        <w:rPr>
          <w:bCs/>
        </w:rPr>
      </w:pPr>
    </w:p>
    <w:p w14:paraId="031FB7BD" w14:textId="0C9A42C9" w:rsidR="000F666F" w:rsidRPr="00392034" w:rsidRDefault="00F96B19" w:rsidP="00392034">
      <w:pPr>
        <w:rPr>
          <w:bCs/>
        </w:rPr>
      </w:pPr>
      <w:r w:rsidRPr="0008143B">
        <w:rPr>
          <w:bCs/>
        </w:rPr>
        <w:t>An implantable intrathecal drug delivery system (</w:t>
      </w:r>
      <w:r w:rsidR="00080288" w:rsidRPr="0008143B">
        <w:rPr>
          <w:bCs/>
        </w:rPr>
        <w:t>p</w:t>
      </w:r>
      <w:r w:rsidRPr="0008143B">
        <w:rPr>
          <w:bCs/>
        </w:rPr>
        <w:t>ain pump</w:t>
      </w:r>
      <w:r w:rsidR="00491457" w:rsidRPr="0008143B">
        <w:rPr>
          <w:bCs/>
        </w:rPr>
        <w:t>)</w:t>
      </w:r>
      <w:r w:rsidRPr="0008143B">
        <w:rPr>
          <w:bCs/>
        </w:rPr>
        <w:t xml:space="preserve"> </w:t>
      </w:r>
      <w:r w:rsidR="0033516D" w:rsidRPr="0008143B">
        <w:rPr>
          <w:bCs/>
        </w:rPr>
        <w:t>consists</w:t>
      </w:r>
      <w:r w:rsidR="000F666F" w:rsidRPr="0008143B">
        <w:rPr>
          <w:bCs/>
        </w:rPr>
        <w:t xml:space="preserve"> of an implanted catheter and either a constant-flow or programmable pump</w:t>
      </w:r>
      <w:r w:rsidR="000F666F" w:rsidRPr="000F666F">
        <w:rPr>
          <w:bCs/>
        </w:rPr>
        <w:t>. The implantation</w:t>
      </w:r>
      <w:r w:rsidR="000F666F">
        <w:rPr>
          <w:bCs/>
        </w:rPr>
        <w:t xml:space="preserve"> </w:t>
      </w:r>
      <w:r w:rsidR="000F666F" w:rsidRPr="000F666F">
        <w:rPr>
          <w:bCs/>
        </w:rPr>
        <w:t>of a pump for intrathecal opioid infusion is preceded by an</w:t>
      </w:r>
      <w:r w:rsidR="000F666F">
        <w:rPr>
          <w:bCs/>
        </w:rPr>
        <w:t xml:space="preserve"> </w:t>
      </w:r>
      <w:r w:rsidR="000F666F" w:rsidRPr="000F666F">
        <w:rPr>
          <w:bCs/>
        </w:rPr>
        <w:t>intrathecal or epidural trial infusion</w:t>
      </w:r>
      <w:r w:rsidR="00120A21">
        <w:rPr>
          <w:bCs/>
        </w:rPr>
        <w:t>, with or without a catheter,</w:t>
      </w:r>
      <w:r w:rsidR="000F666F" w:rsidRPr="000F666F">
        <w:rPr>
          <w:bCs/>
        </w:rPr>
        <w:t xml:space="preserve"> to determine whether</w:t>
      </w:r>
      <w:r w:rsidR="000F666F">
        <w:rPr>
          <w:bCs/>
        </w:rPr>
        <w:t xml:space="preserve"> </w:t>
      </w:r>
      <w:r w:rsidR="000F666F" w:rsidRPr="000F666F">
        <w:rPr>
          <w:bCs/>
        </w:rPr>
        <w:t>the patient exhibits an adequate response, consisting of</w:t>
      </w:r>
      <w:r w:rsidR="000F666F">
        <w:rPr>
          <w:bCs/>
        </w:rPr>
        <w:t xml:space="preserve"> </w:t>
      </w:r>
      <w:r w:rsidR="000F666F" w:rsidRPr="000F666F">
        <w:rPr>
          <w:bCs/>
        </w:rPr>
        <w:t xml:space="preserve">a predefined improvement in pain </w:t>
      </w:r>
      <w:r w:rsidR="000F666F" w:rsidRPr="006260B3">
        <w:rPr>
          <w:bCs/>
        </w:rPr>
        <w:t>(usually ≥ 50%)</w:t>
      </w:r>
      <w:r w:rsidR="000F666F" w:rsidRPr="000F666F">
        <w:rPr>
          <w:bCs/>
        </w:rPr>
        <w:t xml:space="preserve"> without</w:t>
      </w:r>
      <w:r w:rsidR="000F666F">
        <w:rPr>
          <w:bCs/>
        </w:rPr>
        <w:t xml:space="preserve"> </w:t>
      </w:r>
      <w:r w:rsidR="000F666F" w:rsidRPr="000F666F">
        <w:rPr>
          <w:bCs/>
        </w:rPr>
        <w:t>intolerable ad</w:t>
      </w:r>
      <w:r w:rsidR="007E1F5A">
        <w:rPr>
          <w:bCs/>
        </w:rPr>
        <w:t xml:space="preserve">verse effects. </w:t>
      </w:r>
      <w:r w:rsidR="000F666F" w:rsidRPr="000F666F">
        <w:rPr>
          <w:bCs/>
        </w:rPr>
        <w:t>If the trial is successful, the drug</w:t>
      </w:r>
      <w:r w:rsidR="000010BD">
        <w:rPr>
          <w:bCs/>
        </w:rPr>
        <w:t xml:space="preserve"> </w:t>
      </w:r>
      <w:r w:rsidR="000F666F" w:rsidRPr="000F666F">
        <w:rPr>
          <w:bCs/>
        </w:rPr>
        <w:t>infusion system is implanted under general anesthesia</w:t>
      </w:r>
      <w:r w:rsidR="000F666F">
        <w:rPr>
          <w:bCs/>
        </w:rPr>
        <w:t xml:space="preserve">. </w:t>
      </w:r>
      <w:r w:rsidR="000F666F" w:rsidRPr="000F666F">
        <w:rPr>
          <w:bCs/>
        </w:rPr>
        <w:t>The catheter is</w:t>
      </w:r>
      <w:r w:rsidR="000F666F">
        <w:rPr>
          <w:bCs/>
        </w:rPr>
        <w:t xml:space="preserve"> </w:t>
      </w:r>
      <w:r w:rsidR="000F666F" w:rsidRPr="000F666F">
        <w:rPr>
          <w:bCs/>
        </w:rPr>
        <w:t>introduced into the intrathecal space of the spine (generally</w:t>
      </w:r>
      <w:r w:rsidR="000F666F">
        <w:rPr>
          <w:bCs/>
        </w:rPr>
        <w:t xml:space="preserve"> </w:t>
      </w:r>
      <w:r w:rsidR="000F666F" w:rsidRPr="000F666F">
        <w:rPr>
          <w:bCs/>
        </w:rPr>
        <w:t>at the lumbar level), tunneled subcutaneously, and typically</w:t>
      </w:r>
      <w:r w:rsidR="000F666F">
        <w:rPr>
          <w:bCs/>
        </w:rPr>
        <w:t xml:space="preserve"> </w:t>
      </w:r>
      <w:r w:rsidR="000F666F" w:rsidRPr="000F666F">
        <w:rPr>
          <w:bCs/>
        </w:rPr>
        <w:t>positioned under fluoroscopic guidance so that the tip is</w:t>
      </w:r>
      <w:r w:rsidR="000F666F">
        <w:rPr>
          <w:bCs/>
        </w:rPr>
        <w:t xml:space="preserve"> </w:t>
      </w:r>
      <w:r w:rsidR="000F666F" w:rsidRPr="000F666F">
        <w:rPr>
          <w:bCs/>
        </w:rPr>
        <w:t>located at the corresponding spinal level for processing the</w:t>
      </w:r>
      <w:r w:rsidR="000F666F">
        <w:rPr>
          <w:bCs/>
        </w:rPr>
        <w:t xml:space="preserve"> </w:t>
      </w:r>
      <w:r w:rsidR="000F666F" w:rsidRPr="000F666F">
        <w:rPr>
          <w:bCs/>
        </w:rPr>
        <w:t>patient’s pain</w:t>
      </w:r>
      <w:r w:rsidR="000F666F">
        <w:rPr>
          <w:bCs/>
        </w:rPr>
        <w:t xml:space="preserve">. </w:t>
      </w:r>
      <w:r w:rsidR="000F666F" w:rsidRPr="000F666F">
        <w:rPr>
          <w:bCs/>
        </w:rPr>
        <w:t>The catheter is connected</w:t>
      </w:r>
      <w:r w:rsidR="000F666F">
        <w:rPr>
          <w:bCs/>
        </w:rPr>
        <w:t xml:space="preserve"> </w:t>
      </w:r>
      <w:r w:rsidR="000F666F" w:rsidRPr="000F666F">
        <w:rPr>
          <w:bCs/>
        </w:rPr>
        <w:t>to an infusion pump placed in a subcutaneous pocket in</w:t>
      </w:r>
      <w:r w:rsidR="000F666F">
        <w:rPr>
          <w:bCs/>
        </w:rPr>
        <w:t xml:space="preserve"> </w:t>
      </w:r>
      <w:r w:rsidR="000F666F" w:rsidRPr="000F666F">
        <w:rPr>
          <w:bCs/>
        </w:rPr>
        <w:t xml:space="preserve">the </w:t>
      </w:r>
      <w:r w:rsidR="00596B7D" w:rsidRPr="000F666F">
        <w:rPr>
          <w:bCs/>
        </w:rPr>
        <w:t>abdomen</w:t>
      </w:r>
      <w:r w:rsidR="00596B7D">
        <w:rPr>
          <w:bCs/>
        </w:rPr>
        <w:t>.</w:t>
      </w:r>
      <w:r w:rsidR="00596B7D" w:rsidRPr="007E1F5A">
        <w:rPr>
          <w:bCs/>
          <w:vertAlign w:val="superscript"/>
        </w:rPr>
        <w:t>2</w:t>
      </w:r>
      <w:r w:rsidR="0070014D">
        <w:rPr>
          <w:bCs/>
        </w:rPr>
        <w:t xml:space="preserve"> </w:t>
      </w:r>
    </w:p>
    <w:p w14:paraId="72D890B8" w14:textId="77777777" w:rsidR="00491457" w:rsidRDefault="00491457" w:rsidP="00491457">
      <w:pPr>
        <w:rPr>
          <w:bCs/>
          <w:vertAlign w:val="superscript"/>
        </w:rPr>
      </w:pPr>
    </w:p>
    <w:p w14:paraId="7934D27C" w14:textId="1A417F1C" w:rsidR="000F666F" w:rsidRDefault="00491457" w:rsidP="00491457">
      <w:pPr>
        <w:rPr>
          <w:bCs/>
        </w:rPr>
      </w:pPr>
      <w:r w:rsidRPr="00491457">
        <w:rPr>
          <w:bCs/>
        </w:rPr>
        <w:t xml:space="preserve">The </w:t>
      </w:r>
      <w:r w:rsidRPr="0008143B">
        <w:rPr>
          <w:bCs/>
        </w:rPr>
        <w:t>literature</w:t>
      </w:r>
      <w:r w:rsidR="009E2220" w:rsidRPr="0008143B">
        <w:rPr>
          <w:bCs/>
        </w:rPr>
        <w:t xml:space="preserve"> </w:t>
      </w:r>
      <w:r w:rsidR="009423A3" w:rsidRPr="0008143B">
        <w:rPr>
          <w:bCs/>
        </w:rPr>
        <w:t xml:space="preserve">evaluating </w:t>
      </w:r>
      <w:r w:rsidRPr="0008143B">
        <w:rPr>
          <w:bCs/>
        </w:rPr>
        <w:t>intrathecal infusion systems for long-term</w:t>
      </w:r>
      <w:r w:rsidR="009423A3" w:rsidRPr="0008143B">
        <w:rPr>
          <w:bCs/>
        </w:rPr>
        <w:t xml:space="preserve"> </w:t>
      </w:r>
      <w:r w:rsidRPr="0008143B">
        <w:rPr>
          <w:bCs/>
        </w:rPr>
        <w:t>management of chronic non-cancer pain</w:t>
      </w:r>
      <w:r w:rsidR="003417B5" w:rsidRPr="0008143B">
        <w:rPr>
          <w:bCs/>
        </w:rPr>
        <w:t xml:space="preserve"> is limited</w:t>
      </w:r>
      <w:r w:rsidR="003417B5">
        <w:rPr>
          <w:bCs/>
        </w:rPr>
        <w:t xml:space="preserve">. </w:t>
      </w:r>
      <w:r w:rsidR="00120CFF">
        <w:rPr>
          <w:bCs/>
        </w:rPr>
        <w:t>Peer reviewed literature to date consists of observational</w:t>
      </w:r>
      <w:r w:rsidR="00583741">
        <w:rPr>
          <w:bCs/>
        </w:rPr>
        <w:t xml:space="preserve"> studies, </w:t>
      </w:r>
      <w:r w:rsidR="00061A4E">
        <w:rPr>
          <w:bCs/>
        </w:rPr>
        <w:t xml:space="preserve">uncontrolled </w:t>
      </w:r>
      <w:r w:rsidR="00583741">
        <w:rPr>
          <w:bCs/>
        </w:rPr>
        <w:t xml:space="preserve">retrospective studies, case </w:t>
      </w:r>
      <w:r w:rsidR="00120CFF">
        <w:rPr>
          <w:bCs/>
        </w:rPr>
        <w:t xml:space="preserve">studies and systematic reviews </w:t>
      </w:r>
      <w:r w:rsidR="00120CFF" w:rsidRPr="00120CFF">
        <w:rPr>
          <w:bCs/>
        </w:rPr>
        <w:t xml:space="preserve">using variable </w:t>
      </w:r>
      <w:r w:rsidR="00392034" w:rsidRPr="00392034">
        <w:rPr>
          <w:bCs/>
        </w:rPr>
        <w:t>methodologies</w:t>
      </w:r>
      <w:r w:rsidR="00120CFF" w:rsidRPr="00120CFF">
        <w:rPr>
          <w:bCs/>
        </w:rPr>
        <w:t xml:space="preserve"> and inclusion criteria</w:t>
      </w:r>
      <w:r w:rsidR="00120CFF">
        <w:rPr>
          <w:bCs/>
        </w:rPr>
        <w:t xml:space="preserve">. </w:t>
      </w:r>
      <w:r w:rsidR="00061A4E">
        <w:rPr>
          <w:bCs/>
        </w:rPr>
        <w:t>Some s</w:t>
      </w:r>
      <w:r w:rsidR="008D3B0C">
        <w:rPr>
          <w:bCs/>
        </w:rPr>
        <w:t>t</w:t>
      </w:r>
      <w:r w:rsidR="00061A4E">
        <w:rPr>
          <w:bCs/>
        </w:rPr>
        <w:t xml:space="preserve">udies suggest that </w:t>
      </w:r>
      <w:r w:rsidR="00061A4E" w:rsidRPr="00061A4E">
        <w:rPr>
          <w:bCs/>
        </w:rPr>
        <w:t>intrathecal opioids reduce pain long-term in</w:t>
      </w:r>
      <w:r w:rsidR="00061A4E">
        <w:rPr>
          <w:bCs/>
        </w:rPr>
        <w:t xml:space="preserve"> a s</w:t>
      </w:r>
      <w:r w:rsidR="00061A4E" w:rsidRPr="00061A4E">
        <w:rPr>
          <w:bCs/>
        </w:rPr>
        <w:t>mall proportion of individuals w</w:t>
      </w:r>
      <w:r w:rsidR="00061A4E">
        <w:rPr>
          <w:bCs/>
        </w:rPr>
        <w:t xml:space="preserve">ith chronic, non-cancer pain, </w:t>
      </w:r>
      <w:r w:rsidR="00F83945">
        <w:rPr>
          <w:bCs/>
        </w:rPr>
        <w:t>however</w:t>
      </w:r>
      <w:r w:rsidR="008D3B0C">
        <w:rPr>
          <w:bCs/>
        </w:rPr>
        <w:t xml:space="preserve">, </w:t>
      </w:r>
      <w:r w:rsidR="00F83945">
        <w:rPr>
          <w:bCs/>
        </w:rPr>
        <w:t>l</w:t>
      </w:r>
      <w:r w:rsidR="00392034">
        <w:rPr>
          <w:bCs/>
        </w:rPr>
        <w:t>arge r</w:t>
      </w:r>
      <w:r w:rsidR="00075AE3" w:rsidRPr="00075AE3">
        <w:rPr>
          <w:bCs/>
        </w:rPr>
        <w:t xml:space="preserve">andomized </w:t>
      </w:r>
      <w:r w:rsidR="00075AE3">
        <w:rPr>
          <w:bCs/>
        </w:rPr>
        <w:t>controlled trials are lacking.</w:t>
      </w:r>
      <w:r w:rsidR="0010002A">
        <w:rPr>
          <w:bCs/>
        </w:rPr>
        <w:t xml:space="preserve">  </w:t>
      </w:r>
    </w:p>
    <w:p w14:paraId="07A8B4C0" w14:textId="77777777" w:rsidR="009322D7" w:rsidRDefault="009322D7" w:rsidP="00491457">
      <w:pPr>
        <w:rPr>
          <w:bCs/>
        </w:rPr>
      </w:pPr>
    </w:p>
    <w:p w14:paraId="2F26A309" w14:textId="61CC7185" w:rsidR="009322D7" w:rsidRPr="005658CC" w:rsidRDefault="009322D7" w:rsidP="00491457">
      <w:pPr>
        <w:rPr>
          <w:bCs/>
          <w:vertAlign w:val="superscript"/>
        </w:rPr>
      </w:pPr>
      <w:r>
        <w:rPr>
          <w:bCs/>
        </w:rPr>
        <w:t xml:space="preserve">There are </w:t>
      </w:r>
      <w:r w:rsidRPr="00F94D3D">
        <w:rPr>
          <w:bCs/>
        </w:rPr>
        <w:t xml:space="preserve">several contraindications </w:t>
      </w:r>
      <w:r w:rsidR="000F31FF" w:rsidRPr="00F94D3D">
        <w:rPr>
          <w:bCs/>
        </w:rPr>
        <w:t xml:space="preserve">to </w:t>
      </w:r>
      <w:r w:rsidR="00A835C6" w:rsidRPr="00F94D3D">
        <w:rPr>
          <w:bCs/>
        </w:rPr>
        <w:t>implantable drug delivery systems</w:t>
      </w:r>
      <w:r w:rsidR="005658CC">
        <w:rPr>
          <w:bCs/>
        </w:rPr>
        <w:t xml:space="preserve"> which can be divided</w:t>
      </w:r>
      <w:r w:rsidR="00A835C6">
        <w:rPr>
          <w:bCs/>
        </w:rPr>
        <w:t xml:space="preserve"> </w:t>
      </w:r>
      <w:r w:rsidR="005658CC">
        <w:rPr>
          <w:bCs/>
        </w:rPr>
        <w:t>into</w:t>
      </w:r>
      <w:r w:rsidR="00A835C6">
        <w:rPr>
          <w:bCs/>
        </w:rPr>
        <w:t xml:space="preserve"> absolute</w:t>
      </w:r>
      <w:r w:rsidR="00565AF1">
        <w:rPr>
          <w:bCs/>
        </w:rPr>
        <w:t xml:space="preserve"> and relative exclusion</w:t>
      </w:r>
      <w:r w:rsidR="005658CC">
        <w:rPr>
          <w:bCs/>
        </w:rPr>
        <w:t>s</w:t>
      </w:r>
      <w:r w:rsidR="00565AF1">
        <w:rPr>
          <w:bCs/>
        </w:rPr>
        <w:t xml:space="preserve">. </w:t>
      </w:r>
      <w:r w:rsidR="00565AF1" w:rsidRPr="00F94D3D">
        <w:rPr>
          <w:bCs/>
        </w:rPr>
        <w:t>Absolute contraindications</w:t>
      </w:r>
      <w:r w:rsidR="00565AF1">
        <w:rPr>
          <w:bCs/>
        </w:rPr>
        <w:t xml:space="preserve"> include systemic infections, </w:t>
      </w:r>
      <w:r w:rsidR="00565AF1">
        <w:rPr>
          <w:color w:val="000000"/>
          <w:shd w:val="clear" w:color="auto" w:fill="FFFFFF"/>
        </w:rPr>
        <w:t>known allergies to materials in the implant, active intravenous drug abuse, psychosis or dementia, and infection at the implantation site. </w:t>
      </w:r>
      <w:r w:rsidR="00565AF1" w:rsidRPr="00F94D3D">
        <w:rPr>
          <w:color w:val="000000"/>
          <w:shd w:val="clear" w:color="auto" w:fill="FFFFFF"/>
        </w:rPr>
        <w:t>Relative contraindications</w:t>
      </w:r>
      <w:r w:rsidR="00565AF1">
        <w:rPr>
          <w:color w:val="000000"/>
          <w:shd w:val="clear" w:color="auto" w:fill="FFFFFF"/>
        </w:rPr>
        <w:t xml:space="preserve"> include an atrophied patient (underweight BMI), ongoing anticoagulation that cannot be discontinued, active bleeding, high opioid tolerance, lack of social or family support, and lack of access to medical care. Intrathecal pump placement is an elective procedure; thus one must assess all potential absolute and relative contraindications before proceeding.</w:t>
      </w:r>
      <w:r w:rsidR="00452BC4">
        <w:rPr>
          <w:color w:val="000000"/>
          <w:shd w:val="clear" w:color="auto" w:fill="FFFFFF"/>
          <w:vertAlign w:val="superscript"/>
        </w:rPr>
        <w:t>4</w:t>
      </w:r>
    </w:p>
    <w:p w14:paraId="7A7BE8B0" w14:textId="77777777" w:rsidR="00491457" w:rsidRDefault="00491457" w:rsidP="000F666F">
      <w:pPr>
        <w:rPr>
          <w:bCs/>
        </w:rPr>
      </w:pPr>
    </w:p>
    <w:p w14:paraId="7E9A9BB3" w14:textId="3D48C83A" w:rsidR="009E2220" w:rsidRDefault="009E2220" w:rsidP="009E2220">
      <w:pPr>
        <w:rPr>
          <w:bCs/>
          <w:vertAlign w:val="superscript"/>
        </w:rPr>
      </w:pPr>
      <w:r>
        <w:rPr>
          <w:bCs/>
        </w:rPr>
        <w:t>A h</w:t>
      </w:r>
      <w:r w:rsidRPr="009E2220">
        <w:rPr>
          <w:bCs/>
        </w:rPr>
        <w:t xml:space="preserve">ealth </w:t>
      </w:r>
      <w:r>
        <w:rPr>
          <w:bCs/>
        </w:rPr>
        <w:t>t</w:t>
      </w:r>
      <w:r w:rsidRPr="009E2220">
        <w:rPr>
          <w:bCs/>
        </w:rPr>
        <w:t xml:space="preserve">echnology </w:t>
      </w:r>
      <w:r>
        <w:rPr>
          <w:bCs/>
        </w:rPr>
        <w:t>a</w:t>
      </w:r>
      <w:r w:rsidRPr="009E2220">
        <w:rPr>
          <w:bCs/>
        </w:rPr>
        <w:t xml:space="preserve">ssessment </w:t>
      </w:r>
      <w:r>
        <w:rPr>
          <w:bCs/>
        </w:rPr>
        <w:t xml:space="preserve">of </w:t>
      </w:r>
      <w:r w:rsidRPr="009E2220">
        <w:rPr>
          <w:bCs/>
        </w:rPr>
        <w:t xml:space="preserve">Intrathecal Drug Delivery Systems for Noncancer Pain </w:t>
      </w:r>
      <w:r>
        <w:rPr>
          <w:bCs/>
        </w:rPr>
        <w:t>reported, “</w:t>
      </w:r>
      <w:r w:rsidRPr="009E2220">
        <w:rPr>
          <w:bCs/>
        </w:rPr>
        <w:t>Compared with oral opioid analgesia alone or a program of analgesia plus rehabilitation, intrathecal drug delivery systems significantly reduced pain (27% additional improvement) and morphine consumption. Despite these reductions, intrathecal drug delivery systems were not superior in patient-reported well-being or quality of life. There is no evidence of superiority of intrathecal drug delivery systems over oral opioids in global pain improvement and global treatment satisfaction. Comparative evidence of harms was not found</w:t>
      </w:r>
      <w:r>
        <w:rPr>
          <w:bCs/>
        </w:rPr>
        <w:t>.</w:t>
      </w:r>
      <w:r w:rsidR="00C50214">
        <w:rPr>
          <w:bCs/>
        </w:rPr>
        <w:t>”</w:t>
      </w:r>
      <w:r w:rsidR="00452BC4">
        <w:rPr>
          <w:bCs/>
          <w:vertAlign w:val="superscript"/>
        </w:rPr>
        <w:t>5</w:t>
      </w:r>
      <w:r w:rsidR="00865B90">
        <w:rPr>
          <w:bCs/>
          <w:vertAlign w:val="superscript"/>
        </w:rPr>
        <w:t>(p3)</w:t>
      </w:r>
    </w:p>
    <w:p w14:paraId="520522EE" w14:textId="77777777" w:rsidR="000E194E" w:rsidRDefault="000E194E" w:rsidP="00DF6272">
      <w:pPr>
        <w:rPr>
          <w:bCs/>
        </w:rPr>
      </w:pPr>
    </w:p>
    <w:p w14:paraId="2A19D370" w14:textId="3798D349" w:rsidR="000010BD" w:rsidRDefault="000E194E" w:rsidP="000F666F">
      <w:pPr>
        <w:rPr>
          <w:bCs/>
          <w:i/>
        </w:rPr>
      </w:pPr>
      <w:r w:rsidRPr="00BC2444">
        <w:rPr>
          <w:bCs/>
          <w:i/>
        </w:rPr>
        <w:t>American Society of Anesthesiologists</w:t>
      </w:r>
      <w:r w:rsidR="007B71E6">
        <w:rPr>
          <w:bCs/>
          <w:i/>
        </w:rPr>
        <w:t xml:space="preserve"> (ASA)</w:t>
      </w:r>
      <w:r w:rsidRPr="001D07F5">
        <w:rPr>
          <w:bCs/>
          <w:i/>
        </w:rPr>
        <w:t>/American Society of Regional Anesthesia</w:t>
      </w:r>
      <w:r w:rsidR="00A439F5">
        <w:rPr>
          <w:bCs/>
          <w:i/>
        </w:rPr>
        <w:t xml:space="preserve"> (ASRA)</w:t>
      </w:r>
      <w:r w:rsidRPr="001D07F5">
        <w:rPr>
          <w:bCs/>
          <w:i/>
        </w:rPr>
        <w:t xml:space="preserve"> and Pain Medicine</w:t>
      </w:r>
    </w:p>
    <w:p w14:paraId="55984DB4" w14:textId="2881E8C7" w:rsidR="000E194E" w:rsidRPr="004C14AD" w:rsidRDefault="004C14AD" w:rsidP="004C14AD">
      <w:pPr>
        <w:rPr>
          <w:bCs/>
        </w:rPr>
      </w:pPr>
      <w:r w:rsidRPr="004C14AD">
        <w:rPr>
          <w:bCs/>
        </w:rPr>
        <w:t>Studies with observational findings indicate that intrathecal opioid injections can provide effective pain relief for assessment periods ranging from 1 to 12 months for patients with neuropathic pain (Category B2 evidence).</w:t>
      </w:r>
      <w:r w:rsidR="00C50214">
        <w:rPr>
          <w:bCs/>
        </w:rPr>
        <w:t xml:space="preserve"> </w:t>
      </w:r>
      <w:r w:rsidRPr="004C14AD">
        <w:rPr>
          <w:bCs/>
        </w:rPr>
        <w:t>Consultants, ASA members, and ASRA</w:t>
      </w:r>
      <w:r w:rsidR="00964C4A">
        <w:rPr>
          <w:bCs/>
        </w:rPr>
        <w:t xml:space="preserve"> Pain Medicine</w:t>
      </w:r>
      <w:r w:rsidRPr="004C14AD">
        <w:rPr>
          <w:bCs/>
        </w:rPr>
        <w:t xml:space="preserve"> members are equivocal with regard to whether intrathecal opioid injection or infusion should be used for neuropathic pain. However,</w:t>
      </w:r>
      <w:r w:rsidR="00C50214">
        <w:rPr>
          <w:bCs/>
        </w:rPr>
        <w:t xml:space="preserve"> </w:t>
      </w:r>
      <w:r w:rsidRPr="004C14AD">
        <w:rPr>
          <w:bCs/>
        </w:rPr>
        <w:t>they strongly agree that neuraxial opioid trials should be performed before considering permanent implantation of intrathecal drug delivery systems.</w:t>
      </w:r>
      <w:r w:rsidR="00DB6320" w:rsidRPr="00DB6320">
        <w:rPr>
          <w:bCs/>
          <w:vertAlign w:val="superscript"/>
        </w:rPr>
        <w:t>6</w:t>
      </w:r>
    </w:p>
    <w:p w14:paraId="4EE9CA0E" w14:textId="77777777" w:rsidR="000E194E" w:rsidRPr="000E194E" w:rsidRDefault="000E194E" w:rsidP="000F666F">
      <w:pPr>
        <w:rPr>
          <w:bCs/>
          <w:i/>
        </w:rPr>
      </w:pPr>
    </w:p>
    <w:p w14:paraId="79F968DA" w14:textId="77777777" w:rsidR="000F666F" w:rsidRPr="00491457" w:rsidRDefault="00491457" w:rsidP="000F666F">
      <w:pPr>
        <w:rPr>
          <w:bCs/>
          <w:i/>
        </w:rPr>
      </w:pPr>
      <w:r w:rsidRPr="00D34DDF">
        <w:rPr>
          <w:bCs/>
          <w:i/>
        </w:rPr>
        <w:t>North American Spine Society</w:t>
      </w:r>
      <w:r w:rsidRPr="00491457">
        <w:rPr>
          <w:bCs/>
          <w:i/>
        </w:rPr>
        <w:t xml:space="preserve"> (NASS)</w:t>
      </w:r>
    </w:p>
    <w:p w14:paraId="7038775E" w14:textId="2253984F" w:rsidR="00015B1B" w:rsidRDefault="002853C9">
      <w:pPr>
        <w:rPr>
          <w:bCs/>
        </w:rPr>
      </w:pPr>
      <w:r>
        <w:rPr>
          <w:bCs/>
        </w:rPr>
        <w:t xml:space="preserve">NASS has developed coverage recommendation </w:t>
      </w:r>
      <w:r w:rsidR="006E27C9">
        <w:rPr>
          <w:bCs/>
        </w:rPr>
        <w:t xml:space="preserve">on </w:t>
      </w:r>
      <w:r w:rsidR="006E27C9" w:rsidRPr="006E27C9">
        <w:rPr>
          <w:bCs/>
        </w:rPr>
        <w:t xml:space="preserve">spinal intrathecal drug delivery systems for the treatment of </w:t>
      </w:r>
      <w:r w:rsidR="006E27C9">
        <w:rPr>
          <w:bCs/>
        </w:rPr>
        <w:t xml:space="preserve">chronic nonmalignant pain. Per NASS, the implantable infusion may benefit </w:t>
      </w:r>
      <w:r w:rsidR="006E27C9" w:rsidRPr="006E27C9">
        <w:rPr>
          <w:bCs/>
        </w:rPr>
        <w:t xml:space="preserve">a small subgroup of patients with </w:t>
      </w:r>
      <w:r w:rsidR="006E27C9">
        <w:rPr>
          <w:bCs/>
        </w:rPr>
        <w:t xml:space="preserve">chronic nonmalignant pain and a </w:t>
      </w:r>
      <w:r w:rsidR="006E27C9" w:rsidRPr="006E27C9">
        <w:rPr>
          <w:bCs/>
        </w:rPr>
        <w:t>clear spinal pathology</w:t>
      </w:r>
      <w:r w:rsidR="006E27C9">
        <w:rPr>
          <w:bCs/>
        </w:rPr>
        <w:t xml:space="preserve">, who </w:t>
      </w:r>
      <w:r w:rsidR="006E27C9" w:rsidRPr="006E27C9">
        <w:rPr>
          <w:bCs/>
        </w:rPr>
        <w:t>have exhausted all other options to treat their symptoms.</w:t>
      </w:r>
      <w:r w:rsidR="006E27C9">
        <w:rPr>
          <w:bCs/>
        </w:rPr>
        <w:t xml:space="preserve"> T</w:t>
      </w:r>
      <w:r w:rsidR="006E27C9" w:rsidRPr="006E27C9">
        <w:rPr>
          <w:bCs/>
        </w:rPr>
        <w:t>hese patients should have a psychological evaluation to rule out drug and alcohol disorders and other psychological conditions</w:t>
      </w:r>
      <w:r w:rsidR="006E27C9">
        <w:rPr>
          <w:bCs/>
        </w:rPr>
        <w:t>.</w:t>
      </w:r>
      <w:r w:rsidR="000D1573">
        <w:rPr>
          <w:bCs/>
          <w:vertAlign w:val="superscript"/>
        </w:rPr>
        <w:t>7</w:t>
      </w:r>
    </w:p>
    <w:p w14:paraId="41483ADF" w14:textId="77777777" w:rsidR="006C67A0" w:rsidRDefault="006C67A0">
      <w:pPr>
        <w:rPr>
          <w:bCs/>
        </w:rPr>
      </w:pPr>
    </w:p>
    <w:p w14:paraId="0B07623E" w14:textId="77777777" w:rsidR="00170B14" w:rsidRPr="00B777AF" w:rsidRDefault="00170B14" w:rsidP="00170B14">
      <w:pPr>
        <w:rPr>
          <w:b/>
        </w:rPr>
      </w:pPr>
      <w:bookmarkStart w:id="6" w:name="Coding_Implications"/>
      <w:r w:rsidRPr="00B777AF">
        <w:rPr>
          <w:b/>
        </w:rPr>
        <w:t>Coding Implications</w:t>
      </w:r>
    </w:p>
    <w:bookmarkEnd w:id="6"/>
    <w:p w14:paraId="3550A736" w14:textId="3217D190" w:rsidR="00AF5490" w:rsidRDefault="00DD6ADB" w:rsidP="00AF5490">
      <w:r w:rsidRPr="00507DC0">
        <w:t xml:space="preserve">This </w:t>
      </w:r>
      <w:r>
        <w:t xml:space="preserve">clinical </w:t>
      </w:r>
      <w:r w:rsidRPr="00507DC0">
        <w:t>policy references Current Procedural Terminology (CPT</w:t>
      </w:r>
      <w:r w:rsidRPr="00DD6ADB">
        <w:rPr>
          <w:vertAlign w:val="superscript"/>
        </w:rPr>
        <w:t>®</w:t>
      </w:r>
      <w:r w:rsidRPr="00507DC0">
        <w:t>). CPT</w:t>
      </w:r>
      <w:r w:rsidRPr="00DD6ADB">
        <w:rPr>
          <w:vertAlign w:val="superscript"/>
        </w:rPr>
        <w:t>®</w:t>
      </w:r>
      <w:r w:rsidRPr="00507DC0">
        <w:t xml:space="preserve"> is a registered trademark of the Americ</w:t>
      </w:r>
      <w:r>
        <w:t>an Medical Association. All CPT</w:t>
      </w:r>
      <w:r w:rsidRPr="00507DC0">
        <w:t xml:space="preserve"> codes and descriptions are copyrighted </w:t>
      </w:r>
      <w:r w:rsidR="007861FF" w:rsidRPr="00507DC0">
        <w:t>20</w:t>
      </w:r>
      <w:r w:rsidR="007861FF">
        <w:t>2</w:t>
      </w:r>
      <w:r w:rsidR="003B116F">
        <w:t>4</w:t>
      </w:r>
      <w:r w:rsidRPr="00507DC0">
        <w:t>, American Medical Association. All rights reserved. CPT</w:t>
      </w:r>
      <w:r>
        <w:t xml:space="preserve"> codes and CPT</w:t>
      </w:r>
      <w:r w:rsidRPr="00507DC0">
        <w:t xml:space="preserve"> descriptions are from </w:t>
      </w:r>
      <w:r>
        <w:t xml:space="preserve">the </w:t>
      </w:r>
      <w:r w:rsidRPr="00507DC0">
        <w:t xml:space="preserve">current manuals and those included herein are not intended to be all-inclusive and are included for informational purposes only. </w:t>
      </w:r>
      <w:r w:rsidRPr="005E117C">
        <w:t>Codes</w:t>
      </w:r>
      <w:r>
        <w:t xml:space="preserve"> referenced in this c</w:t>
      </w:r>
      <w:r w:rsidRPr="005E117C">
        <w:t xml:space="preserve">linical </w:t>
      </w:r>
      <w:r>
        <w:t>p</w:t>
      </w:r>
      <w:r w:rsidRPr="005E117C">
        <w:t>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722B8F6A" w14:textId="77777777" w:rsidR="00AF5490" w:rsidRPr="00A85489" w:rsidRDefault="00AF5490" w:rsidP="00AF5490"/>
    <w:tbl>
      <w:tblPr>
        <w:tblStyle w:val="TableGrid"/>
        <w:tblW w:w="4772" w:type="pct"/>
        <w:tblLook w:val="0020" w:firstRow="1" w:lastRow="0" w:firstColumn="0" w:lastColumn="0" w:noHBand="0" w:noVBand="0"/>
      </w:tblPr>
      <w:tblGrid>
        <w:gridCol w:w="1107"/>
        <w:gridCol w:w="7817"/>
      </w:tblGrid>
      <w:tr w:rsidR="00B777AF" w:rsidRPr="00B777AF" w14:paraId="55D32E9A" w14:textId="77777777" w:rsidTr="00035DC0">
        <w:trPr>
          <w:tblHeader/>
        </w:trPr>
        <w:tc>
          <w:tcPr>
            <w:tcW w:w="1107" w:type="dxa"/>
            <w:shd w:val="clear" w:color="auto" w:fill="00548C"/>
          </w:tcPr>
          <w:p w14:paraId="0C29DCAF" w14:textId="77777777" w:rsidR="00D36448" w:rsidRPr="00EA68A4" w:rsidRDefault="00D36448" w:rsidP="00C10DF0">
            <w:pPr>
              <w:rPr>
                <w:b/>
                <w:bCs/>
                <w:color w:val="FFFFFF" w:themeColor="background1"/>
              </w:rPr>
            </w:pPr>
            <w:r w:rsidRPr="00EA68A4">
              <w:rPr>
                <w:b/>
                <w:color w:val="FFFFFF" w:themeColor="background1"/>
              </w:rPr>
              <w:lastRenderedPageBreak/>
              <w:t>CPT</w:t>
            </w:r>
            <w:r w:rsidR="005D7B81" w:rsidRPr="00EA68A4">
              <w:rPr>
                <w:b/>
                <w:color w:val="FFFFFF" w:themeColor="background1"/>
                <w:vertAlign w:val="superscript"/>
              </w:rPr>
              <w:t>®</w:t>
            </w:r>
            <w:r w:rsidRPr="00EA68A4">
              <w:rPr>
                <w:b/>
                <w:color w:val="FFFFFF" w:themeColor="background1"/>
              </w:rPr>
              <w:t xml:space="preserve"> Codes </w:t>
            </w:r>
          </w:p>
        </w:tc>
        <w:tc>
          <w:tcPr>
            <w:tcW w:w="7817" w:type="dxa"/>
            <w:shd w:val="clear" w:color="auto" w:fill="00548C"/>
          </w:tcPr>
          <w:p w14:paraId="3D03CCC3" w14:textId="77777777" w:rsidR="00D36448" w:rsidRPr="00EA68A4" w:rsidRDefault="00D36448" w:rsidP="00C10DF0">
            <w:pPr>
              <w:rPr>
                <w:b/>
                <w:bCs/>
                <w:color w:val="FFFFFF" w:themeColor="background1"/>
              </w:rPr>
            </w:pPr>
            <w:r w:rsidRPr="00EA68A4">
              <w:rPr>
                <w:b/>
                <w:color w:val="FFFFFF" w:themeColor="background1"/>
              </w:rPr>
              <w:t>Description</w:t>
            </w:r>
          </w:p>
        </w:tc>
      </w:tr>
      <w:tr w:rsidR="00A62C40" w:rsidRPr="005144C0" w14:paraId="32F1711E" w14:textId="77777777" w:rsidTr="00035DC0">
        <w:tc>
          <w:tcPr>
            <w:tcW w:w="1107" w:type="dxa"/>
          </w:tcPr>
          <w:p w14:paraId="72DE5E26" w14:textId="738D4AD6" w:rsidR="00A62C40" w:rsidRPr="00EA68A4" w:rsidRDefault="00A62C40" w:rsidP="00C10DF0">
            <w:pPr>
              <w:rPr>
                <w:bCs/>
              </w:rPr>
            </w:pPr>
            <w:r w:rsidRPr="00EA68A4">
              <w:rPr>
                <w:bCs/>
              </w:rPr>
              <w:t>62320</w:t>
            </w:r>
          </w:p>
        </w:tc>
        <w:tc>
          <w:tcPr>
            <w:tcW w:w="7817" w:type="dxa"/>
          </w:tcPr>
          <w:p w14:paraId="57CEC892" w14:textId="1659D828" w:rsidR="00A62C40" w:rsidRPr="00EA68A4" w:rsidRDefault="00CA2B39" w:rsidP="00C10DF0">
            <w:pPr>
              <w:rPr>
                <w:bCs/>
              </w:rPr>
            </w:pPr>
            <w:r w:rsidRPr="00EA68A4">
              <w:rPr>
                <w:bCs/>
              </w:rPr>
              <w:t>Injection(s), of diagnostic or therapeutic substance(s) (eg, anesthetic, antispasmodic, opioid, steroid, other solution), not including neurolytic substances, including needle or catheter placement, interlaminar epidural or subarachnoid, cervical or thoracic; without imaging guidance</w:t>
            </w:r>
          </w:p>
        </w:tc>
      </w:tr>
      <w:tr w:rsidR="00A62C40" w:rsidRPr="005144C0" w14:paraId="4D546DC4" w14:textId="77777777" w:rsidTr="00035DC0">
        <w:tc>
          <w:tcPr>
            <w:tcW w:w="1107" w:type="dxa"/>
          </w:tcPr>
          <w:p w14:paraId="2631475F" w14:textId="3B03E79F" w:rsidR="00A62C40" w:rsidRPr="00EA68A4" w:rsidRDefault="00A62C40" w:rsidP="00C10DF0">
            <w:pPr>
              <w:rPr>
                <w:bCs/>
              </w:rPr>
            </w:pPr>
            <w:r w:rsidRPr="00EA68A4">
              <w:rPr>
                <w:bCs/>
              </w:rPr>
              <w:t>62321</w:t>
            </w:r>
          </w:p>
        </w:tc>
        <w:tc>
          <w:tcPr>
            <w:tcW w:w="7817" w:type="dxa"/>
          </w:tcPr>
          <w:p w14:paraId="4B8BCD6B" w14:textId="1FDE7F56" w:rsidR="00A62C40" w:rsidRPr="00EA68A4" w:rsidRDefault="00CA2B39" w:rsidP="00C10DF0">
            <w:pPr>
              <w:rPr>
                <w:bCs/>
              </w:rPr>
            </w:pPr>
            <w:r w:rsidRPr="00EA68A4">
              <w:rPr>
                <w:bCs/>
              </w:rPr>
              <w:t>Injection(s), of diagnostic or therapeutic substance(s) (eg, anesthetic, antispasmodic, opioid, steroid, other solution), not including neurolytic substances, including needle or catheter placement, interlaminar epidural or subarachnoid, cervical or thoracic; with imaging guidance (ie, fluoroscopy or CT)</w:t>
            </w:r>
          </w:p>
        </w:tc>
      </w:tr>
      <w:tr w:rsidR="00CE01F9" w:rsidRPr="005144C0" w14:paraId="1DE2C4CC" w14:textId="77777777" w:rsidTr="00035DC0">
        <w:tc>
          <w:tcPr>
            <w:tcW w:w="1107" w:type="dxa"/>
          </w:tcPr>
          <w:p w14:paraId="21AFBB04" w14:textId="77777777" w:rsidR="00CE01F9" w:rsidRPr="00EA68A4" w:rsidRDefault="00CE01F9" w:rsidP="00C10DF0">
            <w:pPr>
              <w:rPr>
                <w:bCs/>
              </w:rPr>
            </w:pPr>
            <w:r w:rsidRPr="00EA68A4">
              <w:rPr>
                <w:bCs/>
              </w:rPr>
              <w:t>62322</w:t>
            </w:r>
          </w:p>
        </w:tc>
        <w:tc>
          <w:tcPr>
            <w:tcW w:w="7817" w:type="dxa"/>
          </w:tcPr>
          <w:p w14:paraId="6DA63F99" w14:textId="614CA6A8" w:rsidR="00CE01F9" w:rsidRPr="00EA68A4" w:rsidRDefault="00CD0C39" w:rsidP="00C10DF0">
            <w:pPr>
              <w:rPr>
                <w:bCs/>
              </w:rPr>
            </w:pPr>
            <w:r w:rsidRPr="00EA68A4">
              <w:rPr>
                <w:bCs/>
              </w:rPr>
              <w:t>Injection(s), of diagnostic or therapeutic substance(s) (</w:t>
            </w:r>
            <w:r w:rsidR="00596B7D" w:rsidRPr="00EA68A4">
              <w:rPr>
                <w:bCs/>
              </w:rPr>
              <w:t>eg</w:t>
            </w:r>
            <w:r w:rsidRPr="00EA68A4">
              <w:rPr>
                <w:bCs/>
              </w:rPr>
              <w:t>, anesthetic, antispasmodic, opioid, steroid, other solution), not including neurolytic substances, including needle or catheter placement, interlaminar epidural or subarachnoid, lumbar or sacral (caudal); without imaging guidance</w:t>
            </w:r>
          </w:p>
        </w:tc>
      </w:tr>
      <w:tr w:rsidR="00CE01F9" w:rsidRPr="005144C0" w14:paraId="7EF7A0F8" w14:textId="77777777" w:rsidTr="00035DC0">
        <w:tc>
          <w:tcPr>
            <w:tcW w:w="1107" w:type="dxa"/>
          </w:tcPr>
          <w:p w14:paraId="1FA49576" w14:textId="77777777" w:rsidR="00CE01F9" w:rsidRPr="00EA68A4" w:rsidRDefault="00CE01F9" w:rsidP="00C10DF0">
            <w:pPr>
              <w:rPr>
                <w:bCs/>
              </w:rPr>
            </w:pPr>
            <w:r w:rsidRPr="00EA68A4">
              <w:rPr>
                <w:bCs/>
              </w:rPr>
              <w:t>62323</w:t>
            </w:r>
          </w:p>
        </w:tc>
        <w:tc>
          <w:tcPr>
            <w:tcW w:w="7817" w:type="dxa"/>
          </w:tcPr>
          <w:p w14:paraId="0806910F" w14:textId="72C60D22" w:rsidR="00CE01F9" w:rsidRPr="00EA68A4" w:rsidRDefault="00CD0C39" w:rsidP="00C10DF0">
            <w:pPr>
              <w:rPr>
                <w:bCs/>
              </w:rPr>
            </w:pPr>
            <w:r w:rsidRPr="00EA68A4">
              <w:rPr>
                <w:bCs/>
              </w:rPr>
              <w:t>Injection(s), of diagnostic or therapeutic substance(s) (</w:t>
            </w:r>
            <w:r w:rsidR="00596B7D" w:rsidRPr="00EA68A4">
              <w:rPr>
                <w:bCs/>
              </w:rPr>
              <w:t>eg</w:t>
            </w:r>
            <w:r w:rsidRPr="00EA68A4">
              <w:rPr>
                <w:bCs/>
              </w:rPr>
              <w:t>, anesthetic, antispasmodic, opioid, steroid, other solution), not including neurolytic substances, including needle or catheter placement, interlaminar epidural or subarachnoid, lumbar or sacral (caudal); with imaging guidance (</w:t>
            </w:r>
            <w:r w:rsidR="00596B7D" w:rsidRPr="00EA68A4">
              <w:rPr>
                <w:bCs/>
              </w:rPr>
              <w:t>ie</w:t>
            </w:r>
            <w:r w:rsidRPr="00EA68A4">
              <w:rPr>
                <w:bCs/>
              </w:rPr>
              <w:t>, fluoroscopy or CT)</w:t>
            </w:r>
          </w:p>
        </w:tc>
      </w:tr>
      <w:tr w:rsidR="00CD0C39" w:rsidRPr="005144C0" w14:paraId="6077E624" w14:textId="77777777" w:rsidTr="00035DC0">
        <w:tc>
          <w:tcPr>
            <w:tcW w:w="1107" w:type="dxa"/>
          </w:tcPr>
          <w:p w14:paraId="7CE756F5" w14:textId="77777777" w:rsidR="00CD0C39" w:rsidRPr="00EA68A4" w:rsidRDefault="00CD0C39" w:rsidP="00C10DF0">
            <w:pPr>
              <w:rPr>
                <w:bCs/>
              </w:rPr>
            </w:pPr>
            <w:r w:rsidRPr="00EA68A4">
              <w:rPr>
                <w:bCs/>
              </w:rPr>
              <w:t>62326</w:t>
            </w:r>
          </w:p>
        </w:tc>
        <w:tc>
          <w:tcPr>
            <w:tcW w:w="7817" w:type="dxa"/>
          </w:tcPr>
          <w:p w14:paraId="51FFE16D" w14:textId="075F9B56" w:rsidR="00CD0C39" w:rsidRPr="00EA68A4" w:rsidRDefault="00CD0C39" w:rsidP="00C10DF0">
            <w:pPr>
              <w:rPr>
                <w:bCs/>
              </w:rPr>
            </w:pPr>
            <w:r w:rsidRPr="00EA68A4">
              <w:rPr>
                <w:bCs/>
              </w:rPr>
              <w:t>Injection(s), including indwelling catheter placement, continuous infusion or intermittent bolus, of diagnostic or therapeutic substance(s) (</w:t>
            </w:r>
            <w:r w:rsidR="00596B7D" w:rsidRPr="00EA68A4">
              <w:rPr>
                <w:bCs/>
              </w:rPr>
              <w:t>eg</w:t>
            </w:r>
            <w:r w:rsidRPr="00EA68A4">
              <w:rPr>
                <w:bCs/>
              </w:rPr>
              <w:t>, anesthetic, antispasmodic, opioid, steroid, other solution), not including neurolytic substances, interlaminar epidural or subarachnoid, lumbar or sacral (caudal); without imaging guidance</w:t>
            </w:r>
          </w:p>
        </w:tc>
      </w:tr>
      <w:tr w:rsidR="00492F45" w:rsidRPr="005144C0" w14:paraId="748208D4" w14:textId="77777777" w:rsidTr="00035DC0">
        <w:tc>
          <w:tcPr>
            <w:tcW w:w="1107" w:type="dxa"/>
          </w:tcPr>
          <w:p w14:paraId="72C4E138" w14:textId="77777777" w:rsidR="00492F45" w:rsidRPr="00EA68A4" w:rsidRDefault="00492F45" w:rsidP="00C10DF0">
            <w:pPr>
              <w:rPr>
                <w:bCs/>
              </w:rPr>
            </w:pPr>
            <w:r w:rsidRPr="00EA68A4">
              <w:rPr>
                <w:bCs/>
              </w:rPr>
              <w:t>62327</w:t>
            </w:r>
          </w:p>
        </w:tc>
        <w:tc>
          <w:tcPr>
            <w:tcW w:w="7817" w:type="dxa"/>
          </w:tcPr>
          <w:p w14:paraId="06012200" w14:textId="02939E89" w:rsidR="00492F45" w:rsidRPr="00EA68A4" w:rsidRDefault="00492F45" w:rsidP="00C10DF0">
            <w:pPr>
              <w:rPr>
                <w:bCs/>
              </w:rPr>
            </w:pPr>
            <w:r w:rsidRPr="00EA68A4">
              <w:rPr>
                <w:bCs/>
              </w:rPr>
              <w:t>Injection(s), including indwelling catheter placement, continuous infusion or intermittent bolus, of diagnostic or therapeutic substance(s) (</w:t>
            </w:r>
            <w:r w:rsidR="00596B7D" w:rsidRPr="00EA68A4">
              <w:rPr>
                <w:bCs/>
              </w:rPr>
              <w:t>eg</w:t>
            </w:r>
            <w:r w:rsidRPr="00EA68A4">
              <w:rPr>
                <w:bCs/>
              </w:rPr>
              <w:t>, anesthetic, antispasmodic, opioid, steroid, other solution), not including neurolytic substances, interlaminar epidural or subarachnoid, lumbar or sacral (caudal); with imaging guidance (</w:t>
            </w:r>
            <w:r w:rsidR="00596B7D" w:rsidRPr="00EA68A4">
              <w:rPr>
                <w:bCs/>
              </w:rPr>
              <w:t>ie</w:t>
            </w:r>
            <w:r w:rsidRPr="00EA68A4">
              <w:rPr>
                <w:bCs/>
              </w:rPr>
              <w:t>, fluoroscopy or CT)</w:t>
            </w:r>
          </w:p>
        </w:tc>
      </w:tr>
      <w:tr w:rsidR="00CE01F9" w:rsidRPr="005144C0" w14:paraId="3E516269" w14:textId="77777777" w:rsidTr="00035DC0">
        <w:tc>
          <w:tcPr>
            <w:tcW w:w="1107" w:type="dxa"/>
          </w:tcPr>
          <w:p w14:paraId="3B999B03" w14:textId="77777777" w:rsidR="00CE01F9" w:rsidRPr="00EA68A4" w:rsidRDefault="00CE01F9" w:rsidP="00C10DF0">
            <w:pPr>
              <w:rPr>
                <w:bCs/>
              </w:rPr>
            </w:pPr>
            <w:r w:rsidRPr="00EA68A4">
              <w:rPr>
                <w:bCs/>
              </w:rPr>
              <w:t>62350</w:t>
            </w:r>
          </w:p>
        </w:tc>
        <w:tc>
          <w:tcPr>
            <w:tcW w:w="7817" w:type="dxa"/>
          </w:tcPr>
          <w:p w14:paraId="0EDC8E72" w14:textId="77777777" w:rsidR="00CE01F9" w:rsidRPr="00EA68A4" w:rsidRDefault="00492F45" w:rsidP="00C10DF0">
            <w:pPr>
              <w:rPr>
                <w:bCs/>
              </w:rPr>
            </w:pPr>
            <w:r w:rsidRPr="00EA68A4">
              <w:rPr>
                <w:bCs/>
              </w:rPr>
              <w:t>Implantation, revision or repositioning of tunneled intrathecal or epidural catheter, for long-term medication administration via an external pump or implantable reservoir/infusion pump; without laminectomy</w:t>
            </w:r>
          </w:p>
        </w:tc>
      </w:tr>
      <w:tr w:rsidR="00C7376B" w:rsidRPr="005144C0" w14:paraId="00A44B23" w14:textId="77777777" w:rsidTr="00035DC0">
        <w:tc>
          <w:tcPr>
            <w:tcW w:w="1107" w:type="dxa"/>
          </w:tcPr>
          <w:p w14:paraId="692C47C4" w14:textId="43214148" w:rsidR="00C7376B" w:rsidRPr="00EA68A4" w:rsidRDefault="00605D8F" w:rsidP="00C10DF0">
            <w:pPr>
              <w:rPr>
                <w:bCs/>
              </w:rPr>
            </w:pPr>
            <w:r w:rsidRPr="00EA68A4">
              <w:rPr>
                <w:bCs/>
              </w:rPr>
              <w:t>62351</w:t>
            </w:r>
          </w:p>
        </w:tc>
        <w:tc>
          <w:tcPr>
            <w:tcW w:w="7817" w:type="dxa"/>
          </w:tcPr>
          <w:p w14:paraId="62CA296E" w14:textId="4EECF766" w:rsidR="00C7376B" w:rsidRPr="00EA68A4" w:rsidRDefault="00605D8F" w:rsidP="00605D8F">
            <w:pPr>
              <w:rPr>
                <w:bCs/>
              </w:rPr>
            </w:pPr>
            <w:r w:rsidRPr="00EA68A4">
              <w:rPr>
                <w:bCs/>
              </w:rPr>
              <w:t>Implantation, revision or repositioning of tunneled intrathecal or epidural catheter, for long-term medication administration via an external pump or implantable reservoir/infusion pump; with laminectomy</w:t>
            </w:r>
          </w:p>
        </w:tc>
      </w:tr>
      <w:tr w:rsidR="00035DC0" w:rsidRPr="005144C0" w14:paraId="20D4EF96" w14:textId="77777777" w:rsidTr="00035DC0">
        <w:tc>
          <w:tcPr>
            <w:tcW w:w="1107" w:type="dxa"/>
          </w:tcPr>
          <w:p w14:paraId="53393C6C" w14:textId="77777777" w:rsidR="00035DC0" w:rsidRPr="00EA68A4" w:rsidRDefault="00035DC0" w:rsidP="00C10DF0">
            <w:pPr>
              <w:rPr>
                <w:bCs/>
              </w:rPr>
            </w:pPr>
            <w:r w:rsidRPr="00EA68A4">
              <w:rPr>
                <w:bCs/>
              </w:rPr>
              <w:t>62355</w:t>
            </w:r>
          </w:p>
        </w:tc>
        <w:tc>
          <w:tcPr>
            <w:tcW w:w="7817" w:type="dxa"/>
          </w:tcPr>
          <w:p w14:paraId="55CFD2C0" w14:textId="77777777" w:rsidR="00035DC0" w:rsidRPr="00EA68A4" w:rsidRDefault="00035DC0" w:rsidP="00C10DF0">
            <w:pPr>
              <w:rPr>
                <w:bCs/>
              </w:rPr>
            </w:pPr>
            <w:r w:rsidRPr="00EA68A4">
              <w:rPr>
                <w:bCs/>
              </w:rPr>
              <w:t>Removal of previously implanted intrathecal or epidural catheter</w:t>
            </w:r>
          </w:p>
        </w:tc>
      </w:tr>
      <w:tr w:rsidR="00CE01F9" w:rsidRPr="005144C0" w14:paraId="7421D3C5" w14:textId="77777777" w:rsidTr="00035DC0">
        <w:trPr>
          <w:trHeight w:val="638"/>
        </w:trPr>
        <w:tc>
          <w:tcPr>
            <w:tcW w:w="1107" w:type="dxa"/>
          </w:tcPr>
          <w:p w14:paraId="23F80D2F" w14:textId="77777777" w:rsidR="00CE01F9" w:rsidRPr="00EA68A4" w:rsidRDefault="00CE01F9" w:rsidP="00C10DF0">
            <w:pPr>
              <w:rPr>
                <w:bCs/>
              </w:rPr>
            </w:pPr>
            <w:r w:rsidRPr="00EA68A4">
              <w:rPr>
                <w:bCs/>
              </w:rPr>
              <w:t>62360</w:t>
            </w:r>
          </w:p>
        </w:tc>
        <w:tc>
          <w:tcPr>
            <w:tcW w:w="7817" w:type="dxa"/>
          </w:tcPr>
          <w:p w14:paraId="7E1E86AF" w14:textId="36BCC08D" w:rsidR="00CE01F9" w:rsidRPr="00EA68A4" w:rsidRDefault="00492F45" w:rsidP="00C10DF0">
            <w:pPr>
              <w:rPr>
                <w:bCs/>
              </w:rPr>
            </w:pPr>
            <w:r w:rsidRPr="00EA68A4">
              <w:rPr>
                <w:bCs/>
              </w:rPr>
              <w:t>Implantation or replacement of device for intrathecal or epidural drug infusion; subcutaneous reservoir</w:t>
            </w:r>
          </w:p>
        </w:tc>
      </w:tr>
      <w:tr w:rsidR="00605D8F" w:rsidRPr="00EA68A4" w14:paraId="0ADECFFA" w14:textId="77777777" w:rsidTr="00035DC0">
        <w:trPr>
          <w:trHeight w:val="638"/>
        </w:trPr>
        <w:tc>
          <w:tcPr>
            <w:tcW w:w="1107" w:type="dxa"/>
          </w:tcPr>
          <w:p w14:paraId="034D51A1" w14:textId="20DD6038" w:rsidR="00605D8F" w:rsidRPr="00EA68A4" w:rsidRDefault="00605D8F" w:rsidP="00C10DF0">
            <w:pPr>
              <w:rPr>
                <w:bCs/>
              </w:rPr>
            </w:pPr>
            <w:r w:rsidRPr="00EA68A4">
              <w:rPr>
                <w:bCs/>
              </w:rPr>
              <w:t>62361</w:t>
            </w:r>
          </w:p>
        </w:tc>
        <w:tc>
          <w:tcPr>
            <w:tcW w:w="7817" w:type="dxa"/>
          </w:tcPr>
          <w:p w14:paraId="4841441C" w14:textId="5D47761F" w:rsidR="00605D8F" w:rsidRPr="00EA68A4" w:rsidRDefault="00605D8F" w:rsidP="00C10DF0">
            <w:pPr>
              <w:rPr>
                <w:bCs/>
              </w:rPr>
            </w:pPr>
            <w:r w:rsidRPr="00EA68A4">
              <w:rPr>
                <w:bCs/>
              </w:rPr>
              <w:t>Implantation or replacement of device for intrathecal or epidural drug infusion; nonprogrammable pump</w:t>
            </w:r>
          </w:p>
        </w:tc>
      </w:tr>
      <w:tr w:rsidR="00CE01F9" w:rsidRPr="00EA68A4" w14:paraId="045A7439" w14:textId="77777777" w:rsidTr="00035DC0">
        <w:tc>
          <w:tcPr>
            <w:tcW w:w="1107" w:type="dxa"/>
          </w:tcPr>
          <w:p w14:paraId="50C6117E" w14:textId="77777777" w:rsidR="00CE01F9" w:rsidRPr="00EA68A4" w:rsidRDefault="00CE01F9" w:rsidP="00C10DF0">
            <w:pPr>
              <w:rPr>
                <w:bCs/>
              </w:rPr>
            </w:pPr>
            <w:r w:rsidRPr="00EA68A4">
              <w:rPr>
                <w:bCs/>
              </w:rPr>
              <w:t>62362</w:t>
            </w:r>
          </w:p>
        </w:tc>
        <w:tc>
          <w:tcPr>
            <w:tcW w:w="7817" w:type="dxa"/>
          </w:tcPr>
          <w:p w14:paraId="599A0263" w14:textId="77777777" w:rsidR="00CE01F9" w:rsidRPr="00EA68A4" w:rsidRDefault="00492F45" w:rsidP="00C10DF0">
            <w:pPr>
              <w:rPr>
                <w:bCs/>
              </w:rPr>
            </w:pPr>
            <w:r w:rsidRPr="00EA68A4">
              <w:rPr>
                <w:bCs/>
              </w:rPr>
              <w:t>Implantation or replacement of device for intrathecal or epidural drug infusion; programmable pump, including preparation of pump, with or without programming</w:t>
            </w:r>
          </w:p>
        </w:tc>
      </w:tr>
      <w:tr w:rsidR="00BE3B73" w:rsidRPr="00EA68A4" w14:paraId="35D3C8CF" w14:textId="77777777" w:rsidTr="00035DC0">
        <w:tc>
          <w:tcPr>
            <w:tcW w:w="1107" w:type="dxa"/>
          </w:tcPr>
          <w:p w14:paraId="1D296389" w14:textId="77777777" w:rsidR="00BE3B73" w:rsidRPr="00EA68A4" w:rsidRDefault="00BE3B73" w:rsidP="00C10DF0">
            <w:pPr>
              <w:rPr>
                <w:bCs/>
              </w:rPr>
            </w:pPr>
            <w:r w:rsidRPr="00EA68A4">
              <w:rPr>
                <w:bCs/>
              </w:rPr>
              <w:lastRenderedPageBreak/>
              <w:t>62365</w:t>
            </w:r>
          </w:p>
        </w:tc>
        <w:tc>
          <w:tcPr>
            <w:tcW w:w="7817" w:type="dxa"/>
          </w:tcPr>
          <w:p w14:paraId="57DC346B" w14:textId="77777777" w:rsidR="00BE3B73" w:rsidRPr="00EA68A4" w:rsidRDefault="00BE3B73" w:rsidP="00C10DF0">
            <w:pPr>
              <w:rPr>
                <w:bCs/>
              </w:rPr>
            </w:pPr>
            <w:r w:rsidRPr="00EA68A4">
              <w:rPr>
                <w:bCs/>
              </w:rPr>
              <w:t>Removal of subcutaneous reservoir or pump, previously implanted for intrathecal or epidural infusion</w:t>
            </w:r>
          </w:p>
        </w:tc>
      </w:tr>
      <w:tr w:rsidR="00492F45" w:rsidRPr="00EA68A4" w14:paraId="02E912D6" w14:textId="77777777" w:rsidTr="00035DC0">
        <w:tc>
          <w:tcPr>
            <w:tcW w:w="1107" w:type="dxa"/>
          </w:tcPr>
          <w:p w14:paraId="18CB822C" w14:textId="77777777" w:rsidR="00492F45" w:rsidRPr="00EA68A4" w:rsidRDefault="00492F45" w:rsidP="00C10DF0">
            <w:pPr>
              <w:rPr>
                <w:bCs/>
              </w:rPr>
            </w:pPr>
            <w:r w:rsidRPr="00EA68A4">
              <w:rPr>
                <w:bCs/>
              </w:rPr>
              <w:t>62367</w:t>
            </w:r>
          </w:p>
        </w:tc>
        <w:tc>
          <w:tcPr>
            <w:tcW w:w="7817" w:type="dxa"/>
          </w:tcPr>
          <w:p w14:paraId="524D84B6" w14:textId="77777777" w:rsidR="00492F45" w:rsidRPr="00EA68A4" w:rsidRDefault="00492F45" w:rsidP="00C10DF0">
            <w:pPr>
              <w:rPr>
                <w:bCs/>
              </w:rPr>
            </w:pPr>
            <w:r w:rsidRPr="00EA68A4">
              <w:rPr>
                <w:bCs/>
              </w:rPr>
              <w:t>Electronic analysis of programmable, implanted pump for intrathecal or epidural drug infusion (includes evaluation of reservoir status, alarm status, drug prescription status); without reprogramming or refill</w:t>
            </w:r>
          </w:p>
        </w:tc>
      </w:tr>
      <w:tr w:rsidR="00492F45" w:rsidRPr="00EA68A4" w14:paraId="39C86B59" w14:textId="77777777" w:rsidTr="00035DC0">
        <w:tc>
          <w:tcPr>
            <w:tcW w:w="1107" w:type="dxa"/>
          </w:tcPr>
          <w:p w14:paraId="4284519E" w14:textId="77777777" w:rsidR="00492F45" w:rsidRPr="00EA68A4" w:rsidRDefault="00492F45" w:rsidP="00C10DF0">
            <w:pPr>
              <w:rPr>
                <w:bCs/>
              </w:rPr>
            </w:pPr>
            <w:r w:rsidRPr="00EA68A4">
              <w:rPr>
                <w:bCs/>
              </w:rPr>
              <w:t>62368</w:t>
            </w:r>
          </w:p>
        </w:tc>
        <w:tc>
          <w:tcPr>
            <w:tcW w:w="7817" w:type="dxa"/>
          </w:tcPr>
          <w:p w14:paraId="693BE4E1" w14:textId="77777777" w:rsidR="00492F45" w:rsidRPr="00EA68A4" w:rsidRDefault="00492F45" w:rsidP="00C10DF0">
            <w:pPr>
              <w:rPr>
                <w:bCs/>
              </w:rPr>
            </w:pPr>
            <w:r w:rsidRPr="00EA68A4">
              <w:rPr>
                <w:bCs/>
              </w:rPr>
              <w:t>Electronic analysis of programmable, implanted pump for intrathecal or epidural drug infusion (includes evaluation of reservoir status, alarm status, drug prescription status); with reprogramming</w:t>
            </w:r>
          </w:p>
        </w:tc>
      </w:tr>
      <w:tr w:rsidR="00492F45" w:rsidRPr="00EA68A4" w14:paraId="2D62F71B" w14:textId="77777777" w:rsidTr="00035DC0">
        <w:tc>
          <w:tcPr>
            <w:tcW w:w="1107" w:type="dxa"/>
          </w:tcPr>
          <w:p w14:paraId="58CB067A" w14:textId="77777777" w:rsidR="00492F45" w:rsidRPr="00EA68A4" w:rsidRDefault="00492F45" w:rsidP="00C10DF0">
            <w:pPr>
              <w:rPr>
                <w:bCs/>
              </w:rPr>
            </w:pPr>
            <w:r w:rsidRPr="00EA68A4">
              <w:rPr>
                <w:bCs/>
              </w:rPr>
              <w:t>62369</w:t>
            </w:r>
          </w:p>
        </w:tc>
        <w:tc>
          <w:tcPr>
            <w:tcW w:w="7817" w:type="dxa"/>
          </w:tcPr>
          <w:p w14:paraId="7FC46BA8" w14:textId="77777777" w:rsidR="00492F45" w:rsidRPr="00EA68A4" w:rsidRDefault="00492F45" w:rsidP="00C10DF0">
            <w:pPr>
              <w:rPr>
                <w:bCs/>
              </w:rPr>
            </w:pPr>
            <w:r w:rsidRPr="00EA68A4">
              <w:rPr>
                <w:bCs/>
              </w:rPr>
              <w:t>Electronic analysis of programmable, implanted pump for intrathecal or epidural drug infusion (includes evaluation of reservoir status, alarm status, drug prescription status); with reprogramming and refill</w:t>
            </w:r>
          </w:p>
        </w:tc>
      </w:tr>
      <w:tr w:rsidR="00492F45" w:rsidRPr="00EA68A4" w14:paraId="4C55697B" w14:textId="77777777" w:rsidTr="00035DC0">
        <w:tc>
          <w:tcPr>
            <w:tcW w:w="1107" w:type="dxa"/>
          </w:tcPr>
          <w:p w14:paraId="48AE9003" w14:textId="77777777" w:rsidR="00492F45" w:rsidRPr="00EA68A4" w:rsidRDefault="00492F45" w:rsidP="00C10DF0">
            <w:pPr>
              <w:rPr>
                <w:bCs/>
              </w:rPr>
            </w:pPr>
            <w:r w:rsidRPr="00EA68A4">
              <w:rPr>
                <w:bCs/>
              </w:rPr>
              <w:t>62370</w:t>
            </w:r>
          </w:p>
        </w:tc>
        <w:tc>
          <w:tcPr>
            <w:tcW w:w="7817" w:type="dxa"/>
          </w:tcPr>
          <w:p w14:paraId="6BD7AEAF" w14:textId="77777777" w:rsidR="00492F45" w:rsidRPr="00EA68A4" w:rsidRDefault="00492F45" w:rsidP="00C10DF0">
            <w:pPr>
              <w:rPr>
                <w:bCs/>
              </w:rPr>
            </w:pPr>
            <w:r w:rsidRPr="00EA68A4">
              <w:rPr>
                <w:bCs/>
              </w:rPr>
              <w:t>Electronic analysis of programmable, implanted pump for intrathecal or epidural drug infusion (includes evaluation of reservoir status, alarm status, drug prescription status); with reprogramming and refill (requiring skill of a physician or other qualified health care professional)</w:t>
            </w:r>
          </w:p>
        </w:tc>
      </w:tr>
    </w:tbl>
    <w:p w14:paraId="1A2D148D" w14:textId="77777777" w:rsidR="00AF5490" w:rsidRPr="00EA68A4" w:rsidRDefault="00AF5490" w:rsidP="00AF5490"/>
    <w:tbl>
      <w:tblPr>
        <w:tblStyle w:val="TableGrid"/>
        <w:tblW w:w="4772" w:type="pct"/>
        <w:tblLook w:val="0020" w:firstRow="1" w:lastRow="0" w:firstColumn="0" w:lastColumn="0" w:noHBand="0" w:noVBand="0"/>
      </w:tblPr>
      <w:tblGrid>
        <w:gridCol w:w="1127"/>
        <w:gridCol w:w="7797"/>
      </w:tblGrid>
      <w:tr w:rsidR="003F3D44" w:rsidRPr="00EA68A4" w14:paraId="26076093" w14:textId="77777777" w:rsidTr="00035DC0">
        <w:trPr>
          <w:tblHeader/>
        </w:trPr>
        <w:tc>
          <w:tcPr>
            <w:tcW w:w="1127" w:type="dxa"/>
            <w:shd w:val="clear" w:color="auto" w:fill="00548C"/>
          </w:tcPr>
          <w:p w14:paraId="4E7A15DA" w14:textId="77777777" w:rsidR="003F3D44" w:rsidRPr="00EA68A4" w:rsidRDefault="003F3D44" w:rsidP="00556CBA">
            <w:pPr>
              <w:rPr>
                <w:b/>
                <w:bCs/>
                <w:color w:val="FFFFFF" w:themeColor="background1"/>
              </w:rPr>
            </w:pPr>
            <w:r w:rsidRPr="00EA68A4">
              <w:rPr>
                <w:b/>
                <w:color w:val="FFFFFF" w:themeColor="background1"/>
              </w:rPr>
              <w:t xml:space="preserve">HCPCS Codes </w:t>
            </w:r>
          </w:p>
        </w:tc>
        <w:tc>
          <w:tcPr>
            <w:tcW w:w="7797" w:type="dxa"/>
            <w:shd w:val="clear" w:color="auto" w:fill="00548C"/>
          </w:tcPr>
          <w:p w14:paraId="3CA5219D" w14:textId="77777777" w:rsidR="003F3D44" w:rsidRPr="00EA68A4" w:rsidRDefault="003F3D44" w:rsidP="00556CBA">
            <w:pPr>
              <w:rPr>
                <w:b/>
                <w:bCs/>
                <w:color w:val="FFFFFF" w:themeColor="background1"/>
              </w:rPr>
            </w:pPr>
            <w:r w:rsidRPr="00EA68A4">
              <w:rPr>
                <w:b/>
                <w:color w:val="FFFFFF" w:themeColor="background1"/>
              </w:rPr>
              <w:t>Description</w:t>
            </w:r>
          </w:p>
        </w:tc>
      </w:tr>
      <w:tr w:rsidR="003F3D44" w:rsidRPr="00EA68A4" w14:paraId="2C045847" w14:textId="77777777" w:rsidTr="00035DC0">
        <w:tc>
          <w:tcPr>
            <w:tcW w:w="1127" w:type="dxa"/>
          </w:tcPr>
          <w:p w14:paraId="0410A765" w14:textId="77777777" w:rsidR="003F3D44" w:rsidRPr="00EA68A4" w:rsidRDefault="00CE01F9" w:rsidP="00556CBA">
            <w:pPr>
              <w:rPr>
                <w:bCs/>
              </w:rPr>
            </w:pPr>
            <w:r w:rsidRPr="00EA68A4">
              <w:rPr>
                <w:bCs/>
              </w:rPr>
              <w:t>A4300</w:t>
            </w:r>
          </w:p>
        </w:tc>
        <w:tc>
          <w:tcPr>
            <w:tcW w:w="7797" w:type="dxa"/>
          </w:tcPr>
          <w:p w14:paraId="0DF285D1" w14:textId="77777777" w:rsidR="003F3D44" w:rsidRPr="00EA68A4" w:rsidRDefault="009433B4" w:rsidP="00556CBA">
            <w:pPr>
              <w:rPr>
                <w:bCs/>
              </w:rPr>
            </w:pPr>
            <w:r w:rsidRPr="00EA68A4">
              <w:rPr>
                <w:bCs/>
              </w:rPr>
              <w:t>Implantable access catheter, (e.g., venous, arterial, epidural subarachnoid, or peritoneal, etc.) external access</w:t>
            </w:r>
          </w:p>
        </w:tc>
      </w:tr>
      <w:tr w:rsidR="00CE01F9" w:rsidRPr="00EA68A4" w14:paraId="731C38AE" w14:textId="77777777" w:rsidTr="00035DC0">
        <w:tc>
          <w:tcPr>
            <w:tcW w:w="1127" w:type="dxa"/>
          </w:tcPr>
          <w:p w14:paraId="3DBB5BDB" w14:textId="77777777" w:rsidR="00CE01F9" w:rsidRPr="00EA68A4" w:rsidRDefault="00CE01F9" w:rsidP="00556CBA">
            <w:pPr>
              <w:rPr>
                <w:bCs/>
              </w:rPr>
            </w:pPr>
            <w:r w:rsidRPr="00EA68A4">
              <w:rPr>
                <w:bCs/>
              </w:rPr>
              <w:t>A4301</w:t>
            </w:r>
          </w:p>
        </w:tc>
        <w:tc>
          <w:tcPr>
            <w:tcW w:w="7797" w:type="dxa"/>
          </w:tcPr>
          <w:p w14:paraId="57BFC603" w14:textId="77777777" w:rsidR="00CE01F9" w:rsidRPr="00EA68A4" w:rsidRDefault="009433B4" w:rsidP="00556CBA">
            <w:pPr>
              <w:rPr>
                <w:bCs/>
              </w:rPr>
            </w:pPr>
            <w:r w:rsidRPr="00EA68A4">
              <w:rPr>
                <w:bCs/>
              </w:rPr>
              <w:t>Implantable access total catheter, port/reservoir (e.g., venous, arterial, epidural, subarachnoid, peritoneal, etc.)</w:t>
            </w:r>
          </w:p>
        </w:tc>
      </w:tr>
      <w:tr w:rsidR="00552376" w:rsidRPr="00EA68A4" w14:paraId="7AFCEC2A" w14:textId="77777777" w:rsidTr="00035DC0">
        <w:tc>
          <w:tcPr>
            <w:tcW w:w="1127" w:type="dxa"/>
          </w:tcPr>
          <w:p w14:paraId="1CB75204" w14:textId="77777777" w:rsidR="00552376" w:rsidRPr="00EA68A4" w:rsidRDefault="00552376" w:rsidP="00556CBA">
            <w:pPr>
              <w:rPr>
                <w:bCs/>
              </w:rPr>
            </w:pPr>
            <w:r w:rsidRPr="00EA68A4">
              <w:rPr>
                <w:bCs/>
              </w:rPr>
              <w:t>E0782</w:t>
            </w:r>
          </w:p>
        </w:tc>
        <w:tc>
          <w:tcPr>
            <w:tcW w:w="7797" w:type="dxa"/>
          </w:tcPr>
          <w:p w14:paraId="3FD21F05" w14:textId="77777777" w:rsidR="00552376" w:rsidRPr="00EA68A4" w:rsidRDefault="003E7A81" w:rsidP="00556CBA">
            <w:pPr>
              <w:rPr>
                <w:bCs/>
              </w:rPr>
            </w:pPr>
            <w:r w:rsidRPr="00EA68A4">
              <w:rPr>
                <w:bCs/>
              </w:rPr>
              <w:t>Infusion pump, implantable, nonprogrammable (includes all components, e.g., pump, catheter, connectors, etc.)</w:t>
            </w:r>
          </w:p>
        </w:tc>
      </w:tr>
      <w:tr w:rsidR="00552376" w:rsidRPr="00EA68A4" w14:paraId="32B084BA" w14:textId="77777777" w:rsidTr="00035DC0">
        <w:tc>
          <w:tcPr>
            <w:tcW w:w="1127" w:type="dxa"/>
          </w:tcPr>
          <w:p w14:paraId="53FCEFEF" w14:textId="77777777" w:rsidR="00552376" w:rsidRPr="00EA68A4" w:rsidRDefault="00552376" w:rsidP="00556CBA">
            <w:pPr>
              <w:rPr>
                <w:bCs/>
              </w:rPr>
            </w:pPr>
            <w:r w:rsidRPr="00EA68A4">
              <w:rPr>
                <w:bCs/>
              </w:rPr>
              <w:t>E0783</w:t>
            </w:r>
          </w:p>
        </w:tc>
        <w:tc>
          <w:tcPr>
            <w:tcW w:w="7797" w:type="dxa"/>
          </w:tcPr>
          <w:p w14:paraId="298D7439" w14:textId="77777777" w:rsidR="00552376" w:rsidRPr="00EA68A4" w:rsidRDefault="009433B4" w:rsidP="009433B4">
            <w:pPr>
              <w:rPr>
                <w:bCs/>
              </w:rPr>
            </w:pPr>
            <w:r w:rsidRPr="00EA68A4">
              <w:rPr>
                <w:bCs/>
              </w:rPr>
              <w:t xml:space="preserve">Infusion pump system, implantable, programmable (includes all components, e.g., pump, catheter, connectors, etc.) </w:t>
            </w:r>
          </w:p>
        </w:tc>
      </w:tr>
      <w:tr w:rsidR="00552376" w:rsidRPr="00EA68A4" w14:paraId="317D4BFF" w14:textId="77777777" w:rsidTr="00035DC0">
        <w:tc>
          <w:tcPr>
            <w:tcW w:w="1127" w:type="dxa"/>
          </w:tcPr>
          <w:p w14:paraId="38E09B21" w14:textId="77777777" w:rsidR="00552376" w:rsidRPr="00EA68A4" w:rsidRDefault="00552376" w:rsidP="00556CBA">
            <w:pPr>
              <w:rPr>
                <w:bCs/>
              </w:rPr>
            </w:pPr>
            <w:r w:rsidRPr="00EA68A4">
              <w:rPr>
                <w:bCs/>
              </w:rPr>
              <w:t>E0785</w:t>
            </w:r>
          </w:p>
        </w:tc>
        <w:tc>
          <w:tcPr>
            <w:tcW w:w="7797" w:type="dxa"/>
          </w:tcPr>
          <w:p w14:paraId="1BAC0660" w14:textId="77777777" w:rsidR="00552376" w:rsidRPr="00EA68A4" w:rsidRDefault="008C5245" w:rsidP="00556CBA">
            <w:pPr>
              <w:rPr>
                <w:bCs/>
              </w:rPr>
            </w:pPr>
            <w:r w:rsidRPr="00EA68A4">
              <w:rPr>
                <w:bCs/>
              </w:rPr>
              <w:t>Implantable intraspinal (epidural/intrathecal) catheter used with implantable infusion pump, replacement</w:t>
            </w:r>
          </w:p>
        </w:tc>
      </w:tr>
      <w:tr w:rsidR="00552376" w:rsidRPr="005144C0" w14:paraId="099BD60B" w14:textId="77777777" w:rsidTr="00035DC0">
        <w:tc>
          <w:tcPr>
            <w:tcW w:w="1127" w:type="dxa"/>
          </w:tcPr>
          <w:p w14:paraId="2ED9352D" w14:textId="77777777" w:rsidR="00552376" w:rsidRPr="00EA68A4" w:rsidRDefault="00552376" w:rsidP="00556CBA">
            <w:pPr>
              <w:rPr>
                <w:bCs/>
              </w:rPr>
            </w:pPr>
            <w:r w:rsidRPr="00EA68A4">
              <w:rPr>
                <w:bCs/>
              </w:rPr>
              <w:t>E0786</w:t>
            </w:r>
          </w:p>
        </w:tc>
        <w:tc>
          <w:tcPr>
            <w:tcW w:w="7797" w:type="dxa"/>
          </w:tcPr>
          <w:p w14:paraId="5DD9DA62" w14:textId="77777777" w:rsidR="00552376" w:rsidRPr="00EA68A4" w:rsidRDefault="008C5245" w:rsidP="00556CBA">
            <w:pPr>
              <w:rPr>
                <w:bCs/>
              </w:rPr>
            </w:pPr>
            <w:r w:rsidRPr="00EA68A4">
              <w:rPr>
                <w:bCs/>
              </w:rPr>
              <w:t>Implantable programmable infusion pump, replacement (excludes implantable intraspinal catheter)</w:t>
            </w:r>
          </w:p>
        </w:tc>
      </w:tr>
      <w:tr w:rsidR="00035DC0" w:rsidRPr="005144C0" w14:paraId="0D9E64CB" w14:textId="77777777" w:rsidTr="00035DC0">
        <w:tc>
          <w:tcPr>
            <w:tcW w:w="1127" w:type="dxa"/>
          </w:tcPr>
          <w:p w14:paraId="3A6F21D0" w14:textId="77777777" w:rsidR="00035DC0" w:rsidRDefault="00035DC0" w:rsidP="00556CBA">
            <w:pPr>
              <w:rPr>
                <w:bCs/>
              </w:rPr>
            </w:pPr>
            <w:r>
              <w:rPr>
                <w:bCs/>
              </w:rPr>
              <w:t>C1772</w:t>
            </w:r>
          </w:p>
        </w:tc>
        <w:tc>
          <w:tcPr>
            <w:tcW w:w="7797" w:type="dxa"/>
          </w:tcPr>
          <w:p w14:paraId="5470FCC8" w14:textId="77777777" w:rsidR="00035DC0" w:rsidRDefault="00035DC0" w:rsidP="00556CBA">
            <w:pPr>
              <w:rPr>
                <w:bCs/>
              </w:rPr>
            </w:pPr>
            <w:r w:rsidRPr="00035DC0">
              <w:rPr>
                <w:bCs/>
              </w:rPr>
              <w:t>Infusion pump, programmable (implantable)</w:t>
            </w:r>
          </w:p>
        </w:tc>
      </w:tr>
      <w:tr w:rsidR="008C5245" w:rsidRPr="005144C0" w14:paraId="3FCF9D1D" w14:textId="77777777" w:rsidTr="00035DC0">
        <w:tc>
          <w:tcPr>
            <w:tcW w:w="1127" w:type="dxa"/>
          </w:tcPr>
          <w:p w14:paraId="108D74F3" w14:textId="77777777" w:rsidR="008C5245" w:rsidRDefault="008C5245" w:rsidP="00556CBA">
            <w:pPr>
              <w:rPr>
                <w:bCs/>
              </w:rPr>
            </w:pPr>
            <w:r>
              <w:rPr>
                <w:bCs/>
              </w:rPr>
              <w:t>C1755</w:t>
            </w:r>
          </w:p>
        </w:tc>
        <w:tc>
          <w:tcPr>
            <w:tcW w:w="7797" w:type="dxa"/>
          </w:tcPr>
          <w:p w14:paraId="1DCC4068" w14:textId="77777777" w:rsidR="008C5245" w:rsidRPr="00035DC0" w:rsidRDefault="008C5245" w:rsidP="00556CBA">
            <w:pPr>
              <w:rPr>
                <w:bCs/>
              </w:rPr>
            </w:pPr>
            <w:r w:rsidRPr="008C5245">
              <w:rPr>
                <w:bCs/>
              </w:rPr>
              <w:t>Catheter, intraspinal</w:t>
            </w:r>
          </w:p>
        </w:tc>
      </w:tr>
      <w:tr w:rsidR="008C5245" w:rsidRPr="005144C0" w14:paraId="5BDB7F9F" w14:textId="77777777" w:rsidTr="00035DC0">
        <w:tc>
          <w:tcPr>
            <w:tcW w:w="1127" w:type="dxa"/>
          </w:tcPr>
          <w:p w14:paraId="1ACB3861" w14:textId="77777777" w:rsidR="008C5245" w:rsidRDefault="008C5245" w:rsidP="008C5245">
            <w:pPr>
              <w:rPr>
                <w:bCs/>
              </w:rPr>
            </w:pPr>
            <w:r>
              <w:rPr>
                <w:bCs/>
              </w:rPr>
              <w:t>J2274</w:t>
            </w:r>
          </w:p>
        </w:tc>
        <w:tc>
          <w:tcPr>
            <w:tcW w:w="7797" w:type="dxa"/>
          </w:tcPr>
          <w:p w14:paraId="013EA8B9" w14:textId="77777777" w:rsidR="008C5245" w:rsidRPr="008C5245" w:rsidRDefault="008C5245" w:rsidP="00556CBA">
            <w:pPr>
              <w:rPr>
                <w:bCs/>
              </w:rPr>
            </w:pPr>
            <w:r>
              <w:rPr>
                <w:bCs/>
              </w:rPr>
              <w:t>I</w:t>
            </w:r>
            <w:r w:rsidRPr="008C5245">
              <w:rPr>
                <w:bCs/>
              </w:rPr>
              <w:t>njection, morphine sulfate, preservative free for epidural or intrathecal use, 10 mg</w:t>
            </w:r>
          </w:p>
        </w:tc>
      </w:tr>
      <w:tr w:rsidR="008C5245" w:rsidRPr="005144C0" w14:paraId="5819C4D6" w14:textId="77777777" w:rsidTr="00035DC0">
        <w:tc>
          <w:tcPr>
            <w:tcW w:w="1127" w:type="dxa"/>
          </w:tcPr>
          <w:p w14:paraId="0EBBDC5E" w14:textId="77777777" w:rsidR="008C5245" w:rsidRDefault="008C5245" w:rsidP="00556CBA">
            <w:pPr>
              <w:rPr>
                <w:bCs/>
              </w:rPr>
            </w:pPr>
            <w:r>
              <w:rPr>
                <w:bCs/>
              </w:rPr>
              <w:t>S0093</w:t>
            </w:r>
          </w:p>
        </w:tc>
        <w:tc>
          <w:tcPr>
            <w:tcW w:w="7797" w:type="dxa"/>
          </w:tcPr>
          <w:p w14:paraId="5801CCC7" w14:textId="77777777" w:rsidR="008C5245" w:rsidRPr="008C5245" w:rsidRDefault="008C5245" w:rsidP="00556CBA">
            <w:pPr>
              <w:rPr>
                <w:bCs/>
              </w:rPr>
            </w:pPr>
            <w:r w:rsidRPr="008C5245">
              <w:rPr>
                <w:bCs/>
              </w:rPr>
              <w:t>Injection, morphine sulfate, 500 mg (loading dose for infusion pump)</w:t>
            </w:r>
          </w:p>
        </w:tc>
      </w:tr>
    </w:tbl>
    <w:p w14:paraId="6FA117B6" w14:textId="77777777" w:rsidR="003F3D44" w:rsidRDefault="003F3D44" w:rsidP="00AF5490"/>
    <w:p w14:paraId="6C82FEE0" w14:textId="77777777" w:rsidR="00350F22" w:rsidRDefault="00350F22" w:rsidP="00AF5490"/>
    <w:tbl>
      <w:tblPr>
        <w:tblStyle w:val="LightList-Accent1"/>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280"/>
        <w:gridCol w:w="1170"/>
        <w:gridCol w:w="1198"/>
      </w:tblGrid>
      <w:tr w:rsidR="00B777AF" w:rsidRPr="00B777AF" w14:paraId="113474F1" w14:textId="77777777" w:rsidTr="00326BF6">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280" w:type="dxa"/>
            <w:tcBorders>
              <w:left w:val="none" w:sz="0" w:space="0" w:color="auto"/>
              <w:right w:val="none" w:sz="0" w:space="0" w:color="auto"/>
            </w:tcBorders>
            <w:shd w:val="clear" w:color="auto" w:fill="00548C"/>
          </w:tcPr>
          <w:p w14:paraId="7878D780" w14:textId="77777777" w:rsidR="00B777AF" w:rsidRPr="00B777AF" w:rsidRDefault="00B777AF" w:rsidP="00B777AF">
            <w:pPr>
              <w:rPr>
                <w:bCs w:val="0"/>
              </w:rPr>
            </w:pPr>
            <w:bookmarkStart w:id="7" w:name="Revision_Log"/>
            <w:r w:rsidRPr="00B777AF">
              <w:rPr>
                <w:bCs w:val="0"/>
              </w:rPr>
              <w:t>Reviews</w:t>
            </w:r>
            <w:r>
              <w:rPr>
                <w:bCs w:val="0"/>
              </w:rPr>
              <w:t>, Revisions, and Approvals</w:t>
            </w:r>
            <w:bookmarkEnd w:id="7"/>
          </w:p>
        </w:tc>
        <w:tc>
          <w:tcPr>
            <w:tcW w:w="1170" w:type="dxa"/>
            <w:shd w:val="clear" w:color="auto" w:fill="00548C"/>
          </w:tcPr>
          <w:p w14:paraId="4EF03AB7" w14:textId="249B1BE7" w:rsidR="00B777AF" w:rsidRPr="00B777AF" w:rsidRDefault="00326BF6" w:rsidP="005776FD">
            <w:pPr>
              <w:jc w:val="center"/>
              <w:cnfStyle w:val="100000000000" w:firstRow="1" w:lastRow="0" w:firstColumn="0" w:lastColumn="0" w:oddVBand="0" w:evenVBand="0" w:oddHBand="0" w:evenHBand="0" w:firstRowFirstColumn="0" w:firstRowLastColumn="0" w:lastRowFirstColumn="0" w:lastRowLastColumn="0"/>
              <w:rPr>
                <w:bCs w:val="0"/>
              </w:rPr>
            </w:pPr>
            <w:r>
              <w:rPr>
                <w:bCs w:val="0"/>
              </w:rPr>
              <w:t xml:space="preserve">Revision </w:t>
            </w:r>
            <w:r w:rsidR="00B777AF"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198" w:type="dxa"/>
            <w:tcBorders>
              <w:left w:val="none" w:sz="0" w:space="0" w:color="auto"/>
              <w:right w:val="none" w:sz="0" w:space="0" w:color="auto"/>
            </w:tcBorders>
            <w:shd w:val="clear" w:color="auto" w:fill="00548C"/>
          </w:tcPr>
          <w:p w14:paraId="71096A00" w14:textId="77777777" w:rsidR="00B777AF" w:rsidRPr="00B777AF" w:rsidRDefault="001818D7" w:rsidP="00857C10">
            <w:pPr>
              <w:jc w:val="center"/>
              <w:rPr>
                <w:bCs w:val="0"/>
              </w:rPr>
            </w:pPr>
            <w:r>
              <w:rPr>
                <w:bCs w:val="0"/>
              </w:rPr>
              <w:t>Approval</w:t>
            </w:r>
            <w:r w:rsidR="00B777AF" w:rsidRPr="00B777AF">
              <w:rPr>
                <w:bCs w:val="0"/>
              </w:rPr>
              <w:t xml:space="preserve"> Date</w:t>
            </w:r>
          </w:p>
        </w:tc>
      </w:tr>
      <w:tr w:rsidR="00B777AF" w14:paraId="7E793F3E" w14:textId="77777777" w:rsidTr="00326BF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Borders>
              <w:top w:val="none" w:sz="0" w:space="0" w:color="auto"/>
              <w:left w:val="none" w:sz="0" w:space="0" w:color="auto"/>
              <w:bottom w:val="none" w:sz="0" w:space="0" w:color="auto"/>
              <w:right w:val="none" w:sz="0" w:space="0" w:color="auto"/>
            </w:tcBorders>
          </w:tcPr>
          <w:p w14:paraId="24770D9B" w14:textId="73F54745" w:rsidR="00B777AF" w:rsidRDefault="001B14EC" w:rsidP="001B14EC">
            <w:pPr>
              <w:tabs>
                <w:tab w:val="num" w:pos="720"/>
              </w:tabs>
            </w:pPr>
            <w:r>
              <w:t>Policy developed</w:t>
            </w:r>
            <w:r w:rsidR="00C77DCD">
              <w:t>.  Specialist reviewed.</w:t>
            </w:r>
          </w:p>
        </w:tc>
        <w:tc>
          <w:tcPr>
            <w:tcW w:w="1170" w:type="dxa"/>
            <w:tcBorders>
              <w:top w:val="none" w:sz="0" w:space="0" w:color="auto"/>
              <w:bottom w:val="none" w:sz="0" w:space="0" w:color="auto"/>
            </w:tcBorders>
          </w:tcPr>
          <w:p w14:paraId="0651B4CD" w14:textId="77777777" w:rsidR="00B777AF" w:rsidRDefault="000B6A0F" w:rsidP="000B6A0F">
            <w:pPr>
              <w:jc w:val="center"/>
              <w:cnfStyle w:val="000000100000" w:firstRow="0" w:lastRow="0" w:firstColumn="0" w:lastColumn="0" w:oddVBand="0" w:evenVBand="0" w:oddHBand="1" w:evenHBand="0" w:firstRowFirstColumn="0" w:firstRowLastColumn="0" w:lastRowFirstColumn="0" w:lastRowLastColumn="0"/>
            </w:pPr>
            <w:r>
              <w:t>02/19</w:t>
            </w:r>
          </w:p>
        </w:tc>
        <w:tc>
          <w:tcPr>
            <w:cnfStyle w:val="000010000000" w:firstRow="0" w:lastRow="0" w:firstColumn="0" w:lastColumn="0" w:oddVBand="1" w:evenVBand="0" w:oddHBand="0" w:evenHBand="0" w:firstRowFirstColumn="0" w:firstRowLastColumn="0" w:lastRowFirstColumn="0" w:lastRowLastColumn="0"/>
            <w:tcW w:w="1198" w:type="dxa"/>
            <w:tcBorders>
              <w:top w:val="none" w:sz="0" w:space="0" w:color="auto"/>
              <w:left w:val="none" w:sz="0" w:space="0" w:color="auto"/>
              <w:bottom w:val="none" w:sz="0" w:space="0" w:color="auto"/>
              <w:right w:val="none" w:sz="0" w:space="0" w:color="auto"/>
            </w:tcBorders>
          </w:tcPr>
          <w:p w14:paraId="0791C683" w14:textId="148D4B80" w:rsidR="00B777AF" w:rsidRDefault="006E2776" w:rsidP="00857C10">
            <w:pPr>
              <w:jc w:val="center"/>
            </w:pPr>
            <w:r>
              <w:t>02/19</w:t>
            </w:r>
          </w:p>
        </w:tc>
      </w:tr>
      <w:tr w:rsidR="001D07F5" w14:paraId="2292A70A" w14:textId="77777777" w:rsidTr="00326BF6">
        <w:tc>
          <w:tcPr>
            <w:cnfStyle w:val="000010000000" w:firstRow="0" w:lastRow="0" w:firstColumn="0" w:lastColumn="0" w:oddVBand="1" w:evenVBand="0" w:oddHBand="0" w:evenHBand="0" w:firstRowFirstColumn="0" w:firstRowLastColumn="0" w:lastRowFirstColumn="0" w:lastRowLastColumn="0"/>
            <w:tcW w:w="7280" w:type="dxa"/>
          </w:tcPr>
          <w:p w14:paraId="0E538969" w14:textId="5BC39A1C" w:rsidR="001D07F5" w:rsidRDefault="001B59D7" w:rsidP="001B59D7">
            <w:pPr>
              <w:tabs>
                <w:tab w:val="num" w:pos="720"/>
              </w:tabs>
            </w:pPr>
            <w:r>
              <w:t>Changed “no local infection at catheter site” in trial and permanent placement criteria to state “no active infection.” References reviewed and updated.</w:t>
            </w:r>
          </w:p>
        </w:tc>
        <w:tc>
          <w:tcPr>
            <w:tcW w:w="1170" w:type="dxa"/>
          </w:tcPr>
          <w:p w14:paraId="35CB4BB3" w14:textId="7E763E9B" w:rsidR="001D07F5" w:rsidRDefault="001D07F5" w:rsidP="000B6A0F">
            <w:pPr>
              <w:jc w:val="center"/>
              <w:cnfStyle w:val="000000000000" w:firstRow="0" w:lastRow="0" w:firstColumn="0" w:lastColumn="0" w:oddVBand="0" w:evenVBand="0" w:oddHBand="0" w:evenHBand="0" w:firstRowFirstColumn="0" w:firstRowLastColumn="0" w:lastRowFirstColumn="0" w:lastRowLastColumn="0"/>
            </w:pPr>
            <w:r>
              <w:t>01/20</w:t>
            </w:r>
          </w:p>
        </w:tc>
        <w:tc>
          <w:tcPr>
            <w:cnfStyle w:val="000010000000" w:firstRow="0" w:lastRow="0" w:firstColumn="0" w:lastColumn="0" w:oddVBand="1" w:evenVBand="0" w:oddHBand="0" w:evenHBand="0" w:firstRowFirstColumn="0" w:firstRowLastColumn="0" w:lastRowFirstColumn="0" w:lastRowLastColumn="0"/>
            <w:tcW w:w="1198" w:type="dxa"/>
          </w:tcPr>
          <w:p w14:paraId="5323E19A" w14:textId="39146D1A" w:rsidR="001D07F5" w:rsidRDefault="002D7171" w:rsidP="00857C10">
            <w:pPr>
              <w:jc w:val="center"/>
            </w:pPr>
            <w:r>
              <w:t>01/20</w:t>
            </w:r>
          </w:p>
        </w:tc>
      </w:tr>
      <w:tr w:rsidR="009C7C84" w14:paraId="2A6B1745" w14:textId="77777777" w:rsidTr="00326BF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61A7A202" w14:textId="5A510BFD" w:rsidR="009C7C84" w:rsidRDefault="00F90053" w:rsidP="00A40697">
            <w:pPr>
              <w:tabs>
                <w:tab w:val="num" w:pos="720"/>
              </w:tabs>
            </w:pPr>
            <w:r>
              <w:lastRenderedPageBreak/>
              <w:t>References reviewed and updated.  Added ICD-10 codes:  G90.511, G90.512, and G90.513.</w:t>
            </w:r>
            <w:r w:rsidR="0060066F">
              <w:t xml:space="preserve">  R</w:t>
            </w:r>
            <w:r>
              <w:t>eplaced “member” with “member/enrollee” in disclaimer.</w:t>
            </w:r>
          </w:p>
        </w:tc>
        <w:tc>
          <w:tcPr>
            <w:tcW w:w="1170" w:type="dxa"/>
          </w:tcPr>
          <w:p w14:paraId="76FF1C49" w14:textId="204961D0" w:rsidR="009C7C84" w:rsidRDefault="00F90053" w:rsidP="000B6A0F">
            <w:pPr>
              <w:jc w:val="center"/>
              <w:cnfStyle w:val="000000100000" w:firstRow="0" w:lastRow="0" w:firstColumn="0" w:lastColumn="0" w:oddVBand="0" w:evenVBand="0" w:oddHBand="1" w:evenHBand="0" w:firstRowFirstColumn="0" w:firstRowLastColumn="0" w:lastRowFirstColumn="0" w:lastRowLastColumn="0"/>
            </w:pPr>
            <w:r>
              <w:t>12/20</w:t>
            </w:r>
          </w:p>
        </w:tc>
        <w:tc>
          <w:tcPr>
            <w:cnfStyle w:val="000010000000" w:firstRow="0" w:lastRow="0" w:firstColumn="0" w:lastColumn="0" w:oddVBand="1" w:evenVBand="0" w:oddHBand="0" w:evenHBand="0" w:firstRowFirstColumn="0" w:firstRowLastColumn="0" w:lastRowFirstColumn="0" w:lastRowLastColumn="0"/>
            <w:tcW w:w="1198" w:type="dxa"/>
          </w:tcPr>
          <w:p w14:paraId="33ED1C80" w14:textId="7B70844A" w:rsidR="009C7C84" w:rsidRDefault="005F71A7" w:rsidP="00857C10">
            <w:pPr>
              <w:jc w:val="center"/>
            </w:pPr>
            <w:r>
              <w:t>01/21</w:t>
            </w:r>
          </w:p>
        </w:tc>
      </w:tr>
      <w:tr w:rsidR="00326BF6" w14:paraId="6ABBFC56" w14:textId="77777777" w:rsidTr="00326BF6">
        <w:tc>
          <w:tcPr>
            <w:cnfStyle w:val="000010000000" w:firstRow="0" w:lastRow="0" w:firstColumn="0" w:lastColumn="0" w:oddVBand="1" w:evenVBand="0" w:oddHBand="0" w:evenHBand="0" w:firstRowFirstColumn="0" w:firstRowLastColumn="0" w:lastRowFirstColumn="0" w:lastRowLastColumn="0"/>
            <w:tcW w:w="7280" w:type="dxa"/>
          </w:tcPr>
          <w:p w14:paraId="0E9F371A" w14:textId="53C12D98" w:rsidR="00326BF6" w:rsidRDefault="00D87C6F" w:rsidP="007744EB">
            <w:r>
              <w:t xml:space="preserve">Annual review. Reference reviewed, updated, and reformatted. </w:t>
            </w:r>
            <w:r w:rsidR="00E35975" w:rsidRPr="00E35975">
              <w:t>Changed “review date” in the header to “date of last revision” and “date” in the revision log header to “revision date.”</w:t>
            </w:r>
            <w:r w:rsidR="00E35975">
              <w:t xml:space="preserve"> Updated </w:t>
            </w:r>
            <w:r w:rsidR="009F4695">
              <w:t>“R</w:t>
            </w:r>
            <w:r w:rsidR="00E35975">
              <w:t>efer to</w:t>
            </w:r>
            <w:r w:rsidR="009F4695">
              <w:t>”</w:t>
            </w:r>
            <w:r w:rsidR="00E35975">
              <w:t xml:space="preserve"> note. In I. added “epidural or” intrathecal administration. In I.A.1. added </w:t>
            </w:r>
            <w:r w:rsidR="00E35975" w:rsidRPr="00E35975">
              <w:t xml:space="preserve">Inadequate response </w:t>
            </w:r>
            <w:r w:rsidR="00E35975">
              <w:t>“</w:t>
            </w:r>
            <w:r w:rsidR="00E35975" w:rsidRPr="00E35975">
              <w:t>to or intolerable side effects from</w:t>
            </w:r>
            <w:r w:rsidR="00E35975">
              <w:t xml:space="preserve">.” </w:t>
            </w:r>
            <w:r w:rsidR="00DC7047" w:rsidRPr="00DC7047">
              <w:t xml:space="preserve">II.A added when “the above criteria for” the preliminary trial is met “and the following: Body size is sufficient to support the weight and bulk of the device; No other implanted programmable devices for which the interaction between devices may inadvertently change the prescription; No known allergy or hypersensitivity to the drug being used.” II.A. added “Note: The trial requirement for a percutaneous intrathecal or epidural drug delivery system for pain of malignant origin may be reviewed on a case-by-case basis for instances of advanced disease, when survival time is limited, or considered high risk for procedures.” II.B added “when the above criteria for the preliminary trial is met and all of the following.” Removed duplicate criteria from II.B “no active infection.” Updated policy title from "Implantable Intrathecal Pain Pump" to </w:t>
            </w:r>
            <w:r w:rsidR="00DC7047">
              <w:t>“</w:t>
            </w:r>
            <w:r w:rsidR="00DC7047" w:rsidRPr="00DC7047">
              <w:t>Implantable Intrathecal or Epidural Pain Pump."</w:t>
            </w:r>
          </w:p>
        </w:tc>
        <w:tc>
          <w:tcPr>
            <w:tcW w:w="1170" w:type="dxa"/>
          </w:tcPr>
          <w:p w14:paraId="0D118829" w14:textId="625BF01E" w:rsidR="00326BF6" w:rsidRDefault="007744EB" w:rsidP="000B6A0F">
            <w:pPr>
              <w:jc w:val="center"/>
              <w:cnfStyle w:val="000000000000" w:firstRow="0" w:lastRow="0" w:firstColumn="0" w:lastColumn="0" w:oddVBand="0" w:evenVBand="0" w:oddHBand="0" w:evenHBand="0" w:firstRowFirstColumn="0" w:firstRowLastColumn="0" w:lastRowFirstColumn="0" w:lastRowLastColumn="0"/>
            </w:pPr>
            <w:r>
              <w:t>01/22</w:t>
            </w:r>
          </w:p>
        </w:tc>
        <w:tc>
          <w:tcPr>
            <w:cnfStyle w:val="000010000000" w:firstRow="0" w:lastRow="0" w:firstColumn="0" w:lastColumn="0" w:oddVBand="1" w:evenVBand="0" w:oddHBand="0" w:evenHBand="0" w:firstRowFirstColumn="0" w:firstRowLastColumn="0" w:lastRowFirstColumn="0" w:lastRowLastColumn="0"/>
            <w:tcW w:w="1198" w:type="dxa"/>
          </w:tcPr>
          <w:p w14:paraId="74A14AB5" w14:textId="28CE04E8" w:rsidR="00326BF6" w:rsidRDefault="006643D1" w:rsidP="00857C10">
            <w:pPr>
              <w:jc w:val="center"/>
            </w:pPr>
            <w:r>
              <w:t>01/22</w:t>
            </w:r>
          </w:p>
        </w:tc>
      </w:tr>
      <w:tr w:rsidR="00F05456" w14:paraId="367340D1" w14:textId="77777777" w:rsidTr="00326BF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0DB0DE05" w14:textId="49CF3AF2" w:rsidR="00F05456" w:rsidRDefault="004B65DA" w:rsidP="007744EB">
            <w:r>
              <w:t>Annual review.  References reviewed and updated.  ICD-10 code table removed</w:t>
            </w:r>
            <w:r w:rsidR="00B60BEE">
              <w:t xml:space="preserve">. Minor </w:t>
            </w:r>
            <w:r w:rsidR="00FC1DFC">
              <w:t>re</w:t>
            </w:r>
            <w:r w:rsidR="00B60BEE">
              <w:t xml:space="preserve">wording </w:t>
            </w:r>
            <w:r w:rsidR="00FC1DFC">
              <w:t>with no clinical sig</w:t>
            </w:r>
            <w:r w:rsidR="007F1DA4">
              <w:t>nif</w:t>
            </w:r>
            <w:r w:rsidR="00834CA2">
              <w:t>ic</w:t>
            </w:r>
            <w:r w:rsidR="007F1DA4">
              <w:t>ance.</w:t>
            </w:r>
            <w:r w:rsidR="00621F96">
              <w:t xml:space="preserve"> Reviewed by </w:t>
            </w:r>
            <w:r w:rsidR="003D63C6">
              <w:t xml:space="preserve">external </w:t>
            </w:r>
            <w:r w:rsidR="00621F96">
              <w:t>specialist.</w:t>
            </w:r>
          </w:p>
        </w:tc>
        <w:tc>
          <w:tcPr>
            <w:tcW w:w="1170" w:type="dxa"/>
          </w:tcPr>
          <w:p w14:paraId="55420D9A" w14:textId="0579F5CE" w:rsidR="00F05456" w:rsidRDefault="003806EA" w:rsidP="000B6A0F">
            <w:pPr>
              <w:jc w:val="center"/>
              <w:cnfStyle w:val="000000100000" w:firstRow="0" w:lastRow="0" w:firstColumn="0" w:lastColumn="0" w:oddVBand="0" w:evenVBand="0" w:oddHBand="1" w:evenHBand="0" w:firstRowFirstColumn="0" w:firstRowLastColumn="0" w:lastRowFirstColumn="0" w:lastRowLastColumn="0"/>
            </w:pPr>
            <w:r>
              <w:t>01/23</w:t>
            </w:r>
          </w:p>
        </w:tc>
        <w:tc>
          <w:tcPr>
            <w:cnfStyle w:val="000010000000" w:firstRow="0" w:lastRow="0" w:firstColumn="0" w:lastColumn="0" w:oddVBand="1" w:evenVBand="0" w:oddHBand="0" w:evenHBand="0" w:firstRowFirstColumn="0" w:firstRowLastColumn="0" w:lastRowFirstColumn="0" w:lastRowLastColumn="0"/>
            <w:tcW w:w="1198" w:type="dxa"/>
          </w:tcPr>
          <w:p w14:paraId="6210B817" w14:textId="5EE8FFE7" w:rsidR="00F05456" w:rsidRDefault="00F706B3" w:rsidP="00857C10">
            <w:pPr>
              <w:jc w:val="center"/>
            </w:pPr>
            <w:r>
              <w:t>01/23</w:t>
            </w:r>
          </w:p>
        </w:tc>
      </w:tr>
      <w:tr w:rsidR="007861FF" w14:paraId="08BA3387" w14:textId="77777777" w:rsidTr="00326BF6">
        <w:tc>
          <w:tcPr>
            <w:cnfStyle w:val="000010000000" w:firstRow="0" w:lastRow="0" w:firstColumn="0" w:lastColumn="0" w:oddVBand="1" w:evenVBand="0" w:oddHBand="0" w:evenHBand="0" w:firstRowFirstColumn="0" w:firstRowLastColumn="0" w:lastRowFirstColumn="0" w:lastRowLastColumn="0"/>
            <w:tcW w:w="7280" w:type="dxa"/>
          </w:tcPr>
          <w:p w14:paraId="62D9ADC4" w14:textId="58CA4AF0" w:rsidR="007861FF" w:rsidRDefault="007861FF" w:rsidP="008860D4">
            <w:r>
              <w:t>Annual review.</w:t>
            </w:r>
            <w:r w:rsidR="007B277C">
              <w:t xml:space="preserve"> Restructured </w:t>
            </w:r>
            <w:r w:rsidR="00576CCE">
              <w:t xml:space="preserve">and reformatted criteria section. </w:t>
            </w:r>
            <w:r w:rsidR="00226921">
              <w:t>In I.B</w:t>
            </w:r>
            <w:r w:rsidR="008860D4">
              <w:t>. and II.B. added contraindications to include</w:t>
            </w:r>
            <w:r w:rsidR="001B3D70">
              <w:t xml:space="preserve"> </w:t>
            </w:r>
            <w:r w:rsidR="008860D4">
              <w:t>known allergies to materials in the implant;</w:t>
            </w:r>
            <w:r w:rsidR="001B3D70">
              <w:t xml:space="preserve"> a</w:t>
            </w:r>
            <w:r w:rsidR="008860D4">
              <w:t>ctive alcohol or drug abuse, including but not limited to opioid addiction and intravenous drug abuse</w:t>
            </w:r>
            <w:r w:rsidR="001B3D70">
              <w:t>, d</w:t>
            </w:r>
            <w:r w:rsidR="008860D4">
              <w:t>iagnosis of dementia or psychosis</w:t>
            </w:r>
            <w:r w:rsidR="001B3D70">
              <w:t>; a</w:t>
            </w:r>
            <w:r w:rsidR="008860D4">
              <w:t>ctive systemic infection</w:t>
            </w:r>
            <w:r w:rsidR="001B3D70">
              <w:t>, a</w:t>
            </w:r>
            <w:r w:rsidR="008860D4">
              <w:t>ctive infection at the site of implantation.</w:t>
            </w:r>
            <w:r w:rsidR="00F578F7">
              <w:t xml:space="preserve"> </w:t>
            </w:r>
            <w:r w:rsidR="00414CF8">
              <w:t xml:space="preserve">Background updated with no impact to criteria. </w:t>
            </w:r>
            <w:r w:rsidR="00F578F7">
              <w:t xml:space="preserve">References reviewed and updated. </w:t>
            </w:r>
          </w:p>
        </w:tc>
        <w:tc>
          <w:tcPr>
            <w:tcW w:w="1170" w:type="dxa"/>
          </w:tcPr>
          <w:p w14:paraId="53EC2A05" w14:textId="0EF911D1" w:rsidR="007861FF" w:rsidRDefault="005731C4" w:rsidP="000B6A0F">
            <w:pPr>
              <w:jc w:val="center"/>
              <w:cnfStyle w:val="000000000000" w:firstRow="0" w:lastRow="0" w:firstColumn="0" w:lastColumn="0" w:oddVBand="0" w:evenVBand="0" w:oddHBand="0" w:evenHBand="0" w:firstRowFirstColumn="0" w:firstRowLastColumn="0" w:lastRowFirstColumn="0" w:lastRowLastColumn="0"/>
            </w:pPr>
            <w:r>
              <w:t>01/24</w:t>
            </w:r>
          </w:p>
        </w:tc>
        <w:tc>
          <w:tcPr>
            <w:cnfStyle w:val="000010000000" w:firstRow="0" w:lastRow="0" w:firstColumn="0" w:lastColumn="0" w:oddVBand="1" w:evenVBand="0" w:oddHBand="0" w:evenHBand="0" w:firstRowFirstColumn="0" w:firstRowLastColumn="0" w:lastRowFirstColumn="0" w:lastRowLastColumn="0"/>
            <w:tcW w:w="1198" w:type="dxa"/>
          </w:tcPr>
          <w:p w14:paraId="2614D849" w14:textId="3C387AAF" w:rsidR="007861FF" w:rsidRDefault="008766F1" w:rsidP="00857C10">
            <w:pPr>
              <w:jc w:val="center"/>
            </w:pPr>
            <w:r>
              <w:t>01/24</w:t>
            </w:r>
          </w:p>
        </w:tc>
      </w:tr>
      <w:tr w:rsidR="00FC77E0" w14:paraId="41777471" w14:textId="77777777" w:rsidTr="00326BF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Pr>
          <w:p w14:paraId="66C38B45" w14:textId="35BE9DF9" w:rsidR="00FC77E0" w:rsidRPr="00684E53" w:rsidRDefault="0007455F" w:rsidP="008860D4">
            <w:pPr>
              <w:rPr>
                <w:highlight w:val="yellow"/>
              </w:rPr>
            </w:pPr>
            <w:r w:rsidRPr="00487C38">
              <w:t xml:space="preserve">Annual review. </w:t>
            </w:r>
            <w:r w:rsidR="00577135" w:rsidRPr="00577135">
              <w:t xml:space="preserve">Removed </w:t>
            </w:r>
            <w:r w:rsidR="00F22B96">
              <w:t>c</w:t>
            </w:r>
            <w:r w:rsidR="00577135" w:rsidRPr="00577135">
              <w:t xml:space="preserve">riteria I.A.2.f. regarding active participation in psychotherapeutic interventions. </w:t>
            </w:r>
            <w:r w:rsidR="00585589" w:rsidRPr="00585589">
              <w:t>Minor grammatical updates in</w:t>
            </w:r>
            <w:r w:rsidR="00F22B96">
              <w:t xml:space="preserve"> c</w:t>
            </w:r>
            <w:r w:rsidR="00585589" w:rsidRPr="00585589">
              <w:t>riteria I.A.2.</w:t>
            </w:r>
            <w:r w:rsidR="00577135">
              <w:t>h</w:t>
            </w:r>
            <w:r w:rsidR="00585589" w:rsidRPr="00585589">
              <w:t xml:space="preserve">. and </w:t>
            </w:r>
            <w:r w:rsidR="00F22B96">
              <w:t>c</w:t>
            </w:r>
            <w:r w:rsidR="00585589" w:rsidRPr="00585589">
              <w:t>riteria II.A.2.i. with no impact to criteria.</w:t>
            </w:r>
            <w:r w:rsidR="00A01ADC">
              <w:t xml:space="preserve"> </w:t>
            </w:r>
            <w:r w:rsidR="00A45A74">
              <w:t xml:space="preserve">Background updated with no impact on criteria. </w:t>
            </w:r>
            <w:r w:rsidR="00487C38">
              <w:t xml:space="preserve">References reviewed and updated. </w:t>
            </w:r>
            <w:r w:rsidRPr="00487C38">
              <w:t xml:space="preserve">Reviewed by external specialist. </w:t>
            </w:r>
          </w:p>
        </w:tc>
        <w:tc>
          <w:tcPr>
            <w:tcW w:w="1170" w:type="dxa"/>
          </w:tcPr>
          <w:p w14:paraId="76C2C448" w14:textId="4B105553" w:rsidR="00FC77E0" w:rsidRDefault="0007455F" w:rsidP="000B6A0F">
            <w:pPr>
              <w:jc w:val="center"/>
              <w:cnfStyle w:val="000000100000" w:firstRow="0" w:lastRow="0" w:firstColumn="0" w:lastColumn="0" w:oddVBand="0" w:evenVBand="0" w:oddHBand="1" w:evenHBand="0" w:firstRowFirstColumn="0" w:firstRowLastColumn="0" w:lastRowFirstColumn="0" w:lastRowLastColumn="0"/>
            </w:pPr>
            <w:r>
              <w:t>11/24</w:t>
            </w:r>
          </w:p>
        </w:tc>
        <w:tc>
          <w:tcPr>
            <w:cnfStyle w:val="000010000000" w:firstRow="0" w:lastRow="0" w:firstColumn="0" w:lastColumn="0" w:oddVBand="1" w:evenVBand="0" w:oddHBand="0" w:evenHBand="0" w:firstRowFirstColumn="0" w:firstRowLastColumn="0" w:lastRowFirstColumn="0" w:lastRowLastColumn="0"/>
            <w:tcW w:w="1198" w:type="dxa"/>
          </w:tcPr>
          <w:p w14:paraId="28F105C7" w14:textId="52976045" w:rsidR="00FC77E0" w:rsidRDefault="00F22B96" w:rsidP="00857C10">
            <w:pPr>
              <w:jc w:val="center"/>
            </w:pPr>
            <w:r>
              <w:t>11/24</w:t>
            </w:r>
          </w:p>
        </w:tc>
      </w:tr>
      <w:tr w:rsidR="00D01C28" w14:paraId="389DB494" w14:textId="77777777" w:rsidTr="00326BF6">
        <w:tc>
          <w:tcPr>
            <w:cnfStyle w:val="000010000000" w:firstRow="0" w:lastRow="0" w:firstColumn="0" w:lastColumn="0" w:oddVBand="1" w:evenVBand="0" w:oddHBand="0" w:evenHBand="0" w:firstRowFirstColumn="0" w:firstRowLastColumn="0" w:lastRowFirstColumn="0" w:lastRowLastColumn="0"/>
            <w:tcW w:w="7280" w:type="dxa"/>
          </w:tcPr>
          <w:p w14:paraId="13E61A80" w14:textId="00020509" w:rsidR="00D01C28" w:rsidRPr="00487C38" w:rsidRDefault="00D01C28" w:rsidP="008860D4">
            <w:r>
              <w:t>Annual review.</w:t>
            </w:r>
            <w:r w:rsidR="000B5F34">
              <w:t xml:space="preserve"> References reviewed and updated. </w:t>
            </w:r>
            <w:r w:rsidR="00A92CAD">
              <w:t>Reviewed by internal specialists.</w:t>
            </w:r>
          </w:p>
        </w:tc>
        <w:tc>
          <w:tcPr>
            <w:tcW w:w="1170" w:type="dxa"/>
          </w:tcPr>
          <w:p w14:paraId="7D9366EE" w14:textId="7A5B20A5" w:rsidR="00D01C28" w:rsidRDefault="00D34DDF" w:rsidP="000B6A0F">
            <w:pPr>
              <w:jc w:val="center"/>
              <w:cnfStyle w:val="000000000000" w:firstRow="0" w:lastRow="0" w:firstColumn="0" w:lastColumn="0" w:oddVBand="0" w:evenVBand="0" w:oddHBand="0" w:evenHBand="0" w:firstRowFirstColumn="0" w:firstRowLastColumn="0" w:lastRowFirstColumn="0" w:lastRowLastColumn="0"/>
            </w:pPr>
            <w:r>
              <w:t>11/25</w:t>
            </w:r>
          </w:p>
        </w:tc>
        <w:tc>
          <w:tcPr>
            <w:cnfStyle w:val="000010000000" w:firstRow="0" w:lastRow="0" w:firstColumn="0" w:lastColumn="0" w:oddVBand="1" w:evenVBand="0" w:oddHBand="0" w:evenHBand="0" w:firstRowFirstColumn="0" w:firstRowLastColumn="0" w:lastRowFirstColumn="0" w:lastRowLastColumn="0"/>
            <w:tcW w:w="1198" w:type="dxa"/>
          </w:tcPr>
          <w:p w14:paraId="1AE0AEC6" w14:textId="3CC5C8B2" w:rsidR="00D01C28" w:rsidRDefault="008F78FF" w:rsidP="00857C10">
            <w:pPr>
              <w:jc w:val="center"/>
            </w:pPr>
            <w:r>
              <w:t>11/25</w:t>
            </w:r>
          </w:p>
        </w:tc>
      </w:tr>
    </w:tbl>
    <w:p w14:paraId="0C7C1B72" w14:textId="77777777" w:rsidR="00B777AF" w:rsidRDefault="00B777AF" w:rsidP="00B777AF">
      <w:pPr>
        <w:pStyle w:val="Heading6"/>
        <w:tabs>
          <w:tab w:val="clear" w:pos="0"/>
        </w:tabs>
      </w:pPr>
    </w:p>
    <w:p w14:paraId="1035A9E0" w14:textId="77777777" w:rsidR="00963062" w:rsidRPr="00800FDE" w:rsidRDefault="003F3D44" w:rsidP="00963062">
      <w:pPr>
        <w:pStyle w:val="Heading3"/>
      </w:pPr>
      <w:r w:rsidRPr="00800FDE">
        <w:t>References</w:t>
      </w:r>
    </w:p>
    <w:p w14:paraId="75C2B875" w14:textId="71955F67" w:rsidR="00963062" w:rsidRPr="00800FDE" w:rsidRDefault="00097268" w:rsidP="006F65FB">
      <w:pPr>
        <w:pStyle w:val="ListParagraph"/>
        <w:numPr>
          <w:ilvl w:val="0"/>
          <w:numId w:val="1"/>
        </w:numPr>
        <w:ind w:left="360"/>
      </w:pPr>
      <w:bookmarkStart w:id="8" w:name="_Hlk125960269"/>
      <w:r w:rsidRPr="00800FDE">
        <w:t>Manchikanti L, Abdi S, Atluri S, et al. An update of comprehensive evidence-based guidelines for interventional techniques in chronic spinal pain. Part II: guidance and recommendations. </w:t>
      </w:r>
      <w:r w:rsidRPr="00800FDE">
        <w:rPr>
          <w:i/>
          <w:iCs/>
        </w:rPr>
        <w:t>Pain Physician</w:t>
      </w:r>
      <w:r w:rsidRPr="00800FDE">
        <w:t>. 2013;16(2 Suppl):S49-S283.</w:t>
      </w:r>
    </w:p>
    <w:p w14:paraId="4A2B68A6" w14:textId="65728BF7" w:rsidR="00B45DB3" w:rsidRPr="00C855F7" w:rsidRDefault="00F37C98" w:rsidP="006F65FB">
      <w:pPr>
        <w:pStyle w:val="ListParagraph"/>
        <w:numPr>
          <w:ilvl w:val="0"/>
          <w:numId w:val="1"/>
        </w:numPr>
        <w:ind w:left="360"/>
      </w:pPr>
      <w:r w:rsidRPr="00C855F7">
        <w:lastRenderedPageBreak/>
        <w:t xml:space="preserve">Health Technology Assessment. </w:t>
      </w:r>
      <w:r w:rsidR="00847078" w:rsidRPr="00C855F7">
        <w:t xml:space="preserve">Intrathecal </w:t>
      </w:r>
      <w:r w:rsidR="00D4645C" w:rsidRPr="00C855F7">
        <w:t>o</w:t>
      </w:r>
      <w:r w:rsidR="00847078" w:rsidRPr="00C855F7">
        <w:t xml:space="preserve">pioids for </w:t>
      </w:r>
      <w:r w:rsidR="00D4645C" w:rsidRPr="00C855F7">
        <w:t>c</w:t>
      </w:r>
      <w:r w:rsidR="00847078" w:rsidRPr="00C855F7">
        <w:t xml:space="preserve">hronic </w:t>
      </w:r>
      <w:r w:rsidR="00D4645C" w:rsidRPr="00C855F7">
        <w:t>n</w:t>
      </w:r>
      <w:r w:rsidR="00847078" w:rsidRPr="00C855F7">
        <w:t xml:space="preserve">oncancer </w:t>
      </w:r>
      <w:r w:rsidR="00D4645C" w:rsidRPr="00C855F7">
        <w:t>p</w:t>
      </w:r>
      <w:r w:rsidR="00847078" w:rsidRPr="00C855F7">
        <w:t xml:space="preserve">ain. </w:t>
      </w:r>
      <w:r w:rsidR="00D4645C" w:rsidRPr="00C855F7">
        <w:t xml:space="preserve">Hayes. </w:t>
      </w:r>
      <w:hyperlink r:id="rId16" w:history="1">
        <w:r w:rsidR="00D4645C" w:rsidRPr="00C855F7">
          <w:rPr>
            <w:rStyle w:val="Hyperlink"/>
          </w:rPr>
          <w:t>www.hayesinc.com</w:t>
        </w:r>
      </w:hyperlink>
      <w:r w:rsidR="00D4645C" w:rsidRPr="00C855F7">
        <w:t>. Published</w:t>
      </w:r>
      <w:r w:rsidR="00367CC6" w:rsidRPr="00C855F7">
        <w:t xml:space="preserve"> July 24, 2019</w:t>
      </w:r>
      <w:r w:rsidR="00D4645C" w:rsidRPr="00C855F7">
        <w:t xml:space="preserve"> </w:t>
      </w:r>
      <w:r w:rsidR="00593CDB" w:rsidRPr="00C855F7">
        <w:t>(</w:t>
      </w:r>
      <w:r w:rsidR="00B308EB" w:rsidRPr="00C855F7">
        <w:t xml:space="preserve">annual </w:t>
      </w:r>
      <w:r w:rsidR="00593CDB" w:rsidRPr="00C855F7">
        <w:t xml:space="preserve">review </w:t>
      </w:r>
      <w:r w:rsidR="00D4645C" w:rsidRPr="00C855F7">
        <w:t>July 2</w:t>
      </w:r>
      <w:r w:rsidR="007A4DED" w:rsidRPr="00C855F7">
        <w:t>9</w:t>
      </w:r>
      <w:r w:rsidR="00D4645C" w:rsidRPr="00C855F7">
        <w:t>, 20</w:t>
      </w:r>
      <w:r w:rsidR="007A4DED" w:rsidRPr="00C855F7">
        <w:t>22</w:t>
      </w:r>
      <w:r w:rsidR="00593CDB" w:rsidRPr="00C855F7">
        <w:t>)</w:t>
      </w:r>
      <w:r w:rsidR="00D4645C" w:rsidRPr="00C855F7">
        <w:t xml:space="preserve">. Accessed </w:t>
      </w:r>
      <w:r w:rsidR="000B182C" w:rsidRPr="00C855F7">
        <w:t>October 30, 2024</w:t>
      </w:r>
      <w:r w:rsidR="00D4645C" w:rsidRPr="00C855F7">
        <w:t xml:space="preserve">. </w:t>
      </w:r>
    </w:p>
    <w:p w14:paraId="7E5A83CA" w14:textId="398F9631" w:rsidR="006C74F8" w:rsidRPr="00C855F7" w:rsidRDefault="00744BE3" w:rsidP="006F65FB">
      <w:pPr>
        <w:pStyle w:val="ListParagraph"/>
        <w:numPr>
          <w:ilvl w:val="0"/>
          <w:numId w:val="1"/>
        </w:numPr>
        <w:ind w:left="360"/>
      </w:pPr>
      <w:r w:rsidRPr="00684E53">
        <w:rPr>
          <w:color w:val="212121"/>
          <w:shd w:val="clear" w:color="auto" w:fill="FFFFFF"/>
        </w:rPr>
        <w:t xml:space="preserve">Rosenquist R. Use of opioids in the management of chronic pain in adults. UpToDate. </w:t>
      </w:r>
      <w:hyperlink r:id="rId17" w:history="1">
        <w:r w:rsidRPr="00684E53">
          <w:rPr>
            <w:rStyle w:val="Hyperlink"/>
            <w:shd w:val="clear" w:color="auto" w:fill="FFFFFF"/>
          </w:rPr>
          <w:t>www.uptodate.com</w:t>
        </w:r>
      </w:hyperlink>
      <w:r w:rsidRPr="00684E53">
        <w:rPr>
          <w:color w:val="212121"/>
          <w:shd w:val="clear" w:color="auto" w:fill="FFFFFF"/>
        </w:rPr>
        <w:t xml:space="preserve">. Published </w:t>
      </w:r>
      <w:r w:rsidR="00BA2251">
        <w:rPr>
          <w:color w:val="212121"/>
          <w:shd w:val="clear" w:color="auto" w:fill="FFFFFF"/>
        </w:rPr>
        <w:t>December</w:t>
      </w:r>
      <w:r w:rsidR="00BA2251" w:rsidRPr="00684E53">
        <w:rPr>
          <w:color w:val="212121"/>
          <w:shd w:val="clear" w:color="auto" w:fill="FFFFFF"/>
        </w:rPr>
        <w:t xml:space="preserve"> </w:t>
      </w:r>
      <w:r w:rsidR="002F6E60">
        <w:rPr>
          <w:color w:val="212121"/>
          <w:shd w:val="clear" w:color="auto" w:fill="FFFFFF"/>
        </w:rPr>
        <w:t>9</w:t>
      </w:r>
      <w:r w:rsidRPr="00684E53">
        <w:rPr>
          <w:color w:val="212121"/>
          <w:shd w:val="clear" w:color="auto" w:fill="FFFFFF"/>
        </w:rPr>
        <w:t xml:space="preserve">, 2024. Accessed </w:t>
      </w:r>
      <w:r w:rsidR="002F6E60">
        <w:rPr>
          <w:color w:val="212121"/>
          <w:shd w:val="clear" w:color="auto" w:fill="FFFFFF"/>
        </w:rPr>
        <w:t>September</w:t>
      </w:r>
      <w:r w:rsidR="002F6E60" w:rsidRPr="00684E53">
        <w:rPr>
          <w:color w:val="212121"/>
          <w:shd w:val="clear" w:color="auto" w:fill="FFFFFF"/>
        </w:rPr>
        <w:t xml:space="preserve"> </w:t>
      </w:r>
      <w:r w:rsidRPr="00684E53">
        <w:rPr>
          <w:color w:val="212121"/>
          <w:shd w:val="clear" w:color="auto" w:fill="FFFFFF"/>
        </w:rPr>
        <w:t>2</w:t>
      </w:r>
      <w:r w:rsidR="002F6E60">
        <w:rPr>
          <w:color w:val="212121"/>
          <w:shd w:val="clear" w:color="auto" w:fill="FFFFFF"/>
        </w:rPr>
        <w:t>5</w:t>
      </w:r>
      <w:r w:rsidRPr="00684E53">
        <w:rPr>
          <w:color w:val="212121"/>
          <w:shd w:val="clear" w:color="auto" w:fill="FFFFFF"/>
        </w:rPr>
        <w:t>, 202</w:t>
      </w:r>
      <w:r w:rsidR="002F6E60">
        <w:rPr>
          <w:color w:val="212121"/>
          <w:shd w:val="clear" w:color="auto" w:fill="FFFFFF"/>
        </w:rPr>
        <w:t>5</w:t>
      </w:r>
      <w:r w:rsidRPr="00684E53">
        <w:rPr>
          <w:color w:val="212121"/>
          <w:shd w:val="clear" w:color="auto" w:fill="FFFFFF"/>
        </w:rPr>
        <w:t>.</w:t>
      </w:r>
    </w:p>
    <w:p w14:paraId="717ED444" w14:textId="2A7562BB" w:rsidR="00441CF2" w:rsidRPr="00C855F7" w:rsidRDefault="007E7EB2" w:rsidP="006F65FB">
      <w:pPr>
        <w:pStyle w:val="ListParagraph"/>
        <w:numPr>
          <w:ilvl w:val="0"/>
          <w:numId w:val="1"/>
        </w:numPr>
        <w:ind w:left="360"/>
      </w:pPr>
      <w:r w:rsidRPr="00C855F7">
        <w:t>Shah N, Di Napoli R, Padalia D. Implantable Intrathecal Drug Delivery System. In: </w:t>
      </w:r>
      <w:r w:rsidRPr="00C855F7">
        <w:rPr>
          <w:i/>
          <w:iCs/>
        </w:rPr>
        <w:t>StatPearls</w:t>
      </w:r>
      <w:r w:rsidRPr="00C855F7">
        <w:t>. Treasure Island (FL): StatPearls Publishing; July 19, 2024.</w:t>
      </w:r>
    </w:p>
    <w:p w14:paraId="29A22685" w14:textId="20187480" w:rsidR="000010BD" w:rsidRPr="00C855F7" w:rsidRDefault="00FE65A6" w:rsidP="006F65FB">
      <w:pPr>
        <w:pStyle w:val="ListParagraph"/>
        <w:numPr>
          <w:ilvl w:val="0"/>
          <w:numId w:val="1"/>
        </w:numPr>
        <w:ind w:left="360"/>
      </w:pPr>
      <w:r w:rsidRPr="00C855F7">
        <w:t>Health Quality Ontario. Intrathecal Drug Delivery Systems for Noncancer Pain: A Health Technology Assessment. </w:t>
      </w:r>
      <w:r w:rsidRPr="00C855F7">
        <w:rPr>
          <w:i/>
          <w:iCs/>
        </w:rPr>
        <w:t>Ont Health Technol Assess Ser</w:t>
      </w:r>
      <w:r w:rsidRPr="00C855F7">
        <w:t>. 2016;16(2):1-77. Published 2016 Jan 29.</w:t>
      </w:r>
    </w:p>
    <w:p w14:paraId="4477E17E" w14:textId="77777777" w:rsidR="00194FF7" w:rsidRDefault="00967C2C" w:rsidP="006F65FB">
      <w:pPr>
        <w:pStyle w:val="ListParagraph"/>
        <w:numPr>
          <w:ilvl w:val="0"/>
          <w:numId w:val="1"/>
        </w:numPr>
        <w:ind w:left="360"/>
      </w:pPr>
      <w:r w:rsidRPr="00C855F7">
        <w:t>American Society of Anesthesiologists Task Force on Chronic Pain Management; American Society of Regional Anesthesia and Pain Medicine. Practice guidelines for chronic pain management: an updated report by the American Society of Anesthesiologists Task Force on Chronic Pain Management and the American Society of Regional Anesthesia and Pain Medicine. </w:t>
      </w:r>
      <w:r w:rsidRPr="00C855F7">
        <w:rPr>
          <w:i/>
          <w:iCs/>
        </w:rPr>
        <w:t>Anesthesiology</w:t>
      </w:r>
      <w:r w:rsidRPr="00C855F7">
        <w:t>. 2010;112(4):810-833. doi:10.1097/ALN.0b013e3181c43103</w:t>
      </w:r>
    </w:p>
    <w:p w14:paraId="4CAC92DC" w14:textId="58F68100" w:rsidR="00C73E29" w:rsidRPr="00C855F7" w:rsidRDefault="00EA7E11" w:rsidP="006F65FB">
      <w:pPr>
        <w:pStyle w:val="ListParagraph"/>
        <w:numPr>
          <w:ilvl w:val="0"/>
          <w:numId w:val="1"/>
        </w:numPr>
        <w:ind w:left="360"/>
      </w:pPr>
      <w:r>
        <w:t>North American Spine Society (NASS). Intrathecal Drug Delivery Systems. NASS Coverage</w:t>
      </w:r>
      <w:r w:rsidR="009B05D4">
        <w:t xml:space="preserve"> Policy Recommendations. Published March </w:t>
      </w:r>
      <w:r w:rsidR="002A6E22">
        <w:t>8</w:t>
      </w:r>
      <w:r w:rsidR="009B05D4">
        <w:t>, 2017</w:t>
      </w:r>
      <w:r w:rsidR="002A6E22">
        <w:t xml:space="preserve">. </w:t>
      </w:r>
      <w:r w:rsidR="002214B8">
        <w:rPr>
          <w:color w:val="212121"/>
          <w:shd w:val="clear" w:color="auto" w:fill="FFFFFF"/>
        </w:rPr>
        <w:t>Accessed September 29, 2025.</w:t>
      </w:r>
    </w:p>
    <w:p w14:paraId="4FEFC717" w14:textId="100FA7B9" w:rsidR="00447065" w:rsidRPr="00C855F7" w:rsidRDefault="00AF0574" w:rsidP="006F65FB">
      <w:pPr>
        <w:pStyle w:val="ListParagraph"/>
        <w:numPr>
          <w:ilvl w:val="0"/>
          <w:numId w:val="1"/>
        </w:numPr>
        <w:ind w:left="360"/>
      </w:pPr>
      <w:r w:rsidRPr="00C855F7">
        <w:t xml:space="preserve">Portenoy RK, Mehta Z, Ahmed E. Cancer pain management with opioids: Optimizing analgesia. UpToDate. </w:t>
      </w:r>
      <w:hyperlink r:id="rId18" w:history="1">
        <w:r w:rsidRPr="00C855F7">
          <w:rPr>
            <w:rStyle w:val="Hyperlink"/>
          </w:rPr>
          <w:t>www.uptodate.com</w:t>
        </w:r>
      </w:hyperlink>
      <w:r w:rsidRPr="00C855F7">
        <w:t>. Published September 26, 2024. Accessed October 31, 2024.</w:t>
      </w:r>
    </w:p>
    <w:p w14:paraId="3CB5A176" w14:textId="41B40D19" w:rsidR="006A71C7" w:rsidRPr="00C855F7" w:rsidRDefault="00A134E1" w:rsidP="006F65FB">
      <w:pPr>
        <w:pStyle w:val="ListParagraph"/>
        <w:numPr>
          <w:ilvl w:val="0"/>
          <w:numId w:val="1"/>
        </w:numPr>
        <w:ind w:left="360"/>
      </w:pPr>
      <w:r w:rsidRPr="00C855F7">
        <w:t>Swarm RA, Paice JA, Anghelescu DL, et al. Adult Cancer Pain, Version 3.2019, NCCN Clinical Practice Guidelines in Oncology. </w:t>
      </w:r>
      <w:r w:rsidRPr="00C855F7">
        <w:rPr>
          <w:i/>
          <w:iCs/>
        </w:rPr>
        <w:t>J Natl Compr Canc Netw</w:t>
      </w:r>
      <w:r w:rsidRPr="00C855F7">
        <w:t>. 2019;17(8):977-1007. doi:10.6004/jnccn.2019.0038</w:t>
      </w:r>
      <w:r w:rsidR="00053D27">
        <w:t>.</w:t>
      </w:r>
    </w:p>
    <w:p w14:paraId="1EFFF91F" w14:textId="15DCF2C7" w:rsidR="00491457" w:rsidRPr="00A45A74" w:rsidRDefault="008F07F0" w:rsidP="006F65FB">
      <w:pPr>
        <w:pStyle w:val="ListParagraph"/>
        <w:numPr>
          <w:ilvl w:val="0"/>
          <w:numId w:val="1"/>
        </w:numPr>
        <w:ind w:left="360"/>
      </w:pPr>
      <w:r w:rsidRPr="00A45A74">
        <w:t>Hayek SM, Deer TR, Pope JE, Panchal SJ, Patel VB. Intrathecal therapy for cancer and non-cancer pain. </w:t>
      </w:r>
      <w:r w:rsidRPr="00A45A74">
        <w:rPr>
          <w:i/>
          <w:iCs/>
        </w:rPr>
        <w:t>Pain Physician</w:t>
      </w:r>
      <w:r w:rsidRPr="00A45A74">
        <w:t>. 2011;14(3):219-248.</w:t>
      </w:r>
    </w:p>
    <w:p w14:paraId="5D04D827" w14:textId="1C5DB372" w:rsidR="0010002A" w:rsidRPr="00A45A74" w:rsidRDefault="008F07F0" w:rsidP="0010002A">
      <w:pPr>
        <w:pStyle w:val="ListParagraph"/>
        <w:numPr>
          <w:ilvl w:val="0"/>
          <w:numId w:val="1"/>
        </w:numPr>
        <w:ind w:left="360"/>
      </w:pPr>
      <w:r w:rsidRPr="00A45A74">
        <w:t>Hamza M, Doleys D, Wells M, et al. Prospective study of 3-year follow-up of low-dose intrathecal opioids in the management of chronic nonmalignant pain. </w:t>
      </w:r>
      <w:r w:rsidRPr="00A45A74">
        <w:rPr>
          <w:i/>
          <w:iCs/>
        </w:rPr>
        <w:t>Pain Med</w:t>
      </w:r>
      <w:r w:rsidRPr="00A45A74">
        <w:t>. 2012;13(10):1304-1313. doi:10.1111/j.1526-4637.2012.01451.x</w:t>
      </w:r>
      <w:r w:rsidR="00B91AC3" w:rsidRPr="00A45A74">
        <w:t xml:space="preserve"> </w:t>
      </w:r>
    </w:p>
    <w:p w14:paraId="7BBD1E11" w14:textId="5036B1A3" w:rsidR="001B4575" w:rsidRPr="00A45A74" w:rsidRDefault="008F07F0" w:rsidP="00C444B7">
      <w:pPr>
        <w:pStyle w:val="ListParagraph"/>
        <w:numPr>
          <w:ilvl w:val="0"/>
          <w:numId w:val="1"/>
        </w:numPr>
        <w:ind w:left="360"/>
      </w:pPr>
      <w:r w:rsidRPr="00A45A74">
        <w:t>Pope JE, Deer TR, Bruel BM, Falowski S. Clinical Uses of Intrathecal Therapy and Its Placement in the Pain Care Algorithm. </w:t>
      </w:r>
      <w:r w:rsidRPr="00A45A74">
        <w:rPr>
          <w:i/>
          <w:iCs/>
        </w:rPr>
        <w:t>Pain Pract</w:t>
      </w:r>
      <w:r w:rsidRPr="00A45A74">
        <w:t>. 2016;16(8):1092-1106. doi:10.1111/papr.12438</w:t>
      </w:r>
    </w:p>
    <w:p w14:paraId="2137747A" w14:textId="6D7DE0E4" w:rsidR="00306563" w:rsidRPr="00A45A74" w:rsidRDefault="008F07F0" w:rsidP="006F65FB">
      <w:pPr>
        <w:pStyle w:val="ListParagraph"/>
        <w:numPr>
          <w:ilvl w:val="0"/>
          <w:numId w:val="1"/>
        </w:numPr>
        <w:ind w:left="360"/>
      </w:pPr>
      <w:r w:rsidRPr="00A45A74">
        <w:t>Raffaeli W, Righetti D, Caminiti A, et al. Implantable intrathecal pumps for the treatment of noncancer chronic pain in elderly population: drug dose and clinical efficacy. </w:t>
      </w:r>
      <w:r w:rsidRPr="00A45A74">
        <w:rPr>
          <w:i/>
          <w:iCs/>
        </w:rPr>
        <w:t>Neuromodulation</w:t>
      </w:r>
      <w:r w:rsidRPr="00A45A74">
        <w:t>. 2008;11(1):33-39. doi:10.1111/j.1525-1403.2007.00140.x</w:t>
      </w:r>
      <w:r w:rsidR="009B41DD" w:rsidRPr="00A45A74">
        <w:t xml:space="preserve"> </w:t>
      </w:r>
    </w:p>
    <w:p w14:paraId="6A306F0F" w14:textId="2E56A03B" w:rsidR="00E94F54" w:rsidRPr="00A45A74" w:rsidRDefault="008F07F0" w:rsidP="00C444B7">
      <w:pPr>
        <w:pStyle w:val="ListParagraph"/>
        <w:numPr>
          <w:ilvl w:val="0"/>
          <w:numId w:val="1"/>
        </w:numPr>
        <w:ind w:left="360"/>
      </w:pPr>
      <w:r w:rsidRPr="00A45A74">
        <w:t>Lara NA Jr, Teixeira MJ, Fonoff ET. Long term intrathecal infusion of opiates for treatment of failed back surgery syndrome. </w:t>
      </w:r>
      <w:r w:rsidRPr="00A45A74">
        <w:rPr>
          <w:i/>
          <w:iCs/>
        </w:rPr>
        <w:t>Acta Neurochir Suppl</w:t>
      </w:r>
      <w:r w:rsidRPr="00A45A74">
        <w:t>. 2011;108:41-47. doi:10.1007/978-3-211-99370-5_8</w:t>
      </w:r>
    </w:p>
    <w:p w14:paraId="5F21956C" w14:textId="56964487" w:rsidR="00075AE3" w:rsidRPr="00A45A74" w:rsidRDefault="008F07F0" w:rsidP="00C444B7">
      <w:pPr>
        <w:pStyle w:val="ListParagraph"/>
        <w:numPr>
          <w:ilvl w:val="0"/>
          <w:numId w:val="1"/>
        </w:numPr>
        <w:ind w:left="360"/>
      </w:pPr>
      <w:r w:rsidRPr="00A45A74">
        <w:t>Galica RJ, Hayek SM, Veizi E, et al. Intrathecal Trialing of Continuous Infusion Combination Therapy With Hydromorphone and Bupivacaine in Failed Back Surgery Patients. </w:t>
      </w:r>
      <w:r w:rsidRPr="00A45A74">
        <w:rPr>
          <w:i/>
          <w:iCs/>
        </w:rPr>
        <w:t>Neuromodulation</w:t>
      </w:r>
      <w:r w:rsidRPr="00A45A74">
        <w:t>. 2018;21(7):648-654. doi:10.1111/ner.12737</w:t>
      </w:r>
      <w:r w:rsidR="005B0CBE" w:rsidRPr="00A45A74">
        <w:rPr>
          <w:rFonts w:ascii="Segoe UI" w:hAnsi="Segoe UI" w:cs="Segoe UI"/>
          <w:color w:val="212121"/>
          <w:shd w:val="clear" w:color="auto" w:fill="FFFFFF"/>
        </w:rPr>
        <w:t xml:space="preserve"> </w:t>
      </w:r>
    </w:p>
    <w:p w14:paraId="266E3D8E" w14:textId="5961E3E5" w:rsidR="00075AE3" w:rsidRPr="00A45A74" w:rsidRDefault="008F07F0" w:rsidP="00C444B7">
      <w:pPr>
        <w:pStyle w:val="ListParagraph"/>
        <w:numPr>
          <w:ilvl w:val="0"/>
          <w:numId w:val="1"/>
        </w:numPr>
        <w:ind w:left="360"/>
      </w:pPr>
      <w:r w:rsidRPr="00A45A74">
        <w:t>Patel VB, Manchikanti L, Singh V, Schultz DM, Hayek SM, Smith HS. Systematic review of intrathecal infusion systems for long-term management of chronic non-cancer pain. </w:t>
      </w:r>
      <w:r w:rsidRPr="00A45A74">
        <w:rPr>
          <w:i/>
          <w:iCs/>
        </w:rPr>
        <w:t>Pain Physician</w:t>
      </w:r>
      <w:r w:rsidRPr="00A45A74">
        <w:t>. 2009;12(2):345-360.</w:t>
      </w:r>
    </w:p>
    <w:p w14:paraId="1A14285E" w14:textId="4F085A92" w:rsidR="003417B5" w:rsidRDefault="00D4645C" w:rsidP="00C444B7">
      <w:pPr>
        <w:pStyle w:val="ListParagraph"/>
        <w:numPr>
          <w:ilvl w:val="0"/>
          <w:numId w:val="1"/>
        </w:numPr>
        <w:tabs>
          <w:tab w:val="left" w:pos="360"/>
        </w:tabs>
        <w:ind w:left="360"/>
      </w:pPr>
      <w:r w:rsidRPr="00D4645C">
        <w:t>Duarte RV, Raphael JH, Sparkes E, Southall JL, LeMarchand K, Ashford RL. Long-term intrathecal drug administration for chronic nonmalignant pain. </w:t>
      </w:r>
      <w:r w:rsidRPr="00D4645C">
        <w:rPr>
          <w:i/>
          <w:iCs/>
        </w:rPr>
        <w:t>J Neurosurg Anesthesiol</w:t>
      </w:r>
      <w:r w:rsidRPr="00D4645C">
        <w:t>. 2012;24(1):63-70. doi:10.1097/ANA.0b013e31822ff779</w:t>
      </w:r>
    </w:p>
    <w:p w14:paraId="125D5AC5" w14:textId="6913186B" w:rsidR="00B05A61" w:rsidRDefault="00D4645C" w:rsidP="00C444B7">
      <w:pPr>
        <w:pStyle w:val="ListParagraph"/>
        <w:numPr>
          <w:ilvl w:val="0"/>
          <w:numId w:val="1"/>
        </w:numPr>
        <w:tabs>
          <w:tab w:val="left" w:pos="360"/>
        </w:tabs>
        <w:ind w:left="360"/>
      </w:pPr>
      <w:r w:rsidRPr="00D4645C">
        <w:lastRenderedPageBreak/>
        <w:t>Hruschak V, Cochran G, Wasan AD. Psychosocial interventions for chronic pain and comorbid prescription opioid use disorders: A narrative review of the literature. </w:t>
      </w:r>
      <w:r w:rsidRPr="00D4645C">
        <w:rPr>
          <w:i/>
          <w:iCs/>
        </w:rPr>
        <w:t>J Opioid Manag</w:t>
      </w:r>
      <w:r w:rsidRPr="00D4645C">
        <w:t>. 2018;14(5):345-358. doi:10.5055/jom.2018.0467</w:t>
      </w:r>
    </w:p>
    <w:p w14:paraId="226FE905" w14:textId="4FDC82FC" w:rsidR="00B05A61" w:rsidRDefault="00D4645C" w:rsidP="00C444B7">
      <w:pPr>
        <w:pStyle w:val="ListParagraph"/>
        <w:numPr>
          <w:ilvl w:val="0"/>
          <w:numId w:val="1"/>
        </w:numPr>
        <w:tabs>
          <w:tab w:val="left" w:pos="360"/>
        </w:tabs>
        <w:ind w:left="360"/>
      </w:pPr>
      <w:r w:rsidRPr="00D4645C">
        <w:t>Majeed MH, Ali AA, Sudak DM. Psychotherapeutic interventions for chronic pain: Evidence, rationale, and advantages. </w:t>
      </w:r>
      <w:r w:rsidRPr="00D4645C">
        <w:rPr>
          <w:i/>
          <w:iCs/>
        </w:rPr>
        <w:t>Int J Psychiatry Med</w:t>
      </w:r>
      <w:r w:rsidRPr="00D4645C">
        <w:t>. 2019;54(2):140-149. doi:10.1177/0091217418791447</w:t>
      </w:r>
    </w:p>
    <w:p w14:paraId="78AA1663" w14:textId="3ED7D1BB" w:rsidR="006106E7" w:rsidRPr="00C855F7" w:rsidRDefault="006106E7" w:rsidP="00C444B7">
      <w:pPr>
        <w:pStyle w:val="ListParagraph"/>
        <w:numPr>
          <w:ilvl w:val="0"/>
          <w:numId w:val="1"/>
        </w:numPr>
        <w:tabs>
          <w:tab w:val="left" w:pos="360"/>
        </w:tabs>
        <w:ind w:left="360"/>
      </w:pPr>
      <w:r w:rsidRPr="006106E7">
        <w:t>Aman MM, Mahmoud A, Deer T, et al. The American Society of Pain and Neuroscience (ASPN</w:t>
      </w:r>
      <w:r w:rsidRPr="00C855F7">
        <w:t>) Best Practices and Guidelines for the Interventional Management of Cancer-Associated Pain. </w:t>
      </w:r>
      <w:r w:rsidRPr="00C855F7">
        <w:rPr>
          <w:i/>
          <w:iCs/>
        </w:rPr>
        <w:t>J Pain Res</w:t>
      </w:r>
      <w:r w:rsidRPr="00C855F7">
        <w:t>. 2021;14:2139-2164. Published 2021 Jul 16. doi:10.2147/JPR.S315585</w:t>
      </w:r>
    </w:p>
    <w:p w14:paraId="7895C20E" w14:textId="6BCDCA8C" w:rsidR="00C805EE" w:rsidRPr="00C855F7" w:rsidRDefault="00A134E1" w:rsidP="00C444B7">
      <w:pPr>
        <w:pStyle w:val="ListParagraph"/>
        <w:numPr>
          <w:ilvl w:val="0"/>
          <w:numId w:val="1"/>
        </w:numPr>
        <w:tabs>
          <w:tab w:val="left" w:pos="360"/>
        </w:tabs>
        <w:ind w:left="360"/>
      </w:pPr>
      <w:r w:rsidRPr="00C855F7">
        <w:t>Deer TR, Hayek SM, Pope JE, et al. The Polyanalgesic Consensus Conference (PACC): Recommendations for Trialing of Intrathecal Drug Delivery Infusion Therapy. </w:t>
      </w:r>
      <w:r w:rsidRPr="00C855F7">
        <w:rPr>
          <w:i/>
          <w:iCs/>
        </w:rPr>
        <w:t>Neuromodulation</w:t>
      </w:r>
      <w:r w:rsidRPr="00C855F7">
        <w:t>. 2017;20(2):133-154. doi:10.1111/ner.12543</w:t>
      </w:r>
    </w:p>
    <w:p w14:paraId="3A4B3A29" w14:textId="77777777" w:rsidR="00DD6ADB" w:rsidRDefault="00DD6ADB" w:rsidP="00963062"/>
    <w:p w14:paraId="73030C76" w14:textId="77777777" w:rsidR="00DD6ADB" w:rsidRPr="00146C6E" w:rsidRDefault="00C06257" w:rsidP="00146C6E">
      <w:pPr>
        <w:rPr>
          <w:rFonts w:eastAsiaTheme="minorHAnsi"/>
          <w:b/>
          <w:u w:val="single"/>
        </w:rPr>
      </w:pPr>
      <w:bookmarkStart w:id="9" w:name="Important_Reminder"/>
      <w:bookmarkEnd w:id="8"/>
      <w:r w:rsidRPr="00146C6E">
        <w:rPr>
          <w:rFonts w:eastAsiaTheme="minorHAnsi"/>
          <w:b/>
          <w:bCs/>
          <w:u w:val="single"/>
        </w:rPr>
        <w:t>Important R</w:t>
      </w:r>
      <w:r w:rsidR="005D7B81" w:rsidRPr="00146C6E">
        <w:rPr>
          <w:rFonts w:eastAsiaTheme="minorHAnsi"/>
          <w:b/>
          <w:bCs/>
          <w:u w:val="single"/>
        </w:rPr>
        <w:t>eminder</w:t>
      </w:r>
      <w:bookmarkEnd w:id="9"/>
    </w:p>
    <w:p w14:paraId="5701F557" w14:textId="77777777" w:rsidR="00DD6ADB" w:rsidRPr="00146C6E" w:rsidRDefault="00DD6ADB" w:rsidP="00146C6E">
      <w:pPr>
        <w:rPr>
          <w:rFonts w:eastAsiaTheme="minorHAnsi"/>
        </w:rPr>
      </w:pPr>
      <w:r w:rsidRPr="00146C6E">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012DE8CB" w14:textId="77777777" w:rsidR="00DD6ADB" w:rsidRPr="00146C6E" w:rsidRDefault="00DD6ADB" w:rsidP="00146C6E">
      <w:pPr>
        <w:rPr>
          <w:rFonts w:eastAsiaTheme="minorHAnsi"/>
        </w:rPr>
      </w:pPr>
    </w:p>
    <w:p w14:paraId="59487395" w14:textId="77777777" w:rsidR="00DD6ADB" w:rsidRPr="00146C6E" w:rsidRDefault="00DD6ADB" w:rsidP="00146C6E">
      <w:pPr>
        <w:rPr>
          <w:rFonts w:eastAsiaTheme="minorHAnsi"/>
        </w:rPr>
      </w:pPr>
      <w:r w:rsidRPr="00146C6E">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4B87120A" w14:textId="77777777" w:rsidR="00DD6ADB" w:rsidRPr="00146C6E" w:rsidRDefault="00DD6ADB" w:rsidP="00146C6E">
      <w:pPr>
        <w:rPr>
          <w:rFonts w:eastAsiaTheme="minorHAnsi"/>
        </w:rPr>
      </w:pPr>
    </w:p>
    <w:p w14:paraId="17CBF90E" w14:textId="77777777" w:rsidR="00DD6ADB" w:rsidRPr="00146C6E" w:rsidRDefault="00DD6ADB" w:rsidP="00146C6E">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071E4563" w14:textId="77777777" w:rsidR="00DD6ADB" w:rsidRPr="00146C6E" w:rsidRDefault="00DD6ADB" w:rsidP="00146C6E">
      <w:pPr>
        <w:rPr>
          <w:rFonts w:eastAsiaTheme="minorHAnsi"/>
        </w:rPr>
      </w:pPr>
    </w:p>
    <w:p w14:paraId="2F589C64" w14:textId="234043E2" w:rsidR="00DD6ADB" w:rsidRPr="00146C6E" w:rsidRDefault="00DD6ADB" w:rsidP="00146C6E">
      <w:pPr>
        <w:rPr>
          <w:rFonts w:eastAsiaTheme="minorHAnsi"/>
        </w:rPr>
      </w:pPr>
      <w:r w:rsidRPr="00146C6E">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care, and are solely responsible </w:t>
      </w:r>
      <w:r w:rsidRPr="00146C6E">
        <w:rPr>
          <w:rFonts w:eastAsiaTheme="minorHAnsi"/>
        </w:rPr>
        <w:lastRenderedPageBreak/>
        <w:t xml:space="preserve">for the medical advice and treatment of </w:t>
      </w:r>
      <w:r w:rsidR="00F90053">
        <w:rPr>
          <w:rFonts w:eastAsiaTheme="minorHAnsi"/>
        </w:rPr>
        <w:t>member/enrollee</w:t>
      </w:r>
      <w:r w:rsidRPr="00146C6E">
        <w:rPr>
          <w:rFonts w:eastAsiaTheme="minorHAnsi"/>
        </w:rPr>
        <w:t xml:space="preserve">s. This clinical policy is not intended to recommend treatment for </w:t>
      </w:r>
      <w:r w:rsidR="00F90053">
        <w:rPr>
          <w:rFonts w:eastAsiaTheme="minorHAnsi"/>
        </w:rPr>
        <w:t>member/enrollee</w:t>
      </w:r>
      <w:r w:rsidRPr="00146C6E">
        <w:rPr>
          <w:rFonts w:eastAsiaTheme="minorHAnsi"/>
        </w:rPr>
        <w:t xml:space="preserve">s. </w:t>
      </w:r>
      <w:r w:rsidR="00F90053">
        <w:rPr>
          <w:rFonts w:eastAsiaTheme="minorHAnsi"/>
        </w:rPr>
        <w:t>Member/enrollee</w:t>
      </w:r>
      <w:r w:rsidRPr="00146C6E">
        <w:rPr>
          <w:rFonts w:eastAsiaTheme="minorHAnsi"/>
        </w:rPr>
        <w:t xml:space="preserve">s should consult with their treating physician in connection with diagnosis and treatment decisions. </w:t>
      </w:r>
    </w:p>
    <w:p w14:paraId="75746F5B" w14:textId="77777777" w:rsidR="00DD6ADB" w:rsidRPr="00146C6E" w:rsidRDefault="00DD6ADB" w:rsidP="00146C6E">
      <w:pPr>
        <w:rPr>
          <w:rFonts w:eastAsiaTheme="minorHAnsi"/>
        </w:rPr>
      </w:pPr>
    </w:p>
    <w:p w14:paraId="0EE0FDC2" w14:textId="32B04B1F" w:rsidR="00DD6ADB" w:rsidRPr="00146C6E" w:rsidRDefault="00DD6ADB" w:rsidP="00146C6E">
      <w:pPr>
        <w:rPr>
          <w:rFonts w:eastAsiaTheme="minorHAnsi"/>
        </w:rPr>
      </w:pPr>
      <w:r w:rsidRPr="00146C6E">
        <w:rPr>
          <w:rFonts w:eastAsiaTheme="minorHAnsi"/>
        </w:rPr>
        <w:t>Providers referred to in this clinical policy are independent contractors who exercise independent judgment and over whom the Health Plan has no control or right of control. Providers are not agents or employees of the Health Plan.</w:t>
      </w:r>
    </w:p>
    <w:p w14:paraId="6873AD27" w14:textId="77777777" w:rsidR="00DD6ADB" w:rsidRPr="00146C6E" w:rsidRDefault="00DD6ADB" w:rsidP="00146C6E">
      <w:pPr>
        <w:rPr>
          <w:rFonts w:eastAsiaTheme="minorHAnsi"/>
        </w:rPr>
      </w:pPr>
    </w:p>
    <w:p w14:paraId="38C69B6B" w14:textId="204FE556" w:rsidR="00DD6ADB" w:rsidRPr="00146C6E" w:rsidRDefault="00DD6ADB" w:rsidP="00146C6E">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xml:space="preserve">. Unauthorized copying, use, and distribution of this clinical policy or any information contained herein are strictly prohibited.  Providers, </w:t>
      </w:r>
      <w:r w:rsidR="00F90053">
        <w:rPr>
          <w:rFonts w:eastAsiaTheme="minorHAnsi"/>
        </w:rPr>
        <w:t>member/enrollee</w:t>
      </w:r>
      <w:r w:rsidRPr="00146C6E">
        <w:rPr>
          <w:rFonts w:eastAsiaTheme="minorHAnsi"/>
        </w:rPr>
        <w:t xml:space="preserve">s and their representatives are bound to the terms and conditions expressed herein through the terms of their contracts. Where no such contract exists, providers, </w:t>
      </w:r>
      <w:r w:rsidR="00F90053">
        <w:rPr>
          <w:rFonts w:eastAsiaTheme="minorHAnsi"/>
        </w:rPr>
        <w:t>member/enrollee</w:t>
      </w:r>
      <w:r w:rsidRPr="00146C6E">
        <w:rPr>
          <w:rFonts w:eastAsiaTheme="minorHAnsi"/>
        </w:rPr>
        <w:t xml:space="preserve">s and their representatives agree to be bound by such terms and conditions by providing services to </w:t>
      </w:r>
      <w:r w:rsidR="00F90053">
        <w:rPr>
          <w:rFonts w:eastAsiaTheme="minorHAnsi"/>
        </w:rPr>
        <w:t>member/enrollee</w:t>
      </w:r>
      <w:r w:rsidRPr="00146C6E">
        <w:rPr>
          <w:rFonts w:eastAsiaTheme="minorHAnsi"/>
        </w:rPr>
        <w:t xml:space="preserve">s and/or submitting claims for payment for such services.  </w:t>
      </w:r>
    </w:p>
    <w:p w14:paraId="36452114" w14:textId="77777777" w:rsidR="00DD6ADB" w:rsidRPr="00146C6E" w:rsidRDefault="00DD6ADB" w:rsidP="00146C6E">
      <w:pPr>
        <w:autoSpaceDE w:val="0"/>
        <w:autoSpaceDN w:val="0"/>
        <w:adjustRightInd w:val="0"/>
        <w:rPr>
          <w:rFonts w:eastAsiaTheme="minorHAnsi"/>
          <w:color w:val="000000"/>
        </w:rPr>
      </w:pPr>
    </w:p>
    <w:p w14:paraId="1512C181" w14:textId="141473CB" w:rsidR="00DD6ADB" w:rsidRPr="00146C6E" w:rsidRDefault="00DD6ADB" w:rsidP="00146C6E">
      <w:pPr>
        <w:autoSpaceDE w:val="0"/>
        <w:autoSpaceDN w:val="0"/>
        <w:adjustRightInd w:val="0"/>
        <w:rPr>
          <w:rFonts w:eastAsiaTheme="minorHAnsi"/>
          <w:color w:val="000000"/>
        </w:rPr>
      </w:pPr>
      <w:r w:rsidRPr="00146C6E">
        <w:rPr>
          <w:rFonts w:eastAsiaTheme="minorHAnsi"/>
          <w:b/>
          <w:color w:val="000000"/>
        </w:rPr>
        <w:t xml:space="preserve">Note: For Medicaid </w:t>
      </w:r>
      <w:r w:rsidR="00F90053">
        <w:rPr>
          <w:rFonts w:eastAsiaTheme="minorHAnsi"/>
          <w:b/>
          <w:color w:val="000000"/>
        </w:rPr>
        <w:t>member/enrollee</w:t>
      </w:r>
      <w:r w:rsidRPr="00146C6E">
        <w:rPr>
          <w:rFonts w:eastAsiaTheme="minorHAnsi"/>
          <w:b/>
          <w:color w:val="000000"/>
        </w:rPr>
        <w:t>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0B961F0C" w14:textId="77777777" w:rsidR="00DD6ADB" w:rsidRPr="00146C6E" w:rsidRDefault="00DD6ADB" w:rsidP="00146C6E">
      <w:pPr>
        <w:rPr>
          <w:rFonts w:eastAsiaTheme="minorHAnsi"/>
        </w:rPr>
      </w:pPr>
    </w:p>
    <w:p w14:paraId="1931D725" w14:textId="6FAAEAB7" w:rsidR="00DD6ADB" w:rsidRPr="00146C6E" w:rsidRDefault="00DD6ADB" w:rsidP="00146C6E">
      <w:pPr>
        <w:autoSpaceDE w:val="0"/>
        <w:autoSpaceDN w:val="0"/>
        <w:adjustRightInd w:val="0"/>
        <w:rPr>
          <w:color w:val="000000"/>
        </w:rPr>
      </w:pPr>
      <w:r w:rsidRPr="00146C6E">
        <w:rPr>
          <w:rFonts w:eastAsiaTheme="minorHAnsi"/>
          <w:b/>
          <w:bCs/>
          <w:color w:val="000000"/>
        </w:rPr>
        <w:t xml:space="preserve">Note: For Medicare </w:t>
      </w:r>
      <w:r w:rsidR="00F90053">
        <w:rPr>
          <w:rFonts w:eastAsiaTheme="minorHAnsi"/>
          <w:b/>
          <w:bCs/>
          <w:color w:val="000000"/>
        </w:rPr>
        <w:t>member/enrollee</w:t>
      </w:r>
      <w:r w:rsidRPr="00146C6E">
        <w:rPr>
          <w:rFonts w:eastAsiaTheme="minorHAnsi"/>
          <w:b/>
          <w:bCs/>
          <w:color w:val="000000"/>
        </w:rPr>
        <w:t xml:space="preserve">s, </w:t>
      </w:r>
      <w:r w:rsidRPr="00146C6E">
        <w:rPr>
          <w:rFonts w:eastAsiaTheme="minorHAnsi"/>
          <w:color w:val="000000"/>
        </w:rPr>
        <w:t>to ensure consistency with the Medicare National Coverage Determinations (NCD) and Local Coverage Determinations (LCD), all applicable NCDs</w:t>
      </w:r>
      <w:r w:rsidR="002E5306">
        <w:rPr>
          <w:rFonts w:eastAsiaTheme="minorHAnsi"/>
          <w:color w:val="000000"/>
        </w:rPr>
        <w:t>,</w:t>
      </w:r>
      <w:r w:rsidRPr="00146C6E">
        <w:rPr>
          <w:rFonts w:eastAsiaTheme="minorHAnsi"/>
          <w:color w:val="000000"/>
        </w:rPr>
        <w:t xml:space="preserve"> LCDs</w:t>
      </w:r>
      <w:r w:rsidR="002E5306">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set forth in this clinical policy. Refer to the CMS website at </w:t>
      </w:r>
      <w:hyperlink r:id="rId19"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28175A5E" w14:textId="77777777" w:rsidR="00875924" w:rsidRPr="00146C6E" w:rsidRDefault="00875924" w:rsidP="00146C6E">
      <w:pPr>
        <w:rPr>
          <w:iCs/>
        </w:rPr>
      </w:pPr>
    </w:p>
    <w:p w14:paraId="22F29D45" w14:textId="3AF24C58" w:rsidR="00C75BD4" w:rsidRPr="00146C6E" w:rsidRDefault="00CB63DD" w:rsidP="00146C6E">
      <w:pPr>
        <w:rPr>
          <w:iCs/>
        </w:rPr>
      </w:pPr>
      <w:r>
        <w:rPr>
          <w:iCs/>
        </w:rPr>
        <w:t>©2018</w:t>
      </w:r>
      <w:r w:rsidR="00C75BD4"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00C75BD4" w:rsidRPr="00146C6E">
        <w:rPr>
          <w:iCs/>
          <w:vertAlign w:val="superscript"/>
        </w:rPr>
        <w:t>®</w:t>
      </w:r>
      <w:r w:rsidR="00C75BD4" w:rsidRPr="00146C6E">
        <w:rPr>
          <w:iCs/>
        </w:rPr>
        <w:t xml:space="preserve"> and Centene Corporation</w:t>
      </w:r>
      <w:r w:rsidR="00C75BD4" w:rsidRPr="00146C6E">
        <w:rPr>
          <w:iCs/>
          <w:vertAlign w:val="superscript"/>
        </w:rPr>
        <w:t>®</w:t>
      </w:r>
      <w:r w:rsidR="00C75BD4" w:rsidRPr="00146C6E">
        <w:rPr>
          <w:iCs/>
        </w:rPr>
        <w:t xml:space="preserve"> are registered trademarks exclusively owned by Centene Corporation.</w:t>
      </w:r>
    </w:p>
    <w:p w14:paraId="508820BB" w14:textId="77777777" w:rsidR="00C75BD4" w:rsidRDefault="00C75BD4" w:rsidP="00AF5490"/>
    <w:sectPr w:rsidR="00C75BD4" w:rsidSect="00CB63DD">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6675" w14:textId="77777777" w:rsidR="00CA1842" w:rsidRDefault="00CA1842">
      <w:r>
        <w:separator/>
      </w:r>
    </w:p>
  </w:endnote>
  <w:endnote w:type="continuationSeparator" w:id="0">
    <w:p w14:paraId="13B6F917" w14:textId="77777777" w:rsidR="00CA1842" w:rsidRDefault="00CA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C0DB" w14:textId="77777777" w:rsidR="006643D1" w:rsidRDefault="00664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C85E" w14:textId="2371FF4E" w:rsidR="00DD025A" w:rsidRPr="00D574CA" w:rsidRDefault="00D574CA" w:rsidP="00D574CA">
    <w:pPr>
      <w:pStyle w:val="Footer"/>
      <w:jc w:val="center"/>
    </w:pPr>
    <w:r>
      <w:t xml:space="preserve">Page </w:t>
    </w:r>
    <w:r>
      <w:rPr>
        <w:b/>
        <w:bCs/>
      </w:rPr>
      <w:fldChar w:fldCharType="begin"/>
    </w:r>
    <w:r>
      <w:rPr>
        <w:b/>
        <w:bCs/>
      </w:rPr>
      <w:instrText xml:space="preserve"> PAGE </w:instrText>
    </w:r>
    <w:r>
      <w:rPr>
        <w:b/>
        <w:bCs/>
      </w:rPr>
      <w:fldChar w:fldCharType="separate"/>
    </w:r>
    <w:r w:rsidR="006643D1">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6643D1">
      <w:rPr>
        <w:b/>
        <w:bCs/>
        <w:noProof/>
      </w:rPr>
      <w:t>10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A7B4" w14:textId="15456EFE" w:rsidR="002C6AAB" w:rsidRDefault="002C6AAB" w:rsidP="002C6AAB">
    <w:pPr>
      <w:pStyle w:val="Footer"/>
      <w:jc w:val="center"/>
    </w:pPr>
    <w:r>
      <w:t xml:space="preserve">Page </w:t>
    </w:r>
    <w:r>
      <w:fldChar w:fldCharType="begin"/>
    </w:r>
    <w:r>
      <w:instrText xml:space="preserve"> PAGE   \* MERGEFORMAT </w:instrText>
    </w:r>
    <w:r>
      <w:fldChar w:fldCharType="separate"/>
    </w:r>
    <w:r w:rsidR="006643D1">
      <w:rPr>
        <w:noProof/>
      </w:rPr>
      <w:t>1</w:t>
    </w:r>
    <w:r>
      <w:fldChar w:fldCharType="end"/>
    </w:r>
    <w:r>
      <w:t xml:space="preserve"> of </w:t>
    </w:r>
    <w:r w:rsidR="008F68F2">
      <w:rPr>
        <w:noProof/>
      </w:rPr>
      <w:fldChar w:fldCharType="begin"/>
    </w:r>
    <w:r w:rsidR="008F68F2">
      <w:rPr>
        <w:noProof/>
      </w:rPr>
      <w:instrText xml:space="preserve"> NUMPAGES   \* MERGEFORMAT </w:instrText>
    </w:r>
    <w:r w:rsidR="008F68F2">
      <w:rPr>
        <w:noProof/>
      </w:rPr>
      <w:fldChar w:fldCharType="separate"/>
    </w:r>
    <w:r w:rsidR="006643D1">
      <w:rPr>
        <w:noProof/>
      </w:rPr>
      <w:t>10</w:t>
    </w:r>
    <w:r w:rsidR="008F68F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7E556" w14:textId="77777777" w:rsidR="00CA1842" w:rsidRDefault="00CA1842">
      <w:r>
        <w:separator/>
      </w:r>
    </w:p>
  </w:footnote>
  <w:footnote w:type="continuationSeparator" w:id="0">
    <w:p w14:paraId="7EBE6E46" w14:textId="77777777" w:rsidR="00CA1842" w:rsidRDefault="00CA1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3D6B" w14:textId="77777777" w:rsidR="006643D1" w:rsidRDefault="00664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8365" w14:textId="77777777" w:rsidR="00D574CA" w:rsidRPr="00B777AF" w:rsidRDefault="00D574CA"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00B777AF" w:rsidRPr="00B777AF">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480C09">
      <w:rPr>
        <w:rFonts w:ascii="Times New Roman Bold" w:hAnsi="Times New Roman Bold"/>
        <w:b/>
        <w:bCs/>
        <w:smallCaps/>
        <w:color w:val="00548C"/>
        <w:sz w:val="28"/>
      </w:rPr>
      <w:tab/>
    </w:r>
    <w:r w:rsidR="00A20F73">
      <w:rPr>
        <w:noProof/>
        <w:color w:val="00548C"/>
      </w:rPr>
      <w:drawing>
        <wp:inline distT="0" distB="0" distL="0" distR="0" wp14:anchorId="6AE75917" wp14:editId="4851A970">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1B508765" w14:textId="27940D79" w:rsidR="00DD025A" w:rsidRPr="00B777AF" w:rsidRDefault="001E5824" w:rsidP="00B777AF">
    <w:pPr>
      <w:rPr>
        <w:color w:val="00548C"/>
      </w:rPr>
    </w:pPr>
    <w:r>
      <w:rPr>
        <w:rFonts w:ascii="Times New Roman Bold" w:hAnsi="Times New Roman Bold"/>
        <w:b/>
        <w:bCs/>
        <w:color w:val="00548C"/>
      </w:rPr>
      <w:t xml:space="preserve">Implantable Intrathecal </w:t>
    </w:r>
    <w:r w:rsidR="007744EB">
      <w:rPr>
        <w:rFonts w:ascii="Times New Roman Bold" w:hAnsi="Times New Roman Bold"/>
        <w:b/>
        <w:bCs/>
        <w:color w:val="00548C"/>
      </w:rPr>
      <w:t xml:space="preserve">or Epidural </w:t>
    </w:r>
    <w:r>
      <w:rPr>
        <w:rFonts w:ascii="Times New Roman Bold" w:hAnsi="Times New Roman Bold"/>
        <w:b/>
        <w:bCs/>
        <w:color w:val="00548C"/>
      </w:rPr>
      <w:t>Pain</w:t>
    </w:r>
    <w:r w:rsidR="002030F4">
      <w:rPr>
        <w:rFonts w:ascii="Times New Roman Bold" w:hAnsi="Times New Roman Bold"/>
        <w:b/>
        <w:bCs/>
        <w:color w:val="00548C"/>
      </w:rPr>
      <w:t xml:space="preserve"> Pump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0ED3" w14:textId="77777777" w:rsidR="009135E0" w:rsidRDefault="00A20F73" w:rsidP="00B777AF">
    <w:pPr>
      <w:pStyle w:val="Header"/>
      <w:jc w:val="right"/>
    </w:pPr>
    <w:r>
      <w:rPr>
        <w:noProof/>
      </w:rPr>
      <w:drawing>
        <wp:inline distT="0" distB="0" distL="0" distR="0" wp14:anchorId="7FDDFEAE" wp14:editId="028066FB">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49B"/>
    <w:multiLevelType w:val="hybridMultilevel"/>
    <w:tmpl w:val="2640E8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02DD6"/>
    <w:multiLevelType w:val="hybridMultilevel"/>
    <w:tmpl w:val="64D48070"/>
    <w:lvl w:ilvl="0" w:tplc="B524B256">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23657"/>
    <w:multiLevelType w:val="hybridMultilevel"/>
    <w:tmpl w:val="C7E2E144"/>
    <w:lvl w:ilvl="0" w:tplc="8BD272A8">
      <w:start w:val="1"/>
      <w:numFmt w:val="decimal"/>
      <w:lvlText w:val="%1)"/>
      <w:lvlJc w:val="left"/>
      <w:pPr>
        <w:ind w:left="1080" w:hanging="360"/>
      </w:pPr>
    </w:lvl>
    <w:lvl w:ilvl="1" w:tplc="08DE6A02">
      <w:start w:val="1"/>
      <w:numFmt w:val="decimal"/>
      <w:lvlText w:val="%2)"/>
      <w:lvlJc w:val="left"/>
      <w:pPr>
        <w:ind w:left="1080" w:hanging="360"/>
      </w:pPr>
    </w:lvl>
    <w:lvl w:ilvl="2" w:tplc="33F6B58A">
      <w:start w:val="1"/>
      <w:numFmt w:val="decimal"/>
      <w:lvlText w:val="%3)"/>
      <w:lvlJc w:val="left"/>
      <w:pPr>
        <w:ind w:left="1080" w:hanging="360"/>
      </w:pPr>
    </w:lvl>
    <w:lvl w:ilvl="3" w:tplc="EE0A973A">
      <w:start w:val="1"/>
      <w:numFmt w:val="decimal"/>
      <w:lvlText w:val="%4)"/>
      <w:lvlJc w:val="left"/>
      <w:pPr>
        <w:ind w:left="1080" w:hanging="360"/>
      </w:pPr>
    </w:lvl>
    <w:lvl w:ilvl="4" w:tplc="238E4440">
      <w:start w:val="1"/>
      <w:numFmt w:val="decimal"/>
      <w:lvlText w:val="%5)"/>
      <w:lvlJc w:val="left"/>
      <w:pPr>
        <w:ind w:left="1080" w:hanging="360"/>
      </w:pPr>
    </w:lvl>
    <w:lvl w:ilvl="5" w:tplc="CC9C2E74">
      <w:start w:val="1"/>
      <w:numFmt w:val="decimal"/>
      <w:lvlText w:val="%6)"/>
      <w:lvlJc w:val="left"/>
      <w:pPr>
        <w:ind w:left="1080" w:hanging="360"/>
      </w:pPr>
    </w:lvl>
    <w:lvl w:ilvl="6" w:tplc="669E149C">
      <w:start w:val="1"/>
      <w:numFmt w:val="decimal"/>
      <w:lvlText w:val="%7)"/>
      <w:lvlJc w:val="left"/>
      <w:pPr>
        <w:ind w:left="1080" w:hanging="360"/>
      </w:pPr>
    </w:lvl>
    <w:lvl w:ilvl="7" w:tplc="FEA48732">
      <w:start w:val="1"/>
      <w:numFmt w:val="decimal"/>
      <w:lvlText w:val="%8)"/>
      <w:lvlJc w:val="left"/>
      <w:pPr>
        <w:ind w:left="1080" w:hanging="360"/>
      </w:pPr>
    </w:lvl>
    <w:lvl w:ilvl="8" w:tplc="291CA034">
      <w:start w:val="1"/>
      <w:numFmt w:val="decimal"/>
      <w:lvlText w:val="%9)"/>
      <w:lvlJc w:val="left"/>
      <w:pPr>
        <w:ind w:left="1080" w:hanging="360"/>
      </w:pPr>
    </w:lvl>
  </w:abstractNum>
  <w:abstractNum w:abstractNumId="3" w15:restartNumberingAfterBreak="0">
    <w:nsid w:val="1D2C462E"/>
    <w:multiLevelType w:val="multilevel"/>
    <w:tmpl w:val="176625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BE4FEA"/>
    <w:multiLevelType w:val="hybridMultilevel"/>
    <w:tmpl w:val="EDF09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F2BB4"/>
    <w:multiLevelType w:val="hybridMultilevel"/>
    <w:tmpl w:val="0E1CB340"/>
    <w:lvl w:ilvl="0" w:tplc="327AF6C2">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B207513"/>
    <w:multiLevelType w:val="hybridMultilevel"/>
    <w:tmpl w:val="958C82B2"/>
    <w:lvl w:ilvl="0" w:tplc="CCF4333C">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CF12AF8"/>
    <w:multiLevelType w:val="hybridMultilevel"/>
    <w:tmpl w:val="66CAB172"/>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C088B"/>
    <w:multiLevelType w:val="hybridMultilevel"/>
    <w:tmpl w:val="637013A6"/>
    <w:lvl w:ilvl="0" w:tplc="58A62902">
      <w:start w:val="2"/>
      <w:numFmt w:val="upperRoman"/>
      <w:lvlText w:val="%1."/>
      <w:lvlJc w:val="left"/>
      <w:pPr>
        <w:ind w:left="1080" w:hanging="360"/>
      </w:pPr>
      <w:rPr>
        <w:rFonts w:hint="default"/>
        <w:b/>
        <w:i w:val="0"/>
        <w:color w:val="auto"/>
      </w:rPr>
    </w:lvl>
    <w:lvl w:ilvl="1" w:tplc="166C8D3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294685"/>
    <w:multiLevelType w:val="hybridMultilevel"/>
    <w:tmpl w:val="5044B298"/>
    <w:lvl w:ilvl="0" w:tplc="0409000F">
      <w:start w:val="1"/>
      <w:numFmt w:val="decimal"/>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0" w15:restartNumberingAfterBreak="0">
    <w:nsid w:val="3F642D26"/>
    <w:multiLevelType w:val="hybridMultilevel"/>
    <w:tmpl w:val="A21ED4A6"/>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6F1456"/>
    <w:multiLevelType w:val="hybridMultilevel"/>
    <w:tmpl w:val="65A26826"/>
    <w:lvl w:ilvl="0" w:tplc="C0FE85E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10802B2"/>
    <w:multiLevelType w:val="hybridMultilevel"/>
    <w:tmpl w:val="2F9AB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1018F1"/>
    <w:multiLevelType w:val="hybridMultilevel"/>
    <w:tmpl w:val="FAB46A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DD15AA"/>
    <w:multiLevelType w:val="hybridMultilevel"/>
    <w:tmpl w:val="8E12F5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16F90"/>
    <w:multiLevelType w:val="hybridMultilevel"/>
    <w:tmpl w:val="8316647E"/>
    <w:lvl w:ilvl="0" w:tplc="0409000F">
      <w:start w:val="1"/>
      <w:numFmt w:val="decimal"/>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6" w15:restartNumberingAfterBreak="0">
    <w:nsid w:val="5C656985"/>
    <w:multiLevelType w:val="hybridMultilevel"/>
    <w:tmpl w:val="66CAB1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8B1A41"/>
    <w:multiLevelType w:val="hybridMultilevel"/>
    <w:tmpl w:val="AFF6256A"/>
    <w:lvl w:ilvl="0" w:tplc="B2BC8D8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AB5AF0"/>
    <w:multiLevelType w:val="hybridMultilevel"/>
    <w:tmpl w:val="FF7CC0B6"/>
    <w:lvl w:ilvl="0" w:tplc="0409000F">
      <w:start w:val="1"/>
      <w:numFmt w:val="decimal"/>
      <w:lvlText w:val="%1."/>
      <w:lvlJc w:val="left"/>
      <w:pPr>
        <w:ind w:left="1440" w:hanging="360"/>
      </w:pPr>
    </w:lvl>
    <w:lvl w:ilvl="1" w:tplc="FB08F7AA">
      <w:start w:val="1"/>
      <w:numFmt w:val="lowerLetter"/>
      <w:lvlText w:val="%2."/>
      <w:lvlJc w:val="left"/>
      <w:pPr>
        <w:ind w:left="2160" w:hanging="360"/>
      </w:pPr>
      <w:rPr>
        <w:rFonts w:hint="default"/>
      </w:rPr>
    </w:lvl>
    <w:lvl w:ilvl="2" w:tplc="BE60F4A2">
      <w:start w:val="1"/>
      <w:numFmt w:val="upperLetter"/>
      <w:lvlText w:val="%3."/>
      <w:lvlJc w:val="left"/>
      <w:pPr>
        <w:ind w:left="306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ADD5FAD"/>
    <w:multiLevelType w:val="hybridMultilevel"/>
    <w:tmpl w:val="0E1CB340"/>
    <w:lvl w:ilvl="0" w:tplc="FFFFFFFF">
      <w:start w:val="1"/>
      <w:numFmt w:val="upp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1E5EC7"/>
    <w:multiLevelType w:val="hybridMultilevel"/>
    <w:tmpl w:val="A0FC723C"/>
    <w:lvl w:ilvl="0" w:tplc="CC7EA73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713C57"/>
    <w:multiLevelType w:val="hybridMultilevel"/>
    <w:tmpl w:val="46548B5E"/>
    <w:lvl w:ilvl="0" w:tplc="696AA7E0">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DF036E"/>
    <w:multiLevelType w:val="hybridMultilevel"/>
    <w:tmpl w:val="B31263BA"/>
    <w:lvl w:ilvl="0" w:tplc="E2A2F9EA">
      <w:start w:val="1"/>
      <w:numFmt w:val="upperRoman"/>
      <w:lvlText w:val="%1."/>
      <w:lvlJc w:val="left"/>
      <w:pPr>
        <w:ind w:left="720" w:hanging="360"/>
      </w:pPr>
      <w:rPr>
        <w:rFonts w:hint="default"/>
        <w:b/>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932E5D"/>
    <w:multiLevelType w:val="hybridMultilevel"/>
    <w:tmpl w:val="626065C6"/>
    <w:lvl w:ilvl="0" w:tplc="DBA862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3014202">
    <w:abstractNumId w:val="17"/>
  </w:num>
  <w:num w:numId="2" w16cid:durableId="902717508">
    <w:abstractNumId w:val="22"/>
  </w:num>
  <w:num w:numId="3" w16cid:durableId="101540334">
    <w:abstractNumId w:val="8"/>
  </w:num>
  <w:num w:numId="4" w16cid:durableId="424810836">
    <w:abstractNumId w:val="18"/>
  </w:num>
  <w:num w:numId="5" w16cid:durableId="1765371214">
    <w:abstractNumId w:val="11"/>
  </w:num>
  <w:num w:numId="6" w16cid:durableId="98264062">
    <w:abstractNumId w:val="5"/>
  </w:num>
  <w:num w:numId="7" w16cid:durableId="1671904079">
    <w:abstractNumId w:val="14"/>
  </w:num>
  <w:num w:numId="8" w16cid:durableId="1196581751">
    <w:abstractNumId w:val="12"/>
  </w:num>
  <w:num w:numId="9" w16cid:durableId="1092048998">
    <w:abstractNumId w:val="21"/>
  </w:num>
  <w:num w:numId="10" w16cid:durableId="2105763239">
    <w:abstractNumId w:val="1"/>
  </w:num>
  <w:num w:numId="11" w16cid:durableId="1569874279">
    <w:abstractNumId w:val="3"/>
  </w:num>
  <w:num w:numId="12" w16cid:durableId="1111320006">
    <w:abstractNumId w:val="23"/>
  </w:num>
  <w:num w:numId="13" w16cid:durableId="268589072">
    <w:abstractNumId w:val="10"/>
  </w:num>
  <w:num w:numId="14" w16cid:durableId="1788543110">
    <w:abstractNumId w:val="20"/>
  </w:num>
  <w:num w:numId="15" w16cid:durableId="1837836802">
    <w:abstractNumId w:val="7"/>
  </w:num>
  <w:num w:numId="16" w16cid:durableId="1535338661">
    <w:abstractNumId w:val="16"/>
  </w:num>
  <w:num w:numId="17" w16cid:durableId="2040663848">
    <w:abstractNumId w:val="0"/>
  </w:num>
  <w:num w:numId="18" w16cid:durableId="1525825032">
    <w:abstractNumId w:val="4"/>
  </w:num>
  <w:num w:numId="19" w16cid:durableId="157503771">
    <w:abstractNumId w:val="6"/>
  </w:num>
  <w:num w:numId="20" w16cid:durableId="763459113">
    <w:abstractNumId w:val="13"/>
  </w:num>
  <w:num w:numId="21" w16cid:durableId="1054162921">
    <w:abstractNumId w:val="19"/>
  </w:num>
  <w:num w:numId="22" w16cid:durableId="1550220511">
    <w:abstractNumId w:val="9"/>
  </w:num>
  <w:num w:numId="23" w16cid:durableId="23991966">
    <w:abstractNumId w:val="15"/>
  </w:num>
  <w:num w:numId="24" w16cid:durableId="89628438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10BD"/>
    <w:rsid w:val="00001ED0"/>
    <w:rsid w:val="000031F3"/>
    <w:rsid w:val="000126E4"/>
    <w:rsid w:val="00015B1B"/>
    <w:rsid w:val="00016959"/>
    <w:rsid w:val="000169C8"/>
    <w:rsid w:val="00024789"/>
    <w:rsid w:val="00032D3F"/>
    <w:rsid w:val="00035DC0"/>
    <w:rsid w:val="000428C4"/>
    <w:rsid w:val="000465DE"/>
    <w:rsid w:val="0004733E"/>
    <w:rsid w:val="000475CA"/>
    <w:rsid w:val="000507A6"/>
    <w:rsid w:val="000521AD"/>
    <w:rsid w:val="000530A9"/>
    <w:rsid w:val="000533FB"/>
    <w:rsid w:val="00053D27"/>
    <w:rsid w:val="0005445B"/>
    <w:rsid w:val="00057DFF"/>
    <w:rsid w:val="00060509"/>
    <w:rsid w:val="00061A4E"/>
    <w:rsid w:val="00063731"/>
    <w:rsid w:val="00066902"/>
    <w:rsid w:val="00066DD0"/>
    <w:rsid w:val="00067381"/>
    <w:rsid w:val="0006738C"/>
    <w:rsid w:val="000679DE"/>
    <w:rsid w:val="00071506"/>
    <w:rsid w:val="00074130"/>
    <w:rsid w:val="000743DB"/>
    <w:rsid w:val="0007455F"/>
    <w:rsid w:val="00075AE3"/>
    <w:rsid w:val="000770D2"/>
    <w:rsid w:val="00080288"/>
    <w:rsid w:val="0008143B"/>
    <w:rsid w:val="00083740"/>
    <w:rsid w:val="000858EB"/>
    <w:rsid w:val="00085AC2"/>
    <w:rsid w:val="00086157"/>
    <w:rsid w:val="0009280F"/>
    <w:rsid w:val="00094136"/>
    <w:rsid w:val="00097268"/>
    <w:rsid w:val="000A5934"/>
    <w:rsid w:val="000A6850"/>
    <w:rsid w:val="000A70A0"/>
    <w:rsid w:val="000B044C"/>
    <w:rsid w:val="000B182C"/>
    <w:rsid w:val="000B5F34"/>
    <w:rsid w:val="000B6A0F"/>
    <w:rsid w:val="000C265C"/>
    <w:rsid w:val="000C3916"/>
    <w:rsid w:val="000C3B09"/>
    <w:rsid w:val="000C7B33"/>
    <w:rsid w:val="000D1573"/>
    <w:rsid w:val="000D40B5"/>
    <w:rsid w:val="000D7054"/>
    <w:rsid w:val="000D724C"/>
    <w:rsid w:val="000E0E00"/>
    <w:rsid w:val="000E194E"/>
    <w:rsid w:val="000F10C2"/>
    <w:rsid w:val="000F2408"/>
    <w:rsid w:val="000F31FF"/>
    <w:rsid w:val="000F3E85"/>
    <w:rsid w:val="000F4A10"/>
    <w:rsid w:val="000F666F"/>
    <w:rsid w:val="0010002A"/>
    <w:rsid w:val="001033FA"/>
    <w:rsid w:val="0010753F"/>
    <w:rsid w:val="001108F4"/>
    <w:rsid w:val="00114279"/>
    <w:rsid w:val="001148A8"/>
    <w:rsid w:val="001165F0"/>
    <w:rsid w:val="00116B99"/>
    <w:rsid w:val="00120A21"/>
    <w:rsid w:val="00120CFF"/>
    <w:rsid w:val="001250D5"/>
    <w:rsid w:val="001368FC"/>
    <w:rsid w:val="0014307C"/>
    <w:rsid w:val="0014316D"/>
    <w:rsid w:val="00144C71"/>
    <w:rsid w:val="00146C6E"/>
    <w:rsid w:val="00147DEF"/>
    <w:rsid w:val="00160557"/>
    <w:rsid w:val="00162AA3"/>
    <w:rsid w:val="00170B14"/>
    <w:rsid w:val="0017392A"/>
    <w:rsid w:val="0017546F"/>
    <w:rsid w:val="001818D7"/>
    <w:rsid w:val="00185104"/>
    <w:rsid w:val="00185C78"/>
    <w:rsid w:val="00187316"/>
    <w:rsid w:val="00194FF7"/>
    <w:rsid w:val="001962BE"/>
    <w:rsid w:val="00196689"/>
    <w:rsid w:val="00196935"/>
    <w:rsid w:val="0019746F"/>
    <w:rsid w:val="001A428A"/>
    <w:rsid w:val="001A4999"/>
    <w:rsid w:val="001A6196"/>
    <w:rsid w:val="001A6CE4"/>
    <w:rsid w:val="001A703C"/>
    <w:rsid w:val="001B14EC"/>
    <w:rsid w:val="001B3D70"/>
    <w:rsid w:val="001B4575"/>
    <w:rsid w:val="001B5587"/>
    <w:rsid w:val="001B59D7"/>
    <w:rsid w:val="001B753E"/>
    <w:rsid w:val="001B7EB6"/>
    <w:rsid w:val="001C1641"/>
    <w:rsid w:val="001C5F1B"/>
    <w:rsid w:val="001D07F5"/>
    <w:rsid w:val="001D0D34"/>
    <w:rsid w:val="001D20EC"/>
    <w:rsid w:val="001D376B"/>
    <w:rsid w:val="001D4A4C"/>
    <w:rsid w:val="001D70D4"/>
    <w:rsid w:val="001E3ED3"/>
    <w:rsid w:val="001E4AC4"/>
    <w:rsid w:val="001E4D8E"/>
    <w:rsid w:val="001E5824"/>
    <w:rsid w:val="001E7D12"/>
    <w:rsid w:val="001F7468"/>
    <w:rsid w:val="002030F4"/>
    <w:rsid w:val="002035B9"/>
    <w:rsid w:val="0020675F"/>
    <w:rsid w:val="00207DCE"/>
    <w:rsid w:val="00211FE8"/>
    <w:rsid w:val="00214499"/>
    <w:rsid w:val="002151B4"/>
    <w:rsid w:val="00217800"/>
    <w:rsid w:val="00220736"/>
    <w:rsid w:val="00221383"/>
    <w:rsid w:val="002214B8"/>
    <w:rsid w:val="00226921"/>
    <w:rsid w:val="002275EF"/>
    <w:rsid w:val="00230FE4"/>
    <w:rsid w:val="00231858"/>
    <w:rsid w:val="00233651"/>
    <w:rsid w:val="0023489D"/>
    <w:rsid w:val="00240B2C"/>
    <w:rsid w:val="00246A99"/>
    <w:rsid w:val="002531D1"/>
    <w:rsid w:val="00254020"/>
    <w:rsid w:val="0025452A"/>
    <w:rsid w:val="00257D9E"/>
    <w:rsid w:val="00260E90"/>
    <w:rsid w:val="002640CF"/>
    <w:rsid w:val="002702B3"/>
    <w:rsid w:val="00273E7C"/>
    <w:rsid w:val="0027645B"/>
    <w:rsid w:val="002814B8"/>
    <w:rsid w:val="00284B06"/>
    <w:rsid w:val="002853C9"/>
    <w:rsid w:val="00285997"/>
    <w:rsid w:val="0029051F"/>
    <w:rsid w:val="0029273A"/>
    <w:rsid w:val="002A39EE"/>
    <w:rsid w:val="002A6E22"/>
    <w:rsid w:val="002B0582"/>
    <w:rsid w:val="002C6AAB"/>
    <w:rsid w:val="002D019A"/>
    <w:rsid w:val="002D7171"/>
    <w:rsid w:val="002E0781"/>
    <w:rsid w:val="002E48E7"/>
    <w:rsid w:val="002E5306"/>
    <w:rsid w:val="002F0B8B"/>
    <w:rsid w:val="002F6E60"/>
    <w:rsid w:val="002F791B"/>
    <w:rsid w:val="00303396"/>
    <w:rsid w:val="00306563"/>
    <w:rsid w:val="0031095D"/>
    <w:rsid w:val="00312692"/>
    <w:rsid w:val="00312BC6"/>
    <w:rsid w:val="003140D6"/>
    <w:rsid w:val="00324813"/>
    <w:rsid w:val="00326475"/>
    <w:rsid w:val="00326BF6"/>
    <w:rsid w:val="003346A8"/>
    <w:rsid w:val="00334ADA"/>
    <w:rsid w:val="0033516D"/>
    <w:rsid w:val="00336E37"/>
    <w:rsid w:val="00340064"/>
    <w:rsid w:val="00341672"/>
    <w:rsid w:val="003417B5"/>
    <w:rsid w:val="00350F22"/>
    <w:rsid w:val="003519FB"/>
    <w:rsid w:val="00353E0E"/>
    <w:rsid w:val="00354807"/>
    <w:rsid w:val="00360D19"/>
    <w:rsid w:val="00363F53"/>
    <w:rsid w:val="00365830"/>
    <w:rsid w:val="00367CC6"/>
    <w:rsid w:val="00367CED"/>
    <w:rsid w:val="0037419B"/>
    <w:rsid w:val="003744B5"/>
    <w:rsid w:val="003806EA"/>
    <w:rsid w:val="003840CC"/>
    <w:rsid w:val="00384401"/>
    <w:rsid w:val="00384C9C"/>
    <w:rsid w:val="00392034"/>
    <w:rsid w:val="00392FA7"/>
    <w:rsid w:val="003A7C81"/>
    <w:rsid w:val="003B116F"/>
    <w:rsid w:val="003B1FD1"/>
    <w:rsid w:val="003B2598"/>
    <w:rsid w:val="003B3A96"/>
    <w:rsid w:val="003C0B50"/>
    <w:rsid w:val="003C6910"/>
    <w:rsid w:val="003C7AFE"/>
    <w:rsid w:val="003D386E"/>
    <w:rsid w:val="003D63B6"/>
    <w:rsid w:val="003D63C6"/>
    <w:rsid w:val="003D7BE7"/>
    <w:rsid w:val="003E530A"/>
    <w:rsid w:val="003E603B"/>
    <w:rsid w:val="003E7A81"/>
    <w:rsid w:val="003F3D44"/>
    <w:rsid w:val="003F5D37"/>
    <w:rsid w:val="003F6E19"/>
    <w:rsid w:val="003F7B97"/>
    <w:rsid w:val="004017B4"/>
    <w:rsid w:val="00405D6A"/>
    <w:rsid w:val="00414334"/>
    <w:rsid w:val="00414CF8"/>
    <w:rsid w:val="004220EA"/>
    <w:rsid w:val="004226FB"/>
    <w:rsid w:val="00423610"/>
    <w:rsid w:val="00423CE2"/>
    <w:rsid w:val="0042583E"/>
    <w:rsid w:val="00426DB1"/>
    <w:rsid w:val="00432E15"/>
    <w:rsid w:val="00433B42"/>
    <w:rsid w:val="00435636"/>
    <w:rsid w:val="00441CF2"/>
    <w:rsid w:val="00446D41"/>
    <w:rsid w:val="00447065"/>
    <w:rsid w:val="00452BC4"/>
    <w:rsid w:val="00455EFF"/>
    <w:rsid w:val="004618B8"/>
    <w:rsid w:val="00461AC3"/>
    <w:rsid w:val="00463B84"/>
    <w:rsid w:val="00464A26"/>
    <w:rsid w:val="00471FE8"/>
    <w:rsid w:val="00472B42"/>
    <w:rsid w:val="00472C6C"/>
    <w:rsid w:val="00473CDA"/>
    <w:rsid w:val="004801A5"/>
    <w:rsid w:val="00480C09"/>
    <w:rsid w:val="00487C38"/>
    <w:rsid w:val="0049107D"/>
    <w:rsid w:val="00491457"/>
    <w:rsid w:val="00492F45"/>
    <w:rsid w:val="00493710"/>
    <w:rsid w:val="00496BCF"/>
    <w:rsid w:val="00497AED"/>
    <w:rsid w:val="004A0387"/>
    <w:rsid w:val="004A0395"/>
    <w:rsid w:val="004A5F25"/>
    <w:rsid w:val="004A6309"/>
    <w:rsid w:val="004B65DA"/>
    <w:rsid w:val="004C14AD"/>
    <w:rsid w:val="004C39F7"/>
    <w:rsid w:val="004C3EE9"/>
    <w:rsid w:val="004C7108"/>
    <w:rsid w:val="004C7DE7"/>
    <w:rsid w:val="004D09B2"/>
    <w:rsid w:val="004E0B99"/>
    <w:rsid w:val="004E3E6A"/>
    <w:rsid w:val="004F17E3"/>
    <w:rsid w:val="004F5A79"/>
    <w:rsid w:val="004F6394"/>
    <w:rsid w:val="00501174"/>
    <w:rsid w:val="0050519C"/>
    <w:rsid w:val="00505830"/>
    <w:rsid w:val="00505D62"/>
    <w:rsid w:val="00507737"/>
    <w:rsid w:val="005103B8"/>
    <w:rsid w:val="00516391"/>
    <w:rsid w:val="00516669"/>
    <w:rsid w:val="00520C63"/>
    <w:rsid w:val="00521459"/>
    <w:rsid w:val="00525CE5"/>
    <w:rsid w:val="005423D4"/>
    <w:rsid w:val="0054246D"/>
    <w:rsid w:val="0054708A"/>
    <w:rsid w:val="0055140E"/>
    <w:rsid w:val="00552376"/>
    <w:rsid w:val="005537B0"/>
    <w:rsid w:val="005562FD"/>
    <w:rsid w:val="005658CC"/>
    <w:rsid w:val="00565AF1"/>
    <w:rsid w:val="00572EC5"/>
    <w:rsid w:val="005731C4"/>
    <w:rsid w:val="00576CCE"/>
    <w:rsid w:val="00577135"/>
    <w:rsid w:val="005776FD"/>
    <w:rsid w:val="00577A62"/>
    <w:rsid w:val="00577B41"/>
    <w:rsid w:val="00577DAE"/>
    <w:rsid w:val="005806DB"/>
    <w:rsid w:val="00583376"/>
    <w:rsid w:val="00583741"/>
    <w:rsid w:val="005839FE"/>
    <w:rsid w:val="00585589"/>
    <w:rsid w:val="0059157E"/>
    <w:rsid w:val="00593CDB"/>
    <w:rsid w:val="00594D13"/>
    <w:rsid w:val="00596545"/>
    <w:rsid w:val="00596B7D"/>
    <w:rsid w:val="005B0CBE"/>
    <w:rsid w:val="005B33E0"/>
    <w:rsid w:val="005B7E2D"/>
    <w:rsid w:val="005C17DF"/>
    <w:rsid w:val="005C3607"/>
    <w:rsid w:val="005C4D6E"/>
    <w:rsid w:val="005C59F8"/>
    <w:rsid w:val="005C6353"/>
    <w:rsid w:val="005C74F1"/>
    <w:rsid w:val="005C75C0"/>
    <w:rsid w:val="005D009F"/>
    <w:rsid w:val="005D02D8"/>
    <w:rsid w:val="005D0DE7"/>
    <w:rsid w:val="005D5146"/>
    <w:rsid w:val="005D7B81"/>
    <w:rsid w:val="005E274B"/>
    <w:rsid w:val="005E411E"/>
    <w:rsid w:val="005F051C"/>
    <w:rsid w:val="005F60A4"/>
    <w:rsid w:val="005F6256"/>
    <w:rsid w:val="005F71A7"/>
    <w:rsid w:val="0060066F"/>
    <w:rsid w:val="00602C35"/>
    <w:rsid w:val="00605D8F"/>
    <w:rsid w:val="006106E7"/>
    <w:rsid w:val="0061131C"/>
    <w:rsid w:val="0061570A"/>
    <w:rsid w:val="006204C4"/>
    <w:rsid w:val="00621F96"/>
    <w:rsid w:val="0062432D"/>
    <w:rsid w:val="006260B3"/>
    <w:rsid w:val="00635F8C"/>
    <w:rsid w:val="0064235C"/>
    <w:rsid w:val="006474BB"/>
    <w:rsid w:val="006643D1"/>
    <w:rsid w:val="006664E9"/>
    <w:rsid w:val="00670761"/>
    <w:rsid w:val="00682359"/>
    <w:rsid w:val="00684254"/>
    <w:rsid w:val="00684E53"/>
    <w:rsid w:val="006927A7"/>
    <w:rsid w:val="00695AA7"/>
    <w:rsid w:val="006975FE"/>
    <w:rsid w:val="006A71C7"/>
    <w:rsid w:val="006B0B81"/>
    <w:rsid w:val="006B3910"/>
    <w:rsid w:val="006B604C"/>
    <w:rsid w:val="006C67A0"/>
    <w:rsid w:val="006C74DF"/>
    <w:rsid w:val="006C74F8"/>
    <w:rsid w:val="006D2E35"/>
    <w:rsid w:val="006D4C94"/>
    <w:rsid w:val="006D5B6E"/>
    <w:rsid w:val="006E0CF6"/>
    <w:rsid w:val="006E1745"/>
    <w:rsid w:val="006E2776"/>
    <w:rsid w:val="006E27C9"/>
    <w:rsid w:val="006F4D70"/>
    <w:rsid w:val="006F4D80"/>
    <w:rsid w:val="006F65FB"/>
    <w:rsid w:val="006F6770"/>
    <w:rsid w:val="0070014D"/>
    <w:rsid w:val="007163E2"/>
    <w:rsid w:val="00732E3B"/>
    <w:rsid w:val="00733F3E"/>
    <w:rsid w:val="00734EF2"/>
    <w:rsid w:val="00735E63"/>
    <w:rsid w:val="00741349"/>
    <w:rsid w:val="007433A0"/>
    <w:rsid w:val="00744250"/>
    <w:rsid w:val="00744BE3"/>
    <w:rsid w:val="0075024A"/>
    <w:rsid w:val="0075449D"/>
    <w:rsid w:val="00755C58"/>
    <w:rsid w:val="00764DE5"/>
    <w:rsid w:val="00766191"/>
    <w:rsid w:val="00771D61"/>
    <w:rsid w:val="007744EB"/>
    <w:rsid w:val="0077488A"/>
    <w:rsid w:val="00774CE6"/>
    <w:rsid w:val="007764CE"/>
    <w:rsid w:val="00777921"/>
    <w:rsid w:val="00777E01"/>
    <w:rsid w:val="0078379D"/>
    <w:rsid w:val="00784E56"/>
    <w:rsid w:val="007861FF"/>
    <w:rsid w:val="00787AD5"/>
    <w:rsid w:val="007908C1"/>
    <w:rsid w:val="007950CE"/>
    <w:rsid w:val="00797BB3"/>
    <w:rsid w:val="007A0BCC"/>
    <w:rsid w:val="007A3D4B"/>
    <w:rsid w:val="007A4DED"/>
    <w:rsid w:val="007A5D3F"/>
    <w:rsid w:val="007A722E"/>
    <w:rsid w:val="007B07AE"/>
    <w:rsid w:val="007B2767"/>
    <w:rsid w:val="007B277C"/>
    <w:rsid w:val="007B50D0"/>
    <w:rsid w:val="007B52B1"/>
    <w:rsid w:val="007B71E6"/>
    <w:rsid w:val="007C3C9E"/>
    <w:rsid w:val="007C6A87"/>
    <w:rsid w:val="007D4801"/>
    <w:rsid w:val="007D49B2"/>
    <w:rsid w:val="007E0A36"/>
    <w:rsid w:val="007E0E2E"/>
    <w:rsid w:val="007E15FF"/>
    <w:rsid w:val="007E1F5A"/>
    <w:rsid w:val="007E277D"/>
    <w:rsid w:val="007E41A8"/>
    <w:rsid w:val="007E7EB2"/>
    <w:rsid w:val="007F16AA"/>
    <w:rsid w:val="007F1C35"/>
    <w:rsid w:val="007F1DA4"/>
    <w:rsid w:val="007F1F19"/>
    <w:rsid w:val="007F3304"/>
    <w:rsid w:val="007F7297"/>
    <w:rsid w:val="00800FDE"/>
    <w:rsid w:val="00804154"/>
    <w:rsid w:val="0081081F"/>
    <w:rsid w:val="00811EF8"/>
    <w:rsid w:val="00822EC2"/>
    <w:rsid w:val="008236A0"/>
    <w:rsid w:val="00824655"/>
    <w:rsid w:val="00824B4C"/>
    <w:rsid w:val="00834989"/>
    <w:rsid w:val="00834CA2"/>
    <w:rsid w:val="00837480"/>
    <w:rsid w:val="00845DBC"/>
    <w:rsid w:val="00847078"/>
    <w:rsid w:val="00852190"/>
    <w:rsid w:val="00855B6B"/>
    <w:rsid w:val="00855EA7"/>
    <w:rsid w:val="00857C10"/>
    <w:rsid w:val="00857C37"/>
    <w:rsid w:val="00862B00"/>
    <w:rsid w:val="00862E49"/>
    <w:rsid w:val="00865B90"/>
    <w:rsid w:val="008662F1"/>
    <w:rsid w:val="00867949"/>
    <w:rsid w:val="00870214"/>
    <w:rsid w:val="00874928"/>
    <w:rsid w:val="00875924"/>
    <w:rsid w:val="008766F1"/>
    <w:rsid w:val="00877EC7"/>
    <w:rsid w:val="00885FF6"/>
    <w:rsid w:val="008860D4"/>
    <w:rsid w:val="0089651D"/>
    <w:rsid w:val="00896E94"/>
    <w:rsid w:val="008A06A2"/>
    <w:rsid w:val="008A440D"/>
    <w:rsid w:val="008B0705"/>
    <w:rsid w:val="008C1764"/>
    <w:rsid w:val="008C393D"/>
    <w:rsid w:val="008C5245"/>
    <w:rsid w:val="008C5B0C"/>
    <w:rsid w:val="008C6B3A"/>
    <w:rsid w:val="008C71B0"/>
    <w:rsid w:val="008D3B0C"/>
    <w:rsid w:val="008D7A68"/>
    <w:rsid w:val="008D7B97"/>
    <w:rsid w:val="008E7899"/>
    <w:rsid w:val="008F07F0"/>
    <w:rsid w:val="008F5593"/>
    <w:rsid w:val="008F68F2"/>
    <w:rsid w:val="008F7848"/>
    <w:rsid w:val="008F78FF"/>
    <w:rsid w:val="00902C9B"/>
    <w:rsid w:val="00905737"/>
    <w:rsid w:val="00905C89"/>
    <w:rsid w:val="009109E9"/>
    <w:rsid w:val="009135E0"/>
    <w:rsid w:val="00915CA4"/>
    <w:rsid w:val="00916E7D"/>
    <w:rsid w:val="009204AE"/>
    <w:rsid w:val="009322D7"/>
    <w:rsid w:val="00933098"/>
    <w:rsid w:val="0093648F"/>
    <w:rsid w:val="009372EA"/>
    <w:rsid w:val="009423A3"/>
    <w:rsid w:val="009433B4"/>
    <w:rsid w:val="00944B75"/>
    <w:rsid w:val="009471A7"/>
    <w:rsid w:val="00950820"/>
    <w:rsid w:val="0095570C"/>
    <w:rsid w:val="00961071"/>
    <w:rsid w:val="00962ABE"/>
    <w:rsid w:val="00963062"/>
    <w:rsid w:val="00964C4A"/>
    <w:rsid w:val="00967C2C"/>
    <w:rsid w:val="009735FA"/>
    <w:rsid w:val="00977ECA"/>
    <w:rsid w:val="00982180"/>
    <w:rsid w:val="0098303B"/>
    <w:rsid w:val="009841AB"/>
    <w:rsid w:val="009914E6"/>
    <w:rsid w:val="0099216B"/>
    <w:rsid w:val="009928B2"/>
    <w:rsid w:val="009A337D"/>
    <w:rsid w:val="009A437B"/>
    <w:rsid w:val="009B05D4"/>
    <w:rsid w:val="009B41DD"/>
    <w:rsid w:val="009B5B42"/>
    <w:rsid w:val="009C61B2"/>
    <w:rsid w:val="009C7C84"/>
    <w:rsid w:val="009D51B7"/>
    <w:rsid w:val="009D5928"/>
    <w:rsid w:val="009E2220"/>
    <w:rsid w:val="009E3608"/>
    <w:rsid w:val="009E6848"/>
    <w:rsid w:val="009E6F29"/>
    <w:rsid w:val="009F4695"/>
    <w:rsid w:val="009F5E2E"/>
    <w:rsid w:val="009F61B4"/>
    <w:rsid w:val="00A01ADC"/>
    <w:rsid w:val="00A121C6"/>
    <w:rsid w:val="00A1234F"/>
    <w:rsid w:val="00A134E1"/>
    <w:rsid w:val="00A20F73"/>
    <w:rsid w:val="00A21943"/>
    <w:rsid w:val="00A236B4"/>
    <w:rsid w:val="00A25348"/>
    <w:rsid w:val="00A32C90"/>
    <w:rsid w:val="00A37BE9"/>
    <w:rsid w:val="00A40697"/>
    <w:rsid w:val="00A41969"/>
    <w:rsid w:val="00A439F5"/>
    <w:rsid w:val="00A45A74"/>
    <w:rsid w:val="00A4638F"/>
    <w:rsid w:val="00A54785"/>
    <w:rsid w:val="00A57D02"/>
    <w:rsid w:val="00A60413"/>
    <w:rsid w:val="00A62C40"/>
    <w:rsid w:val="00A723D8"/>
    <w:rsid w:val="00A7511E"/>
    <w:rsid w:val="00A821D5"/>
    <w:rsid w:val="00A835C6"/>
    <w:rsid w:val="00A83658"/>
    <w:rsid w:val="00A85489"/>
    <w:rsid w:val="00A87B1F"/>
    <w:rsid w:val="00A9147B"/>
    <w:rsid w:val="00A92CAD"/>
    <w:rsid w:val="00A94CA8"/>
    <w:rsid w:val="00AA134F"/>
    <w:rsid w:val="00AA336E"/>
    <w:rsid w:val="00AA428E"/>
    <w:rsid w:val="00AA6006"/>
    <w:rsid w:val="00AB79EE"/>
    <w:rsid w:val="00AC06FA"/>
    <w:rsid w:val="00AC4E33"/>
    <w:rsid w:val="00AC5371"/>
    <w:rsid w:val="00AD1AA6"/>
    <w:rsid w:val="00AD3905"/>
    <w:rsid w:val="00AD7E00"/>
    <w:rsid w:val="00AE30D2"/>
    <w:rsid w:val="00AE6FD8"/>
    <w:rsid w:val="00AF0574"/>
    <w:rsid w:val="00AF0953"/>
    <w:rsid w:val="00AF1F2A"/>
    <w:rsid w:val="00AF30EF"/>
    <w:rsid w:val="00AF5490"/>
    <w:rsid w:val="00B0031F"/>
    <w:rsid w:val="00B05A61"/>
    <w:rsid w:val="00B308EB"/>
    <w:rsid w:val="00B30C11"/>
    <w:rsid w:val="00B343D6"/>
    <w:rsid w:val="00B378C6"/>
    <w:rsid w:val="00B44FBA"/>
    <w:rsid w:val="00B45DB3"/>
    <w:rsid w:val="00B4633B"/>
    <w:rsid w:val="00B53D22"/>
    <w:rsid w:val="00B60BEE"/>
    <w:rsid w:val="00B73419"/>
    <w:rsid w:val="00B777AF"/>
    <w:rsid w:val="00B8063A"/>
    <w:rsid w:val="00B81606"/>
    <w:rsid w:val="00B81789"/>
    <w:rsid w:val="00B87D65"/>
    <w:rsid w:val="00B91AC3"/>
    <w:rsid w:val="00B92DF1"/>
    <w:rsid w:val="00B93C96"/>
    <w:rsid w:val="00BA00F1"/>
    <w:rsid w:val="00BA2251"/>
    <w:rsid w:val="00BB0B0B"/>
    <w:rsid w:val="00BB2E5F"/>
    <w:rsid w:val="00BC1071"/>
    <w:rsid w:val="00BC2444"/>
    <w:rsid w:val="00BC7DCE"/>
    <w:rsid w:val="00BD067E"/>
    <w:rsid w:val="00BD1EA0"/>
    <w:rsid w:val="00BD3535"/>
    <w:rsid w:val="00BD359F"/>
    <w:rsid w:val="00BE1683"/>
    <w:rsid w:val="00BE3B73"/>
    <w:rsid w:val="00BE3F71"/>
    <w:rsid w:val="00BE4A67"/>
    <w:rsid w:val="00BE5D2C"/>
    <w:rsid w:val="00BF20DB"/>
    <w:rsid w:val="00BF2A8F"/>
    <w:rsid w:val="00BF4150"/>
    <w:rsid w:val="00BF6A32"/>
    <w:rsid w:val="00C017C7"/>
    <w:rsid w:val="00C01AA6"/>
    <w:rsid w:val="00C06257"/>
    <w:rsid w:val="00C079B0"/>
    <w:rsid w:val="00C124BA"/>
    <w:rsid w:val="00C14250"/>
    <w:rsid w:val="00C14514"/>
    <w:rsid w:val="00C145FE"/>
    <w:rsid w:val="00C2297C"/>
    <w:rsid w:val="00C36F65"/>
    <w:rsid w:val="00C444B7"/>
    <w:rsid w:val="00C4484D"/>
    <w:rsid w:val="00C50214"/>
    <w:rsid w:val="00C51A7B"/>
    <w:rsid w:val="00C64BB4"/>
    <w:rsid w:val="00C70343"/>
    <w:rsid w:val="00C7376B"/>
    <w:rsid w:val="00C73CF5"/>
    <w:rsid w:val="00C73E29"/>
    <w:rsid w:val="00C748C7"/>
    <w:rsid w:val="00C75BD4"/>
    <w:rsid w:val="00C77DCD"/>
    <w:rsid w:val="00C805EE"/>
    <w:rsid w:val="00C855F7"/>
    <w:rsid w:val="00C87FD7"/>
    <w:rsid w:val="00C96847"/>
    <w:rsid w:val="00C97200"/>
    <w:rsid w:val="00CA1842"/>
    <w:rsid w:val="00CA1B5C"/>
    <w:rsid w:val="00CA2124"/>
    <w:rsid w:val="00CA2B39"/>
    <w:rsid w:val="00CA53B9"/>
    <w:rsid w:val="00CA5C08"/>
    <w:rsid w:val="00CA6F33"/>
    <w:rsid w:val="00CB217D"/>
    <w:rsid w:val="00CB63DD"/>
    <w:rsid w:val="00CB7F6A"/>
    <w:rsid w:val="00CC502D"/>
    <w:rsid w:val="00CC78CF"/>
    <w:rsid w:val="00CD0C39"/>
    <w:rsid w:val="00CD18DC"/>
    <w:rsid w:val="00CD459B"/>
    <w:rsid w:val="00CE01F9"/>
    <w:rsid w:val="00CE36A3"/>
    <w:rsid w:val="00CF2624"/>
    <w:rsid w:val="00CF4A40"/>
    <w:rsid w:val="00CF6A77"/>
    <w:rsid w:val="00D01C28"/>
    <w:rsid w:val="00D02CF8"/>
    <w:rsid w:val="00D04794"/>
    <w:rsid w:val="00D10174"/>
    <w:rsid w:val="00D10E04"/>
    <w:rsid w:val="00D117E7"/>
    <w:rsid w:val="00D118DE"/>
    <w:rsid w:val="00D21794"/>
    <w:rsid w:val="00D3334F"/>
    <w:rsid w:val="00D34DDF"/>
    <w:rsid w:val="00D36448"/>
    <w:rsid w:val="00D44E6B"/>
    <w:rsid w:val="00D457EB"/>
    <w:rsid w:val="00D4645C"/>
    <w:rsid w:val="00D562D5"/>
    <w:rsid w:val="00D570BE"/>
    <w:rsid w:val="00D574CA"/>
    <w:rsid w:val="00D60716"/>
    <w:rsid w:val="00D711D5"/>
    <w:rsid w:val="00D71BC4"/>
    <w:rsid w:val="00D84931"/>
    <w:rsid w:val="00D87333"/>
    <w:rsid w:val="00D87C6F"/>
    <w:rsid w:val="00D92468"/>
    <w:rsid w:val="00D95A20"/>
    <w:rsid w:val="00DA36D7"/>
    <w:rsid w:val="00DA6B28"/>
    <w:rsid w:val="00DB1DE9"/>
    <w:rsid w:val="00DB40F3"/>
    <w:rsid w:val="00DB6320"/>
    <w:rsid w:val="00DB6A4A"/>
    <w:rsid w:val="00DB7073"/>
    <w:rsid w:val="00DC4570"/>
    <w:rsid w:val="00DC7047"/>
    <w:rsid w:val="00DC71FC"/>
    <w:rsid w:val="00DC748A"/>
    <w:rsid w:val="00DD025A"/>
    <w:rsid w:val="00DD6ADB"/>
    <w:rsid w:val="00DD7D7A"/>
    <w:rsid w:val="00DE18E2"/>
    <w:rsid w:val="00DE51D7"/>
    <w:rsid w:val="00DE72BE"/>
    <w:rsid w:val="00DF07C9"/>
    <w:rsid w:val="00DF6272"/>
    <w:rsid w:val="00E077BE"/>
    <w:rsid w:val="00E113EB"/>
    <w:rsid w:val="00E1707C"/>
    <w:rsid w:val="00E17172"/>
    <w:rsid w:val="00E22AA8"/>
    <w:rsid w:val="00E26612"/>
    <w:rsid w:val="00E35975"/>
    <w:rsid w:val="00E36C1A"/>
    <w:rsid w:val="00E37FC8"/>
    <w:rsid w:val="00E52955"/>
    <w:rsid w:val="00E54269"/>
    <w:rsid w:val="00E55373"/>
    <w:rsid w:val="00E66F79"/>
    <w:rsid w:val="00E6728C"/>
    <w:rsid w:val="00E73A87"/>
    <w:rsid w:val="00E844CE"/>
    <w:rsid w:val="00E936B8"/>
    <w:rsid w:val="00E94B0F"/>
    <w:rsid w:val="00E94F54"/>
    <w:rsid w:val="00E94FDA"/>
    <w:rsid w:val="00E97C17"/>
    <w:rsid w:val="00EA3809"/>
    <w:rsid w:val="00EA536C"/>
    <w:rsid w:val="00EA68A4"/>
    <w:rsid w:val="00EA7A5C"/>
    <w:rsid w:val="00EA7E11"/>
    <w:rsid w:val="00EB30A6"/>
    <w:rsid w:val="00EB4791"/>
    <w:rsid w:val="00EB5146"/>
    <w:rsid w:val="00EB686F"/>
    <w:rsid w:val="00EB7236"/>
    <w:rsid w:val="00EB7574"/>
    <w:rsid w:val="00EC1CBD"/>
    <w:rsid w:val="00EC39D5"/>
    <w:rsid w:val="00EC435A"/>
    <w:rsid w:val="00EC63A9"/>
    <w:rsid w:val="00EC70F9"/>
    <w:rsid w:val="00ED0A0D"/>
    <w:rsid w:val="00ED4F20"/>
    <w:rsid w:val="00EE1D9F"/>
    <w:rsid w:val="00EE253B"/>
    <w:rsid w:val="00EE3081"/>
    <w:rsid w:val="00EE477E"/>
    <w:rsid w:val="00EF0462"/>
    <w:rsid w:val="00EF223D"/>
    <w:rsid w:val="00EF283C"/>
    <w:rsid w:val="00EF5D47"/>
    <w:rsid w:val="00EF5ED1"/>
    <w:rsid w:val="00F03DC0"/>
    <w:rsid w:val="00F05456"/>
    <w:rsid w:val="00F05743"/>
    <w:rsid w:val="00F06767"/>
    <w:rsid w:val="00F10CDC"/>
    <w:rsid w:val="00F138A4"/>
    <w:rsid w:val="00F15C7D"/>
    <w:rsid w:val="00F1695D"/>
    <w:rsid w:val="00F221C6"/>
    <w:rsid w:val="00F22B96"/>
    <w:rsid w:val="00F24B34"/>
    <w:rsid w:val="00F24F01"/>
    <w:rsid w:val="00F2705D"/>
    <w:rsid w:val="00F337CF"/>
    <w:rsid w:val="00F37411"/>
    <w:rsid w:val="00F37C98"/>
    <w:rsid w:val="00F40E5C"/>
    <w:rsid w:val="00F41A9E"/>
    <w:rsid w:val="00F422E1"/>
    <w:rsid w:val="00F42F91"/>
    <w:rsid w:val="00F44C33"/>
    <w:rsid w:val="00F5121C"/>
    <w:rsid w:val="00F518BF"/>
    <w:rsid w:val="00F5733F"/>
    <w:rsid w:val="00F578F7"/>
    <w:rsid w:val="00F62AF2"/>
    <w:rsid w:val="00F64826"/>
    <w:rsid w:val="00F66452"/>
    <w:rsid w:val="00F67BBD"/>
    <w:rsid w:val="00F706B3"/>
    <w:rsid w:val="00F71F8E"/>
    <w:rsid w:val="00F74762"/>
    <w:rsid w:val="00F763F8"/>
    <w:rsid w:val="00F83945"/>
    <w:rsid w:val="00F85999"/>
    <w:rsid w:val="00F86BBD"/>
    <w:rsid w:val="00F90053"/>
    <w:rsid w:val="00F90A61"/>
    <w:rsid w:val="00F94D3D"/>
    <w:rsid w:val="00F95133"/>
    <w:rsid w:val="00F9550B"/>
    <w:rsid w:val="00F96B19"/>
    <w:rsid w:val="00F96F05"/>
    <w:rsid w:val="00F97A39"/>
    <w:rsid w:val="00FA4647"/>
    <w:rsid w:val="00FA5B25"/>
    <w:rsid w:val="00FB0592"/>
    <w:rsid w:val="00FB139B"/>
    <w:rsid w:val="00FB4306"/>
    <w:rsid w:val="00FB444F"/>
    <w:rsid w:val="00FB770E"/>
    <w:rsid w:val="00FC055B"/>
    <w:rsid w:val="00FC1DFC"/>
    <w:rsid w:val="00FC4842"/>
    <w:rsid w:val="00FC4C41"/>
    <w:rsid w:val="00FC73F2"/>
    <w:rsid w:val="00FC77E0"/>
    <w:rsid w:val="00FD4C73"/>
    <w:rsid w:val="00FD7937"/>
    <w:rsid w:val="00FE290A"/>
    <w:rsid w:val="00FE5959"/>
    <w:rsid w:val="00FE65A6"/>
    <w:rsid w:val="00FF0B1C"/>
    <w:rsid w:val="00FF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CE150"/>
  <w15:docId w15:val="{5BC2FC9E-B5D5-457D-9125-128610BF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3D44"/>
    <w:rPr>
      <w:sz w:val="16"/>
      <w:szCs w:val="16"/>
    </w:rPr>
  </w:style>
  <w:style w:type="paragraph" w:styleId="CommentText">
    <w:name w:val="annotation text"/>
    <w:basedOn w:val="Normal"/>
    <w:link w:val="CommentTextChar"/>
    <w:rsid w:val="003F3D44"/>
    <w:rPr>
      <w:sz w:val="20"/>
      <w:szCs w:val="20"/>
    </w:rPr>
  </w:style>
  <w:style w:type="character" w:customStyle="1" w:styleId="CommentTextChar">
    <w:name w:val="Comment Text Char"/>
    <w:basedOn w:val="DefaultParagraphFont"/>
    <w:link w:val="CommentText"/>
    <w:rsid w:val="003F3D44"/>
  </w:style>
  <w:style w:type="paragraph" w:styleId="CommentSubject">
    <w:name w:val="annotation subject"/>
    <w:basedOn w:val="CommentText"/>
    <w:next w:val="CommentText"/>
    <w:link w:val="CommentSubjectChar"/>
    <w:rsid w:val="003F3D44"/>
    <w:rPr>
      <w:b/>
      <w:bCs/>
    </w:rPr>
  </w:style>
  <w:style w:type="character" w:customStyle="1" w:styleId="CommentSubjectChar">
    <w:name w:val="Comment Subject Char"/>
    <w:basedOn w:val="CommentTextChar"/>
    <w:link w:val="CommentSubject"/>
    <w:rsid w:val="003F3D44"/>
    <w:rPr>
      <w:b/>
      <w:bCs/>
    </w:rPr>
  </w:style>
  <w:style w:type="paragraph" w:styleId="ListParagraph">
    <w:name w:val="List Paragraph"/>
    <w:basedOn w:val="Normal"/>
    <w:uiPriority w:val="34"/>
    <w:qFormat/>
    <w:rsid w:val="007163E2"/>
    <w:pPr>
      <w:ind w:left="720"/>
      <w:contextualSpacing/>
    </w:pPr>
  </w:style>
  <w:style w:type="character" w:styleId="Emphasis">
    <w:name w:val="Emphasis"/>
    <w:basedOn w:val="DefaultParagraphFont"/>
    <w:uiPriority w:val="20"/>
    <w:qFormat/>
    <w:rsid w:val="005839FE"/>
    <w:rPr>
      <w:i/>
      <w:iCs/>
    </w:rPr>
  </w:style>
  <w:style w:type="character" w:customStyle="1" w:styleId="UnresolvedMention1">
    <w:name w:val="Unresolved Mention1"/>
    <w:basedOn w:val="DefaultParagraphFont"/>
    <w:uiPriority w:val="99"/>
    <w:semiHidden/>
    <w:unhideWhenUsed/>
    <w:rsid w:val="009D51B7"/>
    <w:rPr>
      <w:color w:val="605E5C"/>
      <w:shd w:val="clear" w:color="auto" w:fill="E1DFDD"/>
    </w:rPr>
  </w:style>
  <w:style w:type="character" w:customStyle="1" w:styleId="bkciteavail">
    <w:name w:val="bk_cite_avail"/>
    <w:basedOn w:val="DefaultParagraphFont"/>
    <w:rsid w:val="0010753F"/>
  </w:style>
  <w:style w:type="paragraph" w:styleId="Revision">
    <w:name w:val="Revision"/>
    <w:hidden/>
    <w:uiPriority w:val="99"/>
    <w:semiHidden/>
    <w:rsid w:val="007861FF"/>
    <w:rPr>
      <w:sz w:val="24"/>
      <w:szCs w:val="24"/>
    </w:rPr>
  </w:style>
  <w:style w:type="character" w:styleId="UnresolvedMention">
    <w:name w:val="Unresolved Mention"/>
    <w:basedOn w:val="DefaultParagraphFont"/>
    <w:uiPriority w:val="99"/>
    <w:semiHidden/>
    <w:unhideWhenUsed/>
    <w:rsid w:val="002E0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529611233">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867988566">
      <w:bodyDiv w:val="1"/>
      <w:marLeft w:val="0"/>
      <w:marRight w:val="0"/>
      <w:marTop w:val="0"/>
      <w:marBottom w:val="0"/>
      <w:divBdr>
        <w:top w:val="none" w:sz="0" w:space="0" w:color="auto"/>
        <w:left w:val="none" w:sz="0" w:space="0" w:color="auto"/>
        <w:bottom w:val="none" w:sz="0" w:space="0" w:color="auto"/>
        <w:right w:val="none" w:sz="0" w:space="0" w:color="auto"/>
      </w:divBdr>
      <w:divsChild>
        <w:div w:id="1207721883">
          <w:marLeft w:val="0"/>
          <w:marRight w:val="0"/>
          <w:marTop w:val="0"/>
          <w:marBottom w:val="0"/>
          <w:divBdr>
            <w:top w:val="none" w:sz="0" w:space="0" w:color="auto"/>
            <w:left w:val="none" w:sz="0" w:space="0" w:color="auto"/>
            <w:bottom w:val="none" w:sz="0" w:space="0" w:color="auto"/>
            <w:right w:val="none" w:sz="0" w:space="0" w:color="auto"/>
          </w:divBdr>
          <w:divsChild>
            <w:div w:id="994260837">
              <w:marLeft w:val="0"/>
              <w:marRight w:val="0"/>
              <w:marTop w:val="0"/>
              <w:marBottom w:val="0"/>
              <w:divBdr>
                <w:top w:val="none" w:sz="0" w:space="0" w:color="auto"/>
                <w:left w:val="none" w:sz="0" w:space="0" w:color="auto"/>
                <w:bottom w:val="none" w:sz="0" w:space="0" w:color="auto"/>
                <w:right w:val="none" w:sz="0" w:space="0" w:color="auto"/>
              </w:divBdr>
              <w:divsChild>
                <w:div w:id="2070305813">
                  <w:marLeft w:val="0"/>
                  <w:marRight w:val="0"/>
                  <w:marTop w:val="0"/>
                  <w:marBottom w:val="0"/>
                  <w:divBdr>
                    <w:top w:val="none" w:sz="0" w:space="0" w:color="auto"/>
                    <w:left w:val="none" w:sz="0" w:space="0" w:color="auto"/>
                    <w:bottom w:val="none" w:sz="0" w:space="0" w:color="auto"/>
                    <w:right w:val="none" w:sz="0" w:space="0" w:color="auto"/>
                  </w:divBdr>
                  <w:divsChild>
                    <w:div w:id="1624456403">
                      <w:marLeft w:val="0"/>
                      <w:marRight w:val="0"/>
                      <w:marTop w:val="0"/>
                      <w:marBottom w:val="0"/>
                      <w:divBdr>
                        <w:top w:val="none" w:sz="0" w:space="0" w:color="auto"/>
                        <w:left w:val="none" w:sz="0" w:space="0" w:color="auto"/>
                        <w:bottom w:val="none" w:sz="0" w:space="0" w:color="auto"/>
                        <w:right w:val="none" w:sz="0" w:space="0" w:color="auto"/>
                      </w:divBdr>
                      <w:divsChild>
                        <w:div w:id="1175723953">
                          <w:marLeft w:val="0"/>
                          <w:marRight w:val="0"/>
                          <w:marTop w:val="0"/>
                          <w:marBottom w:val="0"/>
                          <w:divBdr>
                            <w:top w:val="none" w:sz="0" w:space="0" w:color="auto"/>
                            <w:left w:val="none" w:sz="0" w:space="0" w:color="auto"/>
                            <w:bottom w:val="none" w:sz="0" w:space="0" w:color="auto"/>
                            <w:right w:val="none" w:sz="0" w:space="0" w:color="auto"/>
                          </w:divBdr>
                          <w:divsChild>
                            <w:div w:id="958027490">
                              <w:marLeft w:val="0"/>
                              <w:marRight w:val="0"/>
                              <w:marTop w:val="0"/>
                              <w:marBottom w:val="0"/>
                              <w:divBdr>
                                <w:top w:val="none" w:sz="0" w:space="0" w:color="auto"/>
                                <w:left w:val="none" w:sz="0" w:space="0" w:color="auto"/>
                                <w:bottom w:val="none" w:sz="0" w:space="0" w:color="auto"/>
                                <w:right w:val="none" w:sz="0" w:space="0" w:color="auto"/>
                              </w:divBdr>
                              <w:divsChild>
                                <w:div w:id="568351094">
                                  <w:marLeft w:val="0"/>
                                  <w:marRight w:val="0"/>
                                  <w:marTop w:val="0"/>
                                  <w:marBottom w:val="0"/>
                                  <w:divBdr>
                                    <w:top w:val="none" w:sz="0" w:space="0" w:color="auto"/>
                                    <w:left w:val="none" w:sz="0" w:space="0" w:color="auto"/>
                                    <w:bottom w:val="none" w:sz="0" w:space="0" w:color="auto"/>
                                    <w:right w:val="none" w:sz="0" w:space="0" w:color="auto"/>
                                  </w:divBdr>
                                  <w:divsChild>
                                    <w:div w:id="1055472568">
                                      <w:marLeft w:val="0"/>
                                      <w:marRight w:val="0"/>
                                      <w:marTop w:val="0"/>
                                      <w:marBottom w:val="0"/>
                                      <w:divBdr>
                                        <w:top w:val="none" w:sz="0" w:space="0" w:color="auto"/>
                                        <w:left w:val="none" w:sz="0" w:space="0" w:color="auto"/>
                                        <w:bottom w:val="none" w:sz="0" w:space="0" w:color="auto"/>
                                        <w:right w:val="none" w:sz="0" w:space="0" w:color="auto"/>
                                      </w:divBdr>
                                      <w:divsChild>
                                        <w:div w:id="1677264828">
                                          <w:marLeft w:val="0"/>
                                          <w:marRight w:val="0"/>
                                          <w:marTop w:val="0"/>
                                          <w:marBottom w:val="0"/>
                                          <w:divBdr>
                                            <w:top w:val="none" w:sz="0" w:space="0" w:color="auto"/>
                                            <w:left w:val="none" w:sz="0" w:space="0" w:color="auto"/>
                                            <w:bottom w:val="none" w:sz="0" w:space="0" w:color="auto"/>
                                            <w:right w:val="none" w:sz="0" w:space="0" w:color="auto"/>
                                          </w:divBdr>
                                          <w:divsChild>
                                            <w:div w:id="459493197">
                                              <w:marLeft w:val="0"/>
                                              <w:marRight w:val="0"/>
                                              <w:marTop w:val="0"/>
                                              <w:marBottom w:val="0"/>
                                              <w:divBdr>
                                                <w:top w:val="none" w:sz="0" w:space="0" w:color="auto"/>
                                                <w:left w:val="none" w:sz="0" w:space="0" w:color="auto"/>
                                                <w:bottom w:val="none" w:sz="0" w:space="0" w:color="auto"/>
                                                <w:right w:val="none" w:sz="0" w:space="0" w:color="auto"/>
                                              </w:divBdr>
                                              <w:divsChild>
                                                <w:div w:id="1889099564">
                                                  <w:marLeft w:val="0"/>
                                                  <w:marRight w:val="0"/>
                                                  <w:marTop w:val="0"/>
                                                  <w:marBottom w:val="0"/>
                                                  <w:divBdr>
                                                    <w:top w:val="none" w:sz="0" w:space="0" w:color="auto"/>
                                                    <w:left w:val="none" w:sz="0" w:space="0" w:color="auto"/>
                                                    <w:bottom w:val="none" w:sz="0" w:space="0" w:color="auto"/>
                                                    <w:right w:val="none" w:sz="0" w:space="0" w:color="auto"/>
                                                  </w:divBdr>
                                                </w:div>
                                                <w:div w:id="742724809">
                                                  <w:marLeft w:val="0"/>
                                                  <w:marRight w:val="0"/>
                                                  <w:marTop w:val="0"/>
                                                  <w:marBottom w:val="0"/>
                                                  <w:divBdr>
                                                    <w:top w:val="none" w:sz="0" w:space="0" w:color="auto"/>
                                                    <w:left w:val="none" w:sz="0" w:space="0" w:color="auto"/>
                                                    <w:bottom w:val="none" w:sz="0" w:space="0" w:color="auto"/>
                                                    <w:right w:val="none" w:sz="0" w:space="0" w:color="auto"/>
                                                  </w:divBdr>
                                                </w:div>
                                                <w:div w:id="170413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uptodate.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uptodate.com" TargetMode="External"/><Relationship Id="rId2" Type="http://schemas.openxmlformats.org/officeDocument/2006/relationships/customXml" Target="../customXml/item2.xml"/><Relationship Id="rId16" Type="http://schemas.openxmlformats.org/officeDocument/2006/relationships/hyperlink" Target="http://www.hayesin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cm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EB041B-789E-499E-86F5-96700A75BD85}">
  <ds:schemaRefs>
    <ds:schemaRef ds:uri="http://schemas.microsoft.com/sharepoint/v3/contenttype/forms"/>
  </ds:schemaRefs>
</ds:datastoreItem>
</file>

<file path=customXml/itemProps2.xml><?xml version="1.0" encoding="utf-8"?>
<ds:datastoreItem xmlns:ds="http://schemas.openxmlformats.org/officeDocument/2006/customXml" ds:itemID="{31DDC186-9623-432A-9353-966D29C018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5CB257-BECF-48A6-BD7A-35C0EB7CD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4028</Words>
  <Characters>25101</Characters>
  <Application>Microsoft Office Word</Application>
  <DocSecurity>2</DocSecurity>
  <Lines>502</Lines>
  <Paragraphs>215</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28914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Centene User</dc:creator>
  <cp:lastModifiedBy>Victoria T. Kostecki</cp:lastModifiedBy>
  <cp:revision>2</cp:revision>
  <cp:lastPrinted>2015-06-25T20:16:00Z</cp:lastPrinted>
  <dcterms:created xsi:type="dcterms:W3CDTF">2025-11-20T17:09:00Z</dcterms:created>
  <dcterms:modified xsi:type="dcterms:W3CDTF">2025-11-20T17:09:00Z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1585432372</vt:i4>
  </property>
  <property fmtid="{D5CDD505-2E9C-101B-9397-08002B2CF9AE}" pid="3" name="MSIP_Label_5a776955-85f6-4fec-9553-96dd3e0373c4_Enabled">
    <vt:lpwstr>true</vt:lpwstr>
  </property>
  <property fmtid="{D5CDD505-2E9C-101B-9397-08002B2CF9AE}" pid="4" name="MSIP_Label_5a776955-85f6-4fec-9553-96dd3e0373c4_SetDate">
    <vt:lpwstr>2021-12-08T20:59:10Z</vt:lpwstr>
  </property>
  <property fmtid="{D5CDD505-2E9C-101B-9397-08002B2CF9AE}" pid="5" name="MSIP_Label_5a776955-85f6-4fec-9553-96dd3e0373c4_Method">
    <vt:lpwstr>Standard</vt:lpwstr>
  </property>
  <property fmtid="{D5CDD505-2E9C-101B-9397-08002B2CF9AE}" pid="6" name="MSIP_Label_5a776955-85f6-4fec-9553-96dd3e0373c4_Name">
    <vt:lpwstr>Confidential</vt:lpwstr>
  </property>
  <property fmtid="{D5CDD505-2E9C-101B-9397-08002B2CF9AE}" pid="7" name="MSIP_Label_5a776955-85f6-4fec-9553-96dd3e0373c4_SiteId">
    <vt:lpwstr>f45ccc07-e57e-4d15-bf6f-f6cbccd2d395</vt:lpwstr>
  </property>
  <property fmtid="{D5CDD505-2E9C-101B-9397-08002B2CF9AE}" pid="8" name="MSIP_Label_5a776955-85f6-4fec-9553-96dd3e0373c4_ActionId">
    <vt:lpwstr>1297029f-3a31-48e0-8c0d-464ecdd97bcb</vt:lpwstr>
  </property>
  <property fmtid="{D5CDD505-2E9C-101B-9397-08002B2CF9AE}" pid="9" name="MSIP_Label_5a776955-85f6-4fec-9553-96dd3e0373c4_ContentBits">
    <vt:lpwstr>0</vt:lpwstr>
  </property>
</Properties>
</file>