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BF25DE" w14:textId="2FF8F29B" w:rsidR="00D574CA" w:rsidRPr="00B777AF" w:rsidRDefault="00230FE4" w:rsidP="00D574CA">
      <w:pPr>
        <w:pStyle w:val="PolicyMainHead"/>
        <w:tabs>
          <w:tab w:val="left" w:pos="360"/>
        </w:tabs>
        <w:spacing w:after="0" w:line="240" w:lineRule="auto"/>
        <w:rPr>
          <w:rFonts w:ascii="Times New Roman" w:hAnsi="Times New Roman"/>
          <w:color w:val="00548C"/>
          <w:sz w:val="36"/>
        </w:rPr>
      </w:pPr>
      <w:r>
        <w:rPr>
          <w:rFonts w:ascii="Times New Roman" w:hAnsi="Times New Roman"/>
          <w:color w:val="00548C"/>
          <w:sz w:val="36"/>
        </w:rPr>
        <w:t>Clinic</w:t>
      </w:r>
      <w:r w:rsidRPr="005D7B81">
        <w:rPr>
          <w:rFonts w:ascii="Times New Roman" w:hAnsi="Times New Roman"/>
          <w:color w:val="00548C"/>
          <w:sz w:val="36"/>
        </w:rPr>
        <w:t xml:space="preserve">al </w:t>
      </w:r>
      <w:r>
        <w:rPr>
          <w:rFonts w:ascii="Times New Roman" w:hAnsi="Times New Roman"/>
          <w:color w:val="00548C"/>
          <w:sz w:val="36"/>
        </w:rPr>
        <w:t>Policy:</w:t>
      </w:r>
      <w:r w:rsidR="006E603E">
        <w:rPr>
          <w:rFonts w:ascii="Times New Roman" w:hAnsi="Times New Roman"/>
          <w:color w:val="00548C"/>
          <w:sz w:val="36"/>
        </w:rPr>
        <w:t xml:space="preserve"> Intradiscal </w:t>
      </w:r>
      <w:r w:rsidR="0009639E">
        <w:rPr>
          <w:rFonts w:ascii="Times New Roman" w:hAnsi="Times New Roman"/>
          <w:color w:val="00548C"/>
          <w:sz w:val="36"/>
        </w:rPr>
        <w:t xml:space="preserve">Steroid </w:t>
      </w:r>
      <w:r w:rsidR="006E603E">
        <w:rPr>
          <w:rFonts w:ascii="Times New Roman" w:hAnsi="Times New Roman"/>
          <w:color w:val="00548C"/>
          <w:sz w:val="36"/>
        </w:rPr>
        <w:t>Injections</w:t>
      </w:r>
      <w:r>
        <w:rPr>
          <w:rFonts w:ascii="Times New Roman" w:hAnsi="Times New Roman"/>
          <w:color w:val="00548C"/>
          <w:sz w:val="36"/>
        </w:rPr>
        <w:t xml:space="preserve"> </w:t>
      </w:r>
      <w:r w:rsidR="00874CE0">
        <w:rPr>
          <w:rFonts w:ascii="Times New Roman" w:hAnsi="Times New Roman"/>
          <w:color w:val="00548C"/>
          <w:sz w:val="36"/>
        </w:rPr>
        <w:t>for Pain Management</w:t>
      </w:r>
    </w:p>
    <w:p w14:paraId="6D1C8226" w14:textId="77777777" w:rsidR="00B777AF" w:rsidRDefault="00B777AF" w:rsidP="00D574CA">
      <w:pPr>
        <w:pStyle w:val="PolicyMainHead"/>
        <w:tabs>
          <w:tab w:val="left" w:pos="360"/>
        </w:tabs>
        <w:spacing w:after="0" w:line="240" w:lineRule="auto"/>
        <w:rPr>
          <w:color w:val="00548C"/>
          <w:sz w:val="24"/>
        </w:rPr>
        <w:sectPr w:rsidR="00B777AF" w:rsidSect="00CB63DD">
          <w:headerReference w:type="default" r:id="rId10"/>
          <w:footerReference w:type="default" r:id="rId11"/>
          <w:headerReference w:type="first" r:id="rId12"/>
          <w:footerReference w:type="first" r:id="rId13"/>
          <w:pgSz w:w="12240" w:h="15840" w:code="1"/>
          <w:pgMar w:top="1440" w:right="907" w:bottom="1152" w:left="1440" w:header="576" w:footer="288" w:gutter="0"/>
          <w:cols w:space="720"/>
          <w:titlePg/>
          <w:docGrid w:linePitch="360"/>
        </w:sectPr>
      </w:pPr>
    </w:p>
    <w:p w14:paraId="1CCCED07" w14:textId="4B764ECA" w:rsidR="00480C09" w:rsidRPr="003D7BE7" w:rsidRDefault="00D574CA" w:rsidP="00CB63DD">
      <w:pPr>
        <w:pStyle w:val="PolicyMainHead"/>
        <w:spacing w:after="0" w:line="240" w:lineRule="auto"/>
        <w:rPr>
          <w:rFonts w:ascii="Times New Roman" w:hAnsi="Times New Roman"/>
          <w:color w:val="00548C"/>
          <w:sz w:val="24"/>
          <w:szCs w:val="24"/>
        </w:rPr>
        <w:sectPr w:rsidR="00480C09" w:rsidRPr="003D7BE7" w:rsidSect="00CB63DD">
          <w:type w:val="continuous"/>
          <w:pgSz w:w="12240" w:h="15840" w:code="1"/>
          <w:pgMar w:top="1440" w:right="1170" w:bottom="1152" w:left="1440" w:header="576" w:footer="288" w:gutter="0"/>
          <w:cols w:num="2" w:space="720"/>
          <w:titlePg/>
          <w:docGrid w:linePitch="360"/>
        </w:sectPr>
      </w:pPr>
      <w:r w:rsidRPr="003D7BE7">
        <w:rPr>
          <w:rFonts w:ascii="Times New Roman" w:hAnsi="Times New Roman"/>
          <w:color w:val="00548C"/>
          <w:sz w:val="24"/>
          <w:szCs w:val="24"/>
        </w:rPr>
        <w:t>Reference Number: CP.</w:t>
      </w:r>
      <w:r w:rsidR="00C96847">
        <w:rPr>
          <w:rFonts w:ascii="Times New Roman" w:hAnsi="Times New Roman"/>
          <w:color w:val="00548C"/>
          <w:sz w:val="24"/>
          <w:szCs w:val="24"/>
        </w:rPr>
        <w:t>MP.</w:t>
      </w:r>
      <w:r w:rsidR="006E603E">
        <w:rPr>
          <w:rFonts w:ascii="Times New Roman" w:hAnsi="Times New Roman"/>
          <w:color w:val="00548C"/>
          <w:sz w:val="24"/>
          <w:szCs w:val="24"/>
        </w:rPr>
        <w:t>167</w:t>
      </w:r>
      <w:r w:rsidR="006E603E">
        <w:rPr>
          <w:rFonts w:ascii="Times New Roman" w:hAnsi="Times New Roman"/>
          <w:color w:val="00548C"/>
          <w:sz w:val="24"/>
          <w:szCs w:val="24"/>
        </w:rPr>
        <w:tab/>
      </w:r>
      <w:r w:rsidR="00CB63DD">
        <w:rPr>
          <w:rFonts w:ascii="Times New Roman" w:hAnsi="Times New Roman"/>
          <w:color w:val="00548C"/>
          <w:sz w:val="24"/>
          <w:szCs w:val="24"/>
        </w:rPr>
        <w:tab/>
        <w:t xml:space="preserve">  </w:t>
      </w:r>
      <w:r w:rsidR="00CB63DD">
        <w:rPr>
          <w:rFonts w:ascii="Times New Roman" w:hAnsi="Times New Roman"/>
          <w:color w:val="00548C"/>
          <w:sz w:val="24"/>
          <w:szCs w:val="24"/>
        </w:rPr>
        <w:tab/>
      </w:r>
      <w:r w:rsidR="00480C09" w:rsidRPr="003D7BE7">
        <w:rPr>
          <w:rFonts w:ascii="Times New Roman" w:hAnsi="Times New Roman"/>
          <w:color w:val="00548C"/>
          <w:sz w:val="24"/>
          <w:szCs w:val="24"/>
        </w:rPr>
        <w:tab/>
      </w:r>
      <w:r w:rsidR="00CB63DD">
        <w:rPr>
          <w:rFonts w:ascii="Times New Roman" w:hAnsi="Times New Roman"/>
          <w:color w:val="00548C"/>
          <w:sz w:val="24"/>
          <w:szCs w:val="24"/>
        </w:rPr>
        <w:tab/>
        <w:t xml:space="preserve">     </w:t>
      </w:r>
      <w:hyperlink w:anchor="Coding_Implications" w:history="1">
        <w:r w:rsidR="007B50D0" w:rsidRPr="00875924">
          <w:rPr>
            <w:rStyle w:val="Hyperlink"/>
            <w:rFonts w:ascii="Times New Roman" w:hAnsi="Times New Roman"/>
            <w:sz w:val="24"/>
            <w:szCs w:val="24"/>
          </w:rPr>
          <w:t>Coding Implications</w:t>
        </w:r>
      </w:hyperlink>
      <w:r w:rsidR="007B50D0" w:rsidRPr="003D7BE7">
        <w:rPr>
          <w:rFonts w:ascii="Times New Roman" w:hAnsi="Times New Roman"/>
          <w:color w:val="00548C"/>
          <w:sz w:val="24"/>
          <w:szCs w:val="24"/>
        </w:rPr>
        <w:t xml:space="preserve"> </w:t>
      </w:r>
    </w:p>
    <w:p w14:paraId="7CADDEEF" w14:textId="561C647D" w:rsidR="00875924" w:rsidRDefault="00A360EC" w:rsidP="00CB63DD">
      <w:pPr>
        <w:pStyle w:val="PolicyMainHead"/>
        <w:spacing w:after="0" w:line="240" w:lineRule="auto"/>
        <w:rPr>
          <w:rFonts w:ascii="Times New Roman" w:hAnsi="Times New Roman"/>
          <w:color w:val="00548C"/>
          <w:sz w:val="24"/>
          <w:szCs w:val="24"/>
        </w:rPr>
      </w:pPr>
      <w:r>
        <w:rPr>
          <w:rFonts w:ascii="Times New Roman" w:hAnsi="Times New Roman"/>
          <w:color w:val="00548C"/>
          <w:sz w:val="24"/>
          <w:szCs w:val="24"/>
        </w:rPr>
        <w:t xml:space="preserve">Date of </w:t>
      </w:r>
      <w:r w:rsidR="00D574CA" w:rsidRPr="003D7BE7">
        <w:rPr>
          <w:rFonts w:ascii="Times New Roman" w:hAnsi="Times New Roman"/>
          <w:color w:val="00548C"/>
          <w:sz w:val="24"/>
          <w:szCs w:val="24"/>
        </w:rPr>
        <w:t>Last Revi</w:t>
      </w:r>
      <w:r>
        <w:rPr>
          <w:rFonts w:ascii="Times New Roman" w:hAnsi="Times New Roman"/>
          <w:color w:val="00548C"/>
          <w:sz w:val="24"/>
          <w:szCs w:val="24"/>
        </w:rPr>
        <w:t>sion</w:t>
      </w:r>
      <w:r w:rsidR="00D574CA" w:rsidRPr="003D7BE7">
        <w:rPr>
          <w:rFonts w:ascii="Times New Roman" w:hAnsi="Times New Roman"/>
          <w:color w:val="00548C"/>
          <w:sz w:val="24"/>
          <w:szCs w:val="24"/>
        </w:rPr>
        <w:t xml:space="preserve">: </w:t>
      </w:r>
      <w:r w:rsidR="005C21D7">
        <w:rPr>
          <w:rFonts w:ascii="Times New Roman" w:hAnsi="Times New Roman"/>
          <w:color w:val="00548C"/>
          <w:sz w:val="24"/>
          <w:szCs w:val="24"/>
        </w:rPr>
        <w:t>07/2</w:t>
      </w:r>
      <w:r w:rsidR="0036031C">
        <w:rPr>
          <w:rFonts w:ascii="Times New Roman" w:hAnsi="Times New Roman"/>
          <w:color w:val="00548C"/>
          <w:sz w:val="24"/>
          <w:szCs w:val="24"/>
        </w:rPr>
        <w:t>5</w:t>
      </w:r>
    </w:p>
    <w:p w14:paraId="354E7C46" w14:textId="77777777" w:rsidR="00875924" w:rsidRDefault="007B50D0" w:rsidP="00875924">
      <w:pPr>
        <w:pStyle w:val="PolicyMainHead"/>
        <w:tabs>
          <w:tab w:val="left" w:pos="360"/>
        </w:tabs>
        <w:spacing w:after="0" w:line="240" w:lineRule="auto"/>
        <w:jc w:val="right"/>
        <w:rPr>
          <w:rStyle w:val="Strong"/>
          <w:rFonts w:ascii="Times New Roman" w:hAnsi="Times New Roman"/>
          <w:b w:val="0"/>
          <w:bCs w:val="0"/>
          <w:u w:val="single"/>
        </w:rPr>
        <w:sectPr w:rsidR="00875924" w:rsidSect="00CB63DD">
          <w:type w:val="continuous"/>
          <w:pgSz w:w="12240" w:h="15840" w:code="1"/>
          <w:pgMar w:top="1440" w:right="1170" w:bottom="1440" w:left="1440" w:header="576" w:footer="288" w:gutter="0"/>
          <w:cols w:num="2" w:space="720"/>
          <w:titlePg/>
          <w:docGrid w:linePitch="360"/>
        </w:sectPr>
      </w:pPr>
      <w:hyperlink w:anchor="Revision_Log" w:history="1">
        <w:r w:rsidRPr="003D7BE7">
          <w:rPr>
            <w:rStyle w:val="Hyperlink"/>
            <w:rFonts w:ascii="Times New Roman" w:hAnsi="Times New Roman"/>
            <w:sz w:val="24"/>
            <w:szCs w:val="24"/>
          </w:rPr>
          <w:t>Revision Log</w:t>
        </w:r>
      </w:hyperlink>
      <w:r w:rsidR="00875924">
        <w:rPr>
          <w:rFonts w:ascii="Times New Roman" w:hAnsi="Times New Roman"/>
          <w:color w:val="00548C"/>
          <w:sz w:val="24"/>
          <w:szCs w:val="24"/>
        </w:rPr>
        <w:t xml:space="preserve"> </w:t>
      </w:r>
    </w:p>
    <w:p w14:paraId="1F02503D" w14:textId="77777777" w:rsidR="005D7B81" w:rsidRDefault="00032D3F" w:rsidP="00032D3F">
      <w:pPr>
        <w:pStyle w:val="NormalWeb"/>
        <w:tabs>
          <w:tab w:val="left" w:pos="975"/>
        </w:tabs>
        <w:spacing w:before="0" w:beforeAutospacing="0" w:after="0" w:afterAutospacing="0"/>
        <w:rPr>
          <w:rFonts w:ascii="Times New Roman" w:hAnsi="Times New Roman" w:cs="Times New Roman"/>
        </w:rPr>
      </w:pPr>
      <w:r>
        <w:rPr>
          <w:rFonts w:ascii="Times New Roman" w:hAnsi="Times New Roman" w:cs="Times New Roman"/>
        </w:rPr>
        <w:tab/>
      </w:r>
    </w:p>
    <w:p w14:paraId="36CD0097" w14:textId="77777777" w:rsidR="00D574CA" w:rsidRPr="005D7B81" w:rsidRDefault="005D7B81" w:rsidP="00D574CA">
      <w:pPr>
        <w:pStyle w:val="NormalWeb"/>
        <w:spacing w:before="0" w:beforeAutospacing="0" w:after="0" w:afterAutospacing="0"/>
        <w:rPr>
          <w:rStyle w:val="Strong"/>
          <w:rFonts w:ascii="Times New Roman" w:hAnsi="Times New Roman" w:cs="Times New Roman"/>
          <w:b w:val="0"/>
          <w:bCs w:val="0"/>
          <w:color w:val="00548C"/>
          <w:u w:val="single"/>
        </w:rPr>
      </w:pPr>
      <w:r w:rsidRPr="005D7B81">
        <w:rPr>
          <w:rFonts w:ascii="Times New Roman" w:hAnsi="Times New Roman" w:cs="Times New Roman"/>
          <w:b/>
          <w:color w:val="00548C"/>
        </w:rPr>
        <w:t xml:space="preserve">See </w:t>
      </w:r>
      <w:hyperlink w:anchor="Important_Reminder" w:history="1">
        <w:r w:rsidRPr="005D7B81">
          <w:rPr>
            <w:rStyle w:val="Hyperlink"/>
            <w:rFonts w:ascii="Times New Roman" w:eastAsia="Times New Roman" w:hAnsi="Times New Roman" w:cs="Times New Roman"/>
            <w:noProof/>
          </w:rPr>
          <w:t>Important Reminder</w:t>
        </w:r>
      </w:hyperlink>
      <w:r w:rsidRPr="005D7B81">
        <w:rPr>
          <w:rFonts w:ascii="Times New Roman" w:hAnsi="Times New Roman" w:cs="Times New Roman"/>
          <w:b/>
          <w:color w:val="00548C"/>
        </w:rPr>
        <w:t xml:space="preserve"> at the end of th</w:t>
      </w:r>
      <w:r w:rsidR="00493710">
        <w:rPr>
          <w:rFonts w:ascii="Times New Roman" w:hAnsi="Times New Roman" w:cs="Times New Roman"/>
          <w:b/>
          <w:color w:val="00548C"/>
        </w:rPr>
        <w:t>is</w:t>
      </w:r>
      <w:r w:rsidRPr="005D7B81">
        <w:rPr>
          <w:rFonts w:ascii="Times New Roman" w:hAnsi="Times New Roman" w:cs="Times New Roman"/>
          <w:b/>
          <w:color w:val="00548C"/>
        </w:rPr>
        <w:t xml:space="preserve"> policy for</w:t>
      </w:r>
      <w:r w:rsidR="00493710">
        <w:rPr>
          <w:rFonts w:ascii="Times New Roman" w:hAnsi="Times New Roman" w:cs="Times New Roman"/>
          <w:b/>
          <w:color w:val="00548C"/>
        </w:rPr>
        <w:t xml:space="preserve"> important</w:t>
      </w:r>
      <w:r w:rsidRPr="005D7B81">
        <w:rPr>
          <w:rFonts w:ascii="Times New Roman" w:hAnsi="Times New Roman" w:cs="Times New Roman"/>
          <w:b/>
          <w:color w:val="00548C"/>
        </w:rPr>
        <w:t xml:space="preserve"> regulatory and legal information</w:t>
      </w:r>
      <w:r w:rsidR="00493710">
        <w:rPr>
          <w:rFonts w:ascii="Times New Roman" w:hAnsi="Times New Roman" w:cs="Times New Roman"/>
          <w:b/>
          <w:color w:val="00548C"/>
        </w:rPr>
        <w:t>.</w:t>
      </w:r>
    </w:p>
    <w:p w14:paraId="17BC4723" w14:textId="77777777" w:rsidR="006E603E" w:rsidRDefault="006E603E">
      <w:pPr>
        <w:pStyle w:val="Heading2"/>
        <w:rPr>
          <w:u w:val="none"/>
        </w:rPr>
      </w:pPr>
    </w:p>
    <w:p w14:paraId="16EE8073" w14:textId="32E509F8" w:rsidR="00583376" w:rsidRPr="00B777AF" w:rsidRDefault="00583376" w:rsidP="002C0E05">
      <w:pPr>
        <w:pStyle w:val="Heading1"/>
      </w:pPr>
      <w:r w:rsidRPr="002C0E05">
        <w:rPr>
          <w:sz w:val="24"/>
        </w:rPr>
        <w:t xml:space="preserve">Description </w:t>
      </w:r>
    </w:p>
    <w:p w14:paraId="56C26D74" w14:textId="666DFE5F" w:rsidR="00ED0A0D" w:rsidRDefault="00F630F1" w:rsidP="00196935">
      <w:r>
        <w:t xml:space="preserve">Intradiscal steroid injections involve injecting glucocorticoids directly into the spinal disc that has been identified as the source of pain. </w:t>
      </w:r>
    </w:p>
    <w:p w14:paraId="7BEDE563" w14:textId="77777777" w:rsidR="005D7B81" w:rsidRPr="00B777AF" w:rsidRDefault="005D7B81" w:rsidP="00196935"/>
    <w:p w14:paraId="7085F688" w14:textId="77777777" w:rsidR="00583376" w:rsidRPr="00B777AF" w:rsidRDefault="00583376">
      <w:pPr>
        <w:pStyle w:val="Heading2"/>
        <w:rPr>
          <w:u w:val="none"/>
        </w:rPr>
      </w:pPr>
      <w:r w:rsidRPr="00B777AF">
        <w:rPr>
          <w:u w:val="none"/>
        </w:rPr>
        <w:t>Policy/Criteria</w:t>
      </w:r>
    </w:p>
    <w:p w14:paraId="5E4FAB14" w14:textId="2F03E1CB" w:rsidR="00C96847" w:rsidRDefault="00F74762" w:rsidP="006E603E">
      <w:pPr>
        <w:numPr>
          <w:ilvl w:val="0"/>
          <w:numId w:val="11"/>
        </w:numPr>
        <w:ind w:left="360"/>
      </w:pPr>
      <w:r>
        <w:rPr>
          <w:bCs/>
          <w:color w:val="000000"/>
        </w:rPr>
        <w:t>It is the policy of</w:t>
      </w:r>
      <w:r w:rsidR="00E97C17">
        <w:rPr>
          <w:bCs/>
          <w:color w:val="000000"/>
        </w:rPr>
        <w:t xml:space="preserve"> </w:t>
      </w:r>
      <w:r w:rsidR="00A83658">
        <w:rPr>
          <w:bCs/>
          <w:color w:val="000000"/>
        </w:rPr>
        <w:t>h</w:t>
      </w:r>
      <w:r w:rsidR="00E97C17">
        <w:rPr>
          <w:bCs/>
          <w:color w:val="000000"/>
        </w:rPr>
        <w:t xml:space="preserve">ealth </w:t>
      </w:r>
      <w:r w:rsidR="00A83658">
        <w:rPr>
          <w:bCs/>
          <w:color w:val="000000"/>
        </w:rPr>
        <w:t>p</w:t>
      </w:r>
      <w:r w:rsidR="00E97C17">
        <w:rPr>
          <w:bCs/>
          <w:color w:val="000000"/>
        </w:rPr>
        <w:t>lans affiliated with</w:t>
      </w:r>
      <w:r>
        <w:rPr>
          <w:bCs/>
          <w:color w:val="000000"/>
        </w:rPr>
        <w:t xml:space="preserve"> Centene Corporation</w:t>
      </w:r>
      <w:r w:rsidR="00C75BD4" w:rsidRPr="00C75BD4">
        <w:rPr>
          <w:bCs/>
          <w:color w:val="000000"/>
          <w:vertAlign w:val="superscript"/>
        </w:rPr>
        <w:t>®</w:t>
      </w:r>
      <w:r>
        <w:rPr>
          <w:bCs/>
          <w:color w:val="000000"/>
        </w:rPr>
        <w:t xml:space="preserve"> </w:t>
      </w:r>
      <w:r w:rsidR="00C96847">
        <w:t xml:space="preserve">that </w:t>
      </w:r>
      <w:r w:rsidR="006E603E">
        <w:t>intradiscal</w:t>
      </w:r>
      <w:r w:rsidR="00CD1718">
        <w:t xml:space="preserve"> </w:t>
      </w:r>
      <w:r w:rsidR="0009639E">
        <w:t xml:space="preserve">steroid </w:t>
      </w:r>
      <w:r w:rsidR="00CD1718">
        <w:t xml:space="preserve">injections </w:t>
      </w:r>
      <w:r w:rsidR="006E603E">
        <w:t>are considered</w:t>
      </w:r>
      <w:r w:rsidR="00C96847">
        <w:t xml:space="preserve"> </w:t>
      </w:r>
      <w:r w:rsidR="006E603E">
        <w:rPr>
          <w:b/>
        </w:rPr>
        <w:t xml:space="preserve">not </w:t>
      </w:r>
      <w:r w:rsidR="00C96847" w:rsidRPr="005D6347">
        <w:rPr>
          <w:b/>
        </w:rPr>
        <w:t>medically necessary</w:t>
      </w:r>
      <w:r w:rsidR="00C96847">
        <w:t xml:space="preserve"> </w:t>
      </w:r>
      <w:r w:rsidR="006E603E" w:rsidRPr="006E603E">
        <w:t>because effectiveness has not been established.</w:t>
      </w:r>
      <w:r w:rsidR="00773A16">
        <w:t xml:space="preserve"> </w:t>
      </w:r>
      <w:r w:rsidR="006E603E" w:rsidRPr="006E603E">
        <w:t>The published literature suggests both positive and negative results.</w:t>
      </w:r>
      <w:r w:rsidR="00773A16">
        <w:t xml:space="preserve"> </w:t>
      </w:r>
      <w:r w:rsidR="006E603E" w:rsidRPr="006E603E">
        <w:t>Further research is being done to determine the safety and efficacy of injecting steroids directly into the disc.</w:t>
      </w:r>
    </w:p>
    <w:p w14:paraId="442E1626" w14:textId="77777777" w:rsidR="00C96847" w:rsidRDefault="00C96847" w:rsidP="00C96847"/>
    <w:p w14:paraId="7549D23A" w14:textId="77777777" w:rsidR="006E603E" w:rsidRPr="006E603E" w:rsidRDefault="006E603E" w:rsidP="006E603E">
      <w:pPr>
        <w:rPr>
          <w:b/>
        </w:rPr>
      </w:pPr>
      <w:r w:rsidRPr="006E603E">
        <w:rPr>
          <w:b/>
        </w:rPr>
        <w:t xml:space="preserve">Background </w:t>
      </w:r>
    </w:p>
    <w:p w14:paraId="6A0E5C5E" w14:textId="54F54A03" w:rsidR="006E603E" w:rsidRPr="00B970E3" w:rsidRDefault="006E603E" w:rsidP="006E603E">
      <w:pPr>
        <w:rPr>
          <w:vertAlign w:val="superscript"/>
        </w:rPr>
      </w:pPr>
      <w:r>
        <w:t xml:space="preserve">There is </w:t>
      </w:r>
      <w:r w:rsidR="00571E3D">
        <w:t xml:space="preserve">limited and conflicting </w:t>
      </w:r>
      <w:r>
        <w:t xml:space="preserve">evidence </w:t>
      </w:r>
      <w:r w:rsidR="00571E3D">
        <w:t>regarding the effectiveness of</w:t>
      </w:r>
      <w:r>
        <w:t xml:space="preserve"> </w:t>
      </w:r>
      <w:r w:rsidRPr="00D648DE">
        <w:t>intradiscal glucocorticoids for low back pain</w:t>
      </w:r>
      <w:r>
        <w:t>.</w:t>
      </w:r>
      <w:r w:rsidR="00571E3D">
        <w:rPr>
          <w:vertAlign w:val="superscript"/>
        </w:rPr>
        <w:t>1</w:t>
      </w:r>
      <w:r w:rsidR="00760389">
        <w:t xml:space="preserve"> </w:t>
      </w:r>
      <w:r>
        <w:t xml:space="preserve">In patients with </w:t>
      </w:r>
      <w:r w:rsidR="00985182">
        <w:t>magnetic resonance imaging (</w:t>
      </w:r>
      <w:r>
        <w:t>MRI</w:t>
      </w:r>
      <w:r w:rsidR="00985182">
        <w:t>)</w:t>
      </w:r>
      <w:r>
        <w:t xml:space="preserve"> evidence of </w:t>
      </w:r>
      <w:r w:rsidRPr="00D648DE">
        <w:t>degenerative disc disease</w:t>
      </w:r>
      <w:r>
        <w:t xml:space="preserve"> and a positive response to discography, two trials found no difference between intradiscal steroid and control injection (saline or local anesthetic).</w:t>
      </w:r>
      <w:r w:rsidR="00571E3D">
        <w:rPr>
          <w:vertAlign w:val="superscript"/>
        </w:rPr>
        <w:t>1</w:t>
      </w:r>
      <w:r w:rsidR="00760389">
        <w:rPr>
          <w:vertAlign w:val="superscript"/>
        </w:rPr>
        <w:t xml:space="preserve"> </w:t>
      </w:r>
      <w:r>
        <w:t xml:space="preserve">A third trial found that in patients with degenerative disc disease who failed an </w:t>
      </w:r>
      <w:r w:rsidRPr="00D648DE">
        <w:t>epidural steroid injection</w:t>
      </w:r>
      <w:r>
        <w:t>, intradiscal steroid injection was superior to discography alone only in the subgroup of patients with inflammatory endplate changes on MRI.</w:t>
      </w:r>
      <w:r w:rsidR="0009639E">
        <w:rPr>
          <w:vertAlign w:val="superscript"/>
        </w:rPr>
        <w:t>1</w:t>
      </w:r>
      <w:r w:rsidR="00760389">
        <w:rPr>
          <w:vertAlign w:val="superscript"/>
        </w:rPr>
        <w:t xml:space="preserve"> </w:t>
      </w:r>
      <w:r>
        <w:t>However, outcomes were not well defined in this trial</w:t>
      </w:r>
      <w:r w:rsidR="00C74AC8">
        <w:t>,</w:t>
      </w:r>
      <w:r>
        <w:t xml:space="preserve"> and levels of statistical significance were poorly reported.</w:t>
      </w:r>
      <w:r w:rsidR="00773A16">
        <w:t xml:space="preserve"> </w:t>
      </w:r>
      <w:r>
        <w:t xml:space="preserve">Based on these trials, the </w:t>
      </w:r>
      <w:r w:rsidRPr="00D648DE">
        <w:t>American Pain Society</w:t>
      </w:r>
      <w:r>
        <w:t xml:space="preserve"> guideline recommends against intradiscal glucocorticoid injection for </w:t>
      </w:r>
      <w:r w:rsidR="004F1C51">
        <w:t>presumed discogenic</w:t>
      </w:r>
      <w:r>
        <w:t xml:space="preserve"> pain.</w:t>
      </w:r>
      <w:r w:rsidR="00571E3D">
        <w:rPr>
          <w:vertAlign w:val="superscript"/>
        </w:rPr>
        <w:t>2</w:t>
      </w:r>
    </w:p>
    <w:p w14:paraId="43FA72EA" w14:textId="6A09199B" w:rsidR="006E603E" w:rsidRDefault="006E603E" w:rsidP="006E603E"/>
    <w:p w14:paraId="7A2838A8" w14:textId="42F9F553" w:rsidR="00571E3D" w:rsidRPr="00A82F7B" w:rsidRDefault="00571E3D" w:rsidP="006E603E">
      <w:pPr>
        <w:rPr>
          <w:vertAlign w:val="superscript"/>
        </w:rPr>
      </w:pPr>
      <w:r>
        <w:t>A</w:t>
      </w:r>
      <w:r w:rsidR="003A0CF4">
        <w:t xml:space="preserve"> randomized</w:t>
      </w:r>
      <w:r>
        <w:t xml:space="preserve"> trial of 135 </w:t>
      </w:r>
      <w:r w:rsidR="0009639E">
        <w:t xml:space="preserve">patients with </w:t>
      </w:r>
      <w:r w:rsidR="0009639E" w:rsidRPr="00C335A1">
        <w:t>active discopathy</w:t>
      </w:r>
      <w:r w:rsidRPr="00C335A1">
        <w:t xml:space="preserve"> treat</w:t>
      </w:r>
      <w:r w:rsidR="003A0CF4" w:rsidRPr="00C335A1">
        <w:t>ed</w:t>
      </w:r>
      <w:r w:rsidRPr="00C335A1">
        <w:t xml:space="preserve"> with a glucocorticoid intradisc</w:t>
      </w:r>
      <w:r w:rsidR="003A0CF4" w:rsidRPr="00C335A1">
        <w:t>al injection during discography</w:t>
      </w:r>
      <w:r w:rsidRPr="00C335A1">
        <w:t xml:space="preserve"> or discography alone</w:t>
      </w:r>
      <w:r w:rsidR="003A0CF4" w:rsidRPr="00EE2522">
        <w:t>,</w:t>
      </w:r>
      <w:r>
        <w:t xml:space="preserve"> found that </w:t>
      </w:r>
      <w:r w:rsidR="0009639E">
        <w:t>back pain was improved at one</w:t>
      </w:r>
      <w:r>
        <w:t xml:space="preserve"> month </w:t>
      </w:r>
      <w:r w:rsidR="003A0CF4">
        <w:t>in</w:t>
      </w:r>
      <w:r>
        <w:t xml:space="preserve"> the in</w:t>
      </w:r>
      <w:r w:rsidR="003A0CF4">
        <w:t>t</w:t>
      </w:r>
      <w:r>
        <w:t>radiscal injection group, but the effect was not pr</w:t>
      </w:r>
      <w:r w:rsidR="003A0CF4">
        <w:t>esent at 12 months.</w:t>
      </w:r>
      <w:r w:rsidR="00A82F7B">
        <w:rPr>
          <w:vertAlign w:val="superscript"/>
        </w:rPr>
        <w:t>3</w:t>
      </w:r>
      <w:r w:rsidR="003A0CF4">
        <w:t xml:space="preserve"> S</w:t>
      </w:r>
      <w:r w:rsidR="00A82F7B">
        <w:t xml:space="preserve">econdary outcomes such </w:t>
      </w:r>
      <w:r w:rsidR="00773A16">
        <w:t xml:space="preserve">as </w:t>
      </w:r>
      <w:r w:rsidR="00A82F7B">
        <w:t>activity limitations, use of analgesics, quality of life, and anxiety and depression did not differ between the treatment and control groups at either evaluated time point.</w:t>
      </w:r>
      <w:r w:rsidR="00A82F7B">
        <w:rPr>
          <w:vertAlign w:val="superscript"/>
        </w:rPr>
        <w:t>3</w:t>
      </w:r>
    </w:p>
    <w:p w14:paraId="0C525FE1" w14:textId="77777777" w:rsidR="00571E3D" w:rsidRDefault="00571E3D" w:rsidP="006E603E"/>
    <w:p w14:paraId="2CBD4DD7" w14:textId="6CE43E3E" w:rsidR="009D5928" w:rsidRPr="0009639E" w:rsidRDefault="006E603E">
      <w:pPr>
        <w:rPr>
          <w:vertAlign w:val="superscript"/>
        </w:rPr>
      </w:pPr>
      <w:r>
        <w:t xml:space="preserve">The use of intradiscal steroid injections is also debated because </w:t>
      </w:r>
      <w:r w:rsidRPr="00C335A1">
        <w:t>intradiscal steroid may cause discitis, progression of disc degeneration, and calcification of the intervertebral disc.</w:t>
      </w:r>
      <w:r w:rsidR="00A82F7B" w:rsidRPr="00C335A1">
        <w:rPr>
          <w:vertAlign w:val="superscript"/>
        </w:rPr>
        <w:t>1</w:t>
      </w:r>
    </w:p>
    <w:p w14:paraId="401A6DCE" w14:textId="77777777" w:rsidR="006E603E" w:rsidRPr="000465DE" w:rsidRDefault="006E603E">
      <w:pPr>
        <w:rPr>
          <w:b/>
          <w:bCs/>
        </w:rPr>
      </w:pPr>
    </w:p>
    <w:p w14:paraId="755FF9B5" w14:textId="77777777" w:rsidR="00170B14" w:rsidRPr="00B777AF" w:rsidRDefault="00170B14" w:rsidP="00170B14">
      <w:pPr>
        <w:rPr>
          <w:b/>
        </w:rPr>
      </w:pPr>
      <w:bookmarkStart w:id="0" w:name="Coding_Implications"/>
      <w:r w:rsidRPr="00B777AF">
        <w:rPr>
          <w:b/>
        </w:rPr>
        <w:t>Coding Implications</w:t>
      </w:r>
    </w:p>
    <w:bookmarkEnd w:id="0"/>
    <w:p w14:paraId="7DFB9554" w14:textId="534974D7" w:rsidR="00AF5490" w:rsidRDefault="00DD6ADB" w:rsidP="00AF5490">
      <w:r w:rsidRPr="00507DC0">
        <w:t xml:space="preserve">This </w:t>
      </w:r>
      <w:r>
        <w:t xml:space="preserve">clinical </w:t>
      </w:r>
      <w:r w:rsidRPr="00507DC0">
        <w:t>policy references Current Procedural Terminology (CPT</w:t>
      </w:r>
      <w:r w:rsidRPr="00DD6ADB">
        <w:rPr>
          <w:vertAlign w:val="superscript"/>
        </w:rPr>
        <w:t>®</w:t>
      </w:r>
      <w:r w:rsidRPr="00507DC0">
        <w:t>). CPT</w:t>
      </w:r>
      <w:r w:rsidRPr="00DD6ADB">
        <w:rPr>
          <w:vertAlign w:val="superscript"/>
        </w:rPr>
        <w:t>®</w:t>
      </w:r>
      <w:r w:rsidRPr="00507DC0">
        <w:t xml:space="preserve"> is a registered trademark of the Americ</w:t>
      </w:r>
      <w:r>
        <w:t>an Medical Association. All CPT</w:t>
      </w:r>
      <w:r w:rsidRPr="00507DC0">
        <w:t xml:space="preserve"> codes and descriptions are copyrighted </w:t>
      </w:r>
      <w:r w:rsidR="005C21D7" w:rsidRPr="00507DC0">
        <w:t>20</w:t>
      </w:r>
      <w:r w:rsidR="005C21D7">
        <w:t>2</w:t>
      </w:r>
      <w:r w:rsidR="005B7B0E">
        <w:t>4</w:t>
      </w:r>
      <w:r w:rsidR="005C21D7">
        <w:t xml:space="preserve"> </w:t>
      </w:r>
      <w:r w:rsidRPr="00507DC0">
        <w:t>American Medical Association. All rights reserved. CPT</w:t>
      </w:r>
      <w:r>
        <w:t xml:space="preserve"> codes and CPT</w:t>
      </w:r>
      <w:r w:rsidRPr="00507DC0">
        <w:t xml:space="preserve"> descriptions are from </w:t>
      </w:r>
      <w:r>
        <w:t xml:space="preserve">the </w:t>
      </w:r>
      <w:r w:rsidRPr="00507DC0">
        <w:t xml:space="preserve">current manuals and those included herein are not intended to be all-inclusive and are included for informational purposes only. </w:t>
      </w:r>
      <w:r w:rsidRPr="005E117C">
        <w:t>Codes</w:t>
      </w:r>
      <w:r>
        <w:t xml:space="preserve"> referenced in this c</w:t>
      </w:r>
      <w:r w:rsidRPr="005E117C">
        <w:t xml:space="preserve">linical </w:t>
      </w:r>
      <w:r>
        <w:t>p</w:t>
      </w:r>
      <w:r w:rsidRPr="005E117C">
        <w:t xml:space="preserve">olicy are for informational purposes only. Inclusion or exclusion of any codes does not guarantee coverage.  </w:t>
      </w:r>
      <w:r w:rsidRPr="005E117C">
        <w:lastRenderedPageBreak/>
        <w:t>Providers should reference the most up-to-date sources of professional coding guidance prior to the submission of claims for reimbursement of covered services.</w:t>
      </w:r>
    </w:p>
    <w:p w14:paraId="379CAC08" w14:textId="77777777" w:rsidR="00AF5490" w:rsidRPr="00A85489" w:rsidRDefault="00AF5490" w:rsidP="00AF5490"/>
    <w:tbl>
      <w:tblPr>
        <w:tblStyle w:val="TableGrid"/>
        <w:tblW w:w="4772" w:type="pct"/>
        <w:tblLook w:val="0020" w:firstRow="1" w:lastRow="0" w:firstColumn="0" w:lastColumn="0" w:noHBand="0" w:noVBand="0"/>
      </w:tblPr>
      <w:tblGrid>
        <w:gridCol w:w="1109"/>
        <w:gridCol w:w="7815"/>
      </w:tblGrid>
      <w:tr w:rsidR="00B777AF" w:rsidRPr="00B777AF" w14:paraId="54321C74" w14:textId="77777777" w:rsidTr="0009639E">
        <w:trPr>
          <w:tblHeader/>
        </w:trPr>
        <w:tc>
          <w:tcPr>
            <w:tcW w:w="1109" w:type="dxa"/>
            <w:shd w:val="clear" w:color="auto" w:fill="00548C"/>
          </w:tcPr>
          <w:p w14:paraId="108073C5" w14:textId="77777777" w:rsidR="00D36448" w:rsidRPr="00B777AF" w:rsidRDefault="00D36448" w:rsidP="004F1C51">
            <w:pPr>
              <w:rPr>
                <w:b/>
                <w:bCs/>
                <w:color w:val="FFFFFF" w:themeColor="background1"/>
              </w:rPr>
            </w:pPr>
            <w:r w:rsidRPr="00B777AF">
              <w:rPr>
                <w:b/>
                <w:color w:val="FFFFFF" w:themeColor="background1"/>
              </w:rPr>
              <w:t>CPT</w:t>
            </w:r>
            <w:r w:rsidR="005D7B81">
              <w:rPr>
                <w:b/>
                <w:color w:val="FFFFFF" w:themeColor="background1"/>
                <w:vertAlign w:val="superscript"/>
              </w:rPr>
              <w:t>®</w:t>
            </w:r>
            <w:r w:rsidRPr="00B777AF">
              <w:rPr>
                <w:b/>
                <w:color w:val="FFFFFF" w:themeColor="background1"/>
              </w:rPr>
              <w:t xml:space="preserve"> Codes </w:t>
            </w:r>
          </w:p>
        </w:tc>
        <w:tc>
          <w:tcPr>
            <w:tcW w:w="7815" w:type="dxa"/>
            <w:shd w:val="clear" w:color="auto" w:fill="00548C"/>
          </w:tcPr>
          <w:p w14:paraId="2AE5FD45" w14:textId="77777777" w:rsidR="00D36448" w:rsidRPr="00B777AF" w:rsidRDefault="00D36448" w:rsidP="004F1C51">
            <w:pPr>
              <w:rPr>
                <w:b/>
                <w:bCs/>
                <w:color w:val="FFFFFF" w:themeColor="background1"/>
              </w:rPr>
            </w:pPr>
            <w:r w:rsidRPr="00B777AF">
              <w:rPr>
                <w:b/>
                <w:color w:val="FFFFFF" w:themeColor="background1"/>
              </w:rPr>
              <w:t>Description</w:t>
            </w:r>
          </w:p>
        </w:tc>
      </w:tr>
      <w:tr w:rsidR="0009639E" w:rsidRPr="005144C0" w14:paraId="49BFA406" w14:textId="77777777" w:rsidTr="0009639E">
        <w:tc>
          <w:tcPr>
            <w:tcW w:w="1109" w:type="dxa"/>
          </w:tcPr>
          <w:p w14:paraId="217A668F" w14:textId="2BAD6323" w:rsidR="0009639E" w:rsidRPr="0009639E" w:rsidRDefault="0009639E" w:rsidP="0009639E">
            <w:r w:rsidRPr="0009639E">
              <w:t>22899</w:t>
            </w:r>
          </w:p>
        </w:tc>
        <w:tc>
          <w:tcPr>
            <w:tcW w:w="7815" w:type="dxa"/>
          </w:tcPr>
          <w:p w14:paraId="6FBD3C4F" w14:textId="35C10FB4" w:rsidR="0009639E" w:rsidRPr="0009639E" w:rsidRDefault="0009639E" w:rsidP="0009639E">
            <w:r w:rsidRPr="0009639E">
              <w:t>Unlisted procedure, spine</w:t>
            </w:r>
          </w:p>
        </w:tc>
      </w:tr>
    </w:tbl>
    <w:p w14:paraId="6B872D36" w14:textId="77777777" w:rsidR="00350F22" w:rsidRDefault="00350F22" w:rsidP="00AF5490"/>
    <w:tbl>
      <w:tblPr>
        <w:tblStyle w:val="LightList-Accent1"/>
        <w:tblW w:w="964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20" w:firstRow="1" w:lastRow="0" w:firstColumn="0" w:lastColumn="0" w:noHBand="0" w:noVBand="0"/>
      </w:tblPr>
      <w:tblGrid>
        <w:gridCol w:w="7280"/>
        <w:gridCol w:w="1108"/>
        <w:gridCol w:w="1260"/>
      </w:tblGrid>
      <w:tr w:rsidR="00B777AF" w:rsidRPr="00B777AF" w14:paraId="0ECC6E1F" w14:textId="77777777" w:rsidTr="00C95DF2">
        <w:trPr>
          <w:cnfStyle w:val="100000000000" w:firstRow="1" w:lastRow="0" w:firstColumn="0" w:lastColumn="0" w:oddVBand="0" w:evenVBand="0" w:oddHBand="0" w:evenHBand="0" w:firstRowFirstColumn="0" w:firstRowLastColumn="0" w:lastRowFirstColumn="0" w:lastRowLastColumn="0"/>
          <w:tblHeader/>
        </w:trPr>
        <w:tc>
          <w:tcPr>
            <w:cnfStyle w:val="000010000000" w:firstRow="0" w:lastRow="0" w:firstColumn="0" w:lastColumn="0" w:oddVBand="1" w:evenVBand="0" w:oddHBand="0" w:evenHBand="0" w:firstRowFirstColumn="0" w:firstRowLastColumn="0" w:lastRowFirstColumn="0" w:lastRowLastColumn="0"/>
            <w:tcW w:w="7280" w:type="dxa"/>
            <w:tcBorders>
              <w:left w:val="none" w:sz="0" w:space="0" w:color="auto"/>
              <w:right w:val="none" w:sz="0" w:space="0" w:color="auto"/>
            </w:tcBorders>
            <w:shd w:val="clear" w:color="auto" w:fill="00548C"/>
          </w:tcPr>
          <w:p w14:paraId="3BDE5146" w14:textId="77777777" w:rsidR="00B777AF" w:rsidRPr="00B777AF" w:rsidRDefault="00B777AF" w:rsidP="00B777AF">
            <w:pPr>
              <w:rPr>
                <w:bCs w:val="0"/>
              </w:rPr>
            </w:pPr>
            <w:bookmarkStart w:id="1" w:name="Revision_Log"/>
            <w:r w:rsidRPr="00B777AF">
              <w:rPr>
                <w:bCs w:val="0"/>
              </w:rPr>
              <w:t>Reviews</w:t>
            </w:r>
            <w:r>
              <w:rPr>
                <w:bCs w:val="0"/>
              </w:rPr>
              <w:t>, Revisions, and Approvals</w:t>
            </w:r>
            <w:bookmarkEnd w:id="1"/>
          </w:p>
        </w:tc>
        <w:tc>
          <w:tcPr>
            <w:tcW w:w="1108" w:type="dxa"/>
            <w:shd w:val="clear" w:color="auto" w:fill="00548C"/>
          </w:tcPr>
          <w:p w14:paraId="4A8EFE92" w14:textId="77777777" w:rsidR="00A360EC" w:rsidRDefault="00A360EC" w:rsidP="005776FD">
            <w:pPr>
              <w:jc w:val="center"/>
              <w:cnfStyle w:val="100000000000" w:firstRow="1" w:lastRow="0" w:firstColumn="0" w:lastColumn="0" w:oddVBand="0" w:evenVBand="0" w:oddHBand="0" w:evenHBand="0" w:firstRowFirstColumn="0" w:firstRowLastColumn="0" w:lastRowFirstColumn="0" w:lastRowLastColumn="0"/>
              <w:rPr>
                <w:bCs w:val="0"/>
              </w:rPr>
            </w:pPr>
            <w:r>
              <w:rPr>
                <w:bCs w:val="0"/>
              </w:rPr>
              <w:t>Revision</w:t>
            </w:r>
          </w:p>
          <w:p w14:paraId="5AE0D08E" w14:textId="61C12AAC" w:rsidR="00B777AF" w:rsidRPr="00B777AF" w:rsidRDefault="00B777AF" w:rsidP="005776FD">
            <w:pPr>
              <w:jc w:val="center"/>
              <w:cnfStyle w:val="100000000000" w:firstRow="1" w:lastRow="0" w:firstColumn="0" w:lastColumn="0" w:oddVBand="0" w:evenVBand="0" w:oddHBand="0" w:evenHBand="0" w:firstRowFirstColumn="0" w:firstRowLastColumn="0" w:lastRowFirstColumn="0" w:lastRowLastColumn="0"/>
              <w:rPr>
                <w:bCs w:val="0"/>
              </w:rPr>
            </w:pPr>
            <w:r w:rsidRPr="00B777AF">
              <w:rPr>
                <w:bCs w:val="0"/>
              </w:rPr>
              <w:t>Date</w:t>
            </w:r>
          </w:p>
        </w:tc>
        <w:tc>
          <w:tcPr>
            <w:cnfStyle w:val="000010000000" w:firstRow="0" w:lastRow="0" w:firstColumn="0" w:lastColumn="0" w:oddVBand="1" w:evenVBand="0" w:oddHBand="0" w:evenHBand="0" w:firstRowFirstColumn="0" w:firstRowLastColumn="0" w:lastRowFirstColumn="0" w:lastRowLastColumn="0"/>
            <w:tcW w:w="1260" w:type="dxa"/>
            <w:tcBorders>
              <w:left w:val="none" w:sz="0" w:space="0" w:color="auto"/>
              <w:right w:val="none" w:sz="0" w:space="0" w:color="auto"/>
            </w:tcBorders>
            <w:shd w:val="clear" w:color="auto" w:fill="00548C"/>
          </w:tcPr>
          <w:p w14:paraId="7DADC786" w14:textId="77777777" w:rsidR="00B777AF" w:rsidRPr="00B777AF" w:rsidRDefault="001818D7" w:rsidP="00857C10">
            <w:pPr>
              <w:jc w:val="center"/>
              <w:rPr>
                <w:bCs w:val="0"/>
              </w:rPr>
            </w:pPr>
            <w:r>
              <w:rPr>
                <w:bCs w:val="0"/>
              </w:rPr>
              <w:t>Approval</w:t>
            </w:r>
            <w:r w:rsidR="00B777AF" w:rsidRPr="00B777AF">
              <w:rPr>
                <w:bCs w:val="0"/>
              </w:rPr>
              <w:t xml:space="preserve"> Date</w:t>
            </w:r>
          </w:p>
        </w:tc>
      </w:tr>
      <w:tr w:rsidR="00B777AF" w14:paraId="7BAEAC84" w14:textId="77777777" w:rsidTr="00C95DF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280" w:type="dxa"/>
            <w:tcBorders>
              <w:top w:val="none" w:sz="0" w:space="0" w:color="auto"/>
              <w:left w:val="none" w:sz="0" w:space="0" w:color="auto"/>
              <w:bottom w:val="none" w:sz="0" w:space="0" w:color="auto"/>
              <w:right w:val="none" w:sz="0" w:space="0" w:color="auto"/>
            </w:tcBorders>
          </w:tcPr>
          <w:p w14:paraId="53A95A47" w14:textId="5AF56CD5" w:rsidR="00B777AF" w:rsidRDefault="000D4382" w:rsidP="000D4382">
            <w:pPr>
              <w:tabs>
                <w:tab w:val="num" w:pos="720"/>
              </w:tabs>
            </w:pPr>
            <w:r>
              <w:t>Policy split from CP.MP.118 Injections for Pain Management. Background updated.</w:t>
            </w:r>
          </w:p>
        </w:tc>
        <w:tc>
          <w:tcPr>
            <w:tcW w:w="1108" w:type="dxa"/>
            <w:tcBorders>
              <w:top w:val="none" w:sz="0" w:space="0" w:color="auto"/>
              <w:bottom w:val="none" w:sz="0" w:space="0" w:color="auto"/>
            </w:tcBorders>
          </w:tcPr>
          <w:p w14:paraId="22F9266B" w14:textId="09E34956" w:rsidR="00B777AF" w:rsidRDefault="000D4382" w:rsidP="005776FD">
            <w:pPr>
              <w:jc w:val="center"/>
              <w:cnfStyle w:val="000000100000" w:firstRow="0" w:lastRow="0" w:firstColumn="0" w:lastColumn="0" w:oddVBand="0" w:evenVBand="0" w:oddHBand="1" w:evenHBand="0" w:firstRowFirstColumn="0" w:firstRowLastColumn="0" w:lastRowFirstColumn="0" w:lastRowLastColumn="0"/>
            </w:pPr>
            <w:r>
              <w:t>08/18</w:t>
            </w:r>
          </w:p>
        </w:tc>
        <w:tc>
          <w:tcPr>
            <w:cnfStyle w:val="000010000000" w:firstRow="0" w:lastRow="0" w:firstColumn="0" w:lastColumn="0" w:oddVBand="1" w:evenVBand="0" w:oddHBand="0" w:evenHBand="0" w:firstRowFirstColumn="0" w:firstRowLastColumn="0" w:lastRowFirstColumn="0" w:lastRowLastColumn="0"/>
            <w:tcW w:w="1260" w:type="dxa"/>
            <w:tcBorders>
              <w:top w:val="none" w:sz="0" w:space="0" w:color="auto"/>
              <w:left w:val="none" w:sz="0" w:space="0" w:color="auto"/>
              <w:bottom w:val="none" w:sz="0" w:space="0" w:color="auto"/>
              <w:right w:val="none" w:sz="0" w:space="0" w:color="auto"/>
            </w:tcBorders>
          </w:tcPr>
          <w:p w14:paraId="4B439B6E" w14:textId="560F55B0" w:rsidR="00B777AF" w:rsidRDefault="00E27A71" w:rsidP="00857C10">
            <w:pPr>
              <w:jc w:val="center"/>
            </w:pPr>
            <w:r>
              <w:t>08/18</w:t>
            </w:r>
          </w:p>
        </w:tc>
      </w:tr>
      <w:tr w:rsidR="008E26EF" w14:paraId="44A796F4" w14:textId="77777777" w:rsidTr="00C95DF2">
        <w:tc>
          <w:tcPr>
            <w:cnfStyle w:val="000010000000" w:firstRow="0" w:lastRow="0" w:firstColumn="0" w:lastColumn="0" w:oddVBand="1" w:evenVBand="0" w:oddHBand="0" w:evenHBand="0" w:firstRowFirstColumn="0" w:firstRowLastColumn="0" w:lastRowFirstColumn="0" w:lastRowLastColumn="0"/>
            <w:tcW w:w="7280" w:type="dxa"/>
          </w:tcPr>
          <w:p w14:paraId="4266E71C" w14:textId="19B708C8" w:rsidR="008E26EF" w:rsidRDefault="008E26EF" w:rsidP="00700F42">
            <w:pPr>
              <w:tabs>
                <w:tab w:val="num" w:pos="720"/>
              </w:tabs>
            </w:pPr>
            <w:r>
              <w:t xml:space="preserve">References </w:t>
            </w:r>
            <w:r w:rsidR="00700F42">
              <w:t>reviewed and updated.</w:t>
            </w:r>
            <w:r>
              <w:t xml:space="preserve">  </w:t>
            </w:r>
          </w:p>
        </w:tc>
        <w:tc>
          <w:tcPr>
            <w:tcW w:w="1108" w:type="dxa"/>
          </w:tcPr>
          <w:p w14:paraId="00BCFE0F" w14:textId="768F7317" w:rsidR="008E26EF" w:rsidRDefault="008E26EF" w:rsidP="005776FD">
            <w:pPr>
              <w:jc w:val="center"/>
              <w:cnfStyle w:val="000000000000" w:firstRow="0" w:lastRow="0" w:firstColumn="0" w:lastColumn="0" w:oddVBand="0" w:evenVBand="0" w:oddHBand="0" w:evenHBand="0" w:firstRowFirstColumn="0" w:firstRowLastColumn="0" w:lastRowFirstColumn="0" w:lastRowLastColumn="0"/>
            </w:pPr>
            <w:r>
              <w:t>07/20</w:t>
            </w:r>
          </w:p>
        </w:tc>
        <w:tc>
          <w:tcPr>
            <w:cnfStyle w:val="000010000000" w:firstRow="0" w:lastRow="0" w:firstColumn="0" w:lastColumn="0" w:oddVBand="1" w:evenVBand="0" w:oddHBand="0" w:evenHBand="0" w:firstRowFirstColumn="0" w:firstRowLastColumn="0" w:lastRowFirstColumn="0" w:lastRowLastColumn="0"/>
            <w:tcW w:w="1260" w:type="dxa"/>
          </w:tcPr>
          <w:p w14:paraId="6D6B339A" w14:textId="16541070" w:rsidR="008E26EF" w:rsidRDefault="0068124C" w:rsidP="00857C10">
            <w:pPr>
              <w:jc w:val="center"/>
            </w:pPr>
            <w:r>
              <w:t>08/20</w:t>
            </w:r>
          </w:p>
        </w:tc>
      </w:tr>
      <w:tr w:rsidR="00091DF4" w14:paraId="717B6A61" w14:textId="77777777" w:rsidTr="00A360E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280" w:type="dxa"/>
          </w:tcPr>
          <w:p w14:paraId="0DEB31CF" w14:textId="2E264F42" w:rsidR="00091DF4" w:rsidRDefault="00C95DF2" w:rsidP="00700F42">
            <w:pPr>
              <w:tabs>
                <w:tab w:val="num" w:pos="720"/>
              </w:tabs>
            </w:pPr>
            <w:r>
              <w:t xml:space="preserve">Annual review. </w:t>
            </w:r>
            <w:r w:rsidR="00091DF4" w:rsidRPr="00091DF4">
              <w:t>Changed “review date” in the header to “date of last revision” and “date” in the revision log header to “revision date.”  References reviewed, reformatted and updated.</w:t>
            </w:r>
            <w:r w:rsidR="00091DF4">
              <w:t xml:space="preserve"> Replaced “member” with “member/enrollee” in all instances.</w:t>
            </w:r>
            <w:r w:rsidR="008338BC">
              <w:t xml:space="preserve"> Specialist review.</w:t>
            </w:r>
          </w:p>
        </w:tc>
        <w:tc>
          <w:tcPr>
            <w:tcW w:w="1108" w:type="dxa"/>
          </w:tcPr>
          <w:p w14:paraId="2B01B0C3" w14:textId="55DE0F86" w:rsidR="00091DF4" w:rsidRPr="00091DF4" w:rsidRDefault="00091DF4" w:rsidP="00C95DF2">
            <w:pPr>
              <w:jc w:val="center"/>
              <w:cnfStyle w:val="000000100000" w:firstRow="0" w:lastRow="0" w:firstColumn="0" w:lastColumn="0" w:oddVBand="0" w:evenVBand="0" w:oddHBand="1" w:evenHBand="0" w:firstRowFirstColumn="0" w:firstRowLastColumn="0" w:lastRowFirstColumn="0" w:lastRowLastColumn="0"/>
            </w:pPr>
            <w:r>
              <w:t>0</w:t>
            </w:r>
            <w:r w:rsidR="003B7946">
              <w:t>8</w:t>
            </w:r>
            <w:r>
              <w:t>/21</w:t>
            </w:r>
          </w:p>
        </w:tc>
        <w:tc>
          <w:tcPr>
            <w:cnfStyle w:val="000010000000" w:firstRow="0" w:lastRow="0" w:firstColumn="0" w:lastColumn="0" w:oddVBand="1" w:evenVBand="0" w:oddHBand="0" w:evenHBand="0" w:firstRowFirstColumn="0" w:firstRowLastColumn="0" w:lastRowFirstColumn="0" w:lastRowLastColumn="0"/>
            <w:tcW w:w="1260" w:type="dxa"/>
          </w:tcPr>
          <w:p w14:paraId="18A79E95" w14:textId="092808E9" w:rsidR="00091DF4" w:rsidRDefault="00760389" w:rsidP="00857C10">
            <w:pPr>
              <w:jc w:val="center"/>
            </w:pPr>
            <w:r>
              <w:t>08/21</w:t>
            </w:r>
          </w:p>
        </w:tc>
      </w:tr>
      <w:tr w:rsidR="00E84F2E" w14:paraId="5CF1BA2F" w14:textId="77777777" w:rsidTr="00A360EC">
        <w:tc>
          <w:tcPr>
            <w:cnfStyle w:val="000010000000" w:firstRow="0" w:lastRow="0" w:firstColumn="0" w:lastColumn="0" w:oddVBand="1" w:evenVBand="0" w:oddHBand="0" w:evenHBand="0" w:firstRowFirstColumn="0" w:firstRowLastColumn="0" w:lastRowFirstColumn="0" w:lastRowLastColumn="0"/>
            <w:tcW w:w="7280" w:type="dxa"/>
          </w:tcPr>
          <w:p w14:paraId="205B9CFF" w14:textId="3FDD2ABA" w:rsidR="00E84F2E" w:rsidRDefault="00E84F2E" w:rsidP="00700F42">
            <w:pPr>
              <w:tabs>
                <w:tab w:val="num" w:pos="720"/>
              </w:tabs>
            </w:pPr>
            <w:r>
              <w:t xml:space="preserve">Annual Review. </w:t>
            </w:r>
            <w:r w:rsidR="00843901">
              <w:t xml:space="preserve">Criteria section updated to single spacing. </w:t>
            </w:r>
            <w:r>
              <w:t>Background updated with no impact on criteria. References reviewed and updated. Specialist reviewed.</w:t>
            </w:r>
          </w:p>
        </w:tc>
        <w:tc>
          <w:tcPr>
            <w:tcW w:w="1108" w:type="dxa"/>
          </w:tcPr>
          <w:p w14:paraId="75A2B342" w14:textId="3ABBE5BF" w:rsidR="00E84F2E" w:rsidRDefault="00E84F2E" w:rsidP="00C95DF2">
            <w:pPr>
              <w:jc w:val="center"/>
              <w:cnfStyle w:val="000000000000" w:firstRow="0" w:lastRow="0" w:firstColumn="0" w:lastColumn="0" w:oddVBand="0" w:evenVBand="0" w:oddHBand="0" w:evenHBand="0" w:firstRowFirstColumn="0" w:firstRowLastColumn="0" w:lastRowFirstColumn="0" w:lastRowLastColumn="0"/>
            </w:pPr>
            <w:r>
              <w:t>08/22</w:t>
            </w:r>
          </w:p>
        </w:tc>
        <w:tc>
          <w:tcPr>
            <w:cnfStyle w:val="000010000000" w:firstRow="0" w:lastRow="0" w:firstColumn="0" w:lastColumn="0" w:oddVBand="1" w:evenVBand="0" w:oddHBand="0" w:evenHBand="0" w:firstRowFirstColumn="0" w:firstRowLastColumn="0" w:lastRowFirstColumn="0" w:lastRowLastColumn="0"/>
            <w:tcW w:w="1260" w:type="dxa"/>
          </w:tcPr>
          <w:p w14:paraId="7DC3D5E5" w14:textId="493ADE14" w:rsidR="00E84F2E" w:rsidRDefault="00E77DF9" w:rsidP="00857C10">
            <w:pPr>
              <w:jc w:val="center"/>
            </w:pPr>
            <w:r>
              <w:t>08/22</w:t>
            </w:r>
          </w:p>
        </w:tc>
      </w:tr>
      <w:tr w:rsidR="00067000" w14:paraId="1743A391" w14:textId="77777777" w:rsidTr="00A360E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280" w:type="dxa"/>
          </w:tcPr>
          <w:p w14:paraId="45C62ADF" w14:textId="2B0600AA" w:rsidR="00067000" w:rsidRDefault="00067000" w:rsidP="00700F42">
            <w:pPr>
              <w:tabs>
                <w:tab w:val="num" w:pos="720"/>
              </w:tabs>
            </w:pPr>
            <w:r>
              <w:t>Annual review. References reviewed and updated.</w:t>
            </w:r>
          </w:p>
        </w:tc>
        <w:tc>
          <w:tcPr>
            <w:tcW w:w="1108" w:type="dxa"/>
          </w:tcPr>
          <w:p w14:paraId="5E677C36" w14:textId="3903AB7F" w:rsidR="00067000" w:rsidRDefault="00067000" w:rsidP="00C95DF2">
            <w:pPr>
              <w:jc w:val="center"/>
              <w:cnfStyle w:val="000000100000" w:firstRow="0" w:lastRow="0" w:firstColumn="0" w:lastColumn="0" w:oddVBand="0" w:evenVBand="0" w:oddHBand="1" w:evenHBand="0" w:firstRowFirstColumn="0" w:firstRowLastColumn="0" w:lastRowFirstColumn="0" w:lastRowLastColumn="0"/>
            </w:pPr>
            <w:r>
              <w:t>08/23</w:t>
            </w:r>
          </w:p>
        </w:tc>
        <w:tc>
          <w:tcPr>
            <w:cnfStyle w:val="000010000000" w:firstRow="0" w:lastRow="0" w:firstColumn="0" w:lastColumn="0" w:oddVBand="1" w:evenVBand="0" w:oddHBand="0" w:evenHBand="0" w:firstRowFirstColumn="0" w:firstRowLastColumn="0" w:lastRowFirstColumn="0" w:lastRowLastColumn="0"/>
            <w:tcW w:w="1260" w:type="dxa"/>
          </w:tcPr>
          <w:p w14:paraId="4314FD3B" w14:textId="47B55535" w:rsidR="00067000" w:rsidRDefault="006B65BE" w:rsidP="00857C10">
            <w:pPr>
              <w:jc w:val="center"/>
            </w:pPr>
            <w:r>
              <w:t>08/23</w:t>
            </w:r>
          </w:p>
        </w:tc>
      </w:tr>
      <w:tr w:rsidR="000F3F97" w14:paraId="4AE3E6E6" w14:textId="77777777" w:rsidTr="00A360EC">
        <w:tc>
          <w:tcPr>
            <w:cnfStyle w:val="000010000000" w:firstRow="0" w:lastRow="0" w:firstColumn="0" w:lastColumn="0" w:oddVBand="1" w:evenVBand="0" w:oddHBand="0" w:evenHBand="0" w:firstRowFirstColumn="0" w:firstRowLastColumn="0" w:lastRowFirstColumn="0" w:lastRowLastColumn="0"/>
            <w:tcW w:w="7280" w:type="dxa"/>
          </w:tcPr>
          <w:p w14:paraId="2CE650FF" w14:textId="2278D0EA" w:rsidR="000F3F97" w:rsidRDefault="000F3F97" w:rsidP="00700F42">
            <w:pPr>
              <w:tabs>
                <w:tab w:val="num" w:pos="720"/>
              </w:tabs>
            </w:pPr>
            <w:r>
              <w:t>Annual review.</w:t>
            </w:r>
            <w:r w:rsidR="00DC3DD1">
              <w:t xml:space="preserve"> References reviewed and updated. Reviewed by external specialist.</w:t>
            </w:r>
          </w:p>
        </w:tc>
        <w:tc>
          <w:tcPr>
            <w:tcW w:w="1108" w:type="dxa"/>
          </w:tcPr>
          <w:p w14:paraId="1ABE04E8" w14:textId="106799E1" w:rsidR="000F3F97" w:rsidRDefault="000F3F97" w:rsidP="00C95DF2">
            <w:pPr>
              <w:jc w:val="center"/>
              <w:cnfStyle w:val="000000000000" w:firstRow="0" w:lastRow="0" w:firstColumn="0" w:lastColumn="0" w:oddVBand="0" w:evenVBand="0" w:oddHBand="0" w:evenHBand="0" w:firstRowFirstColumn="0" w:firstRowLastColumn="0" w:lastRowFirstColumn="0" w:lastRowLastColumn="0"/>
            </w:pPr>
            <w:r>
              <w:t>07/24</w:t>
            </w:r>
          </w:p>
        </w:tc>
        <w:tc>
          <w:tcPr>
            <w:cnfStyle w:val="000010000000" w:firstRow="0" w:lastRow="0" w:firstColumn="0" w:lastColumn="0" w:oddVBand="1" w:evenVBand="0" w:oddHBand="0" w:evenHBand="0" w:firstRowFirstColumn="0" w:firstRowLastColumn="0" w:lastRowFirstColumn="0" w:lastRowLastColumn="0"/>
            <w:tcW w:w="1260" w:type="dxa"/>
          </w:tcPr>
          <w:p w14:paraId="06CEE996" w14:textId="15F79D71" w:rsidR="000F3F97" w:rsidRDefault="00335787" w:rsidP="00857C10">
            <w:pPr>
              <w:jc w:val="center"/>
            </w:pPr>
            <w:r>
              <w:t>07/24</w:t>
            </w:r>
          </w:p>
        </w:tc>
      </w:tr>
      <w:tr w:rsidR="000A6CBB" w14:paraId="0FF7A1BB" w14:textId="77777777" w:rsidTr="00A360E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280" w:type="dxa"/>
          </w:tcPr>
          <w:p w14:paraId="6B24A0C3" w14:textId="73DE81C4" w:rsidR="000A6CBB" w:rsidRDefault="000A6CBB" w:rsidP="00700F42">
            <w:pPr>
              <w:tabs>
                <w:tab w:val="num" w:pos="720"/>
              </w:tabs>
            </w:pPr>
            <w:r>
              <w:t xml:space="preserve">Annual review. </w:t>
            </w:r>
            <w:r w:rsidR="00374D39">
              <w:t>References reviewed and updated.</w:t>
            </w:r>
          </w:p>
        </w:tc>
        <w:tc>
          <w:tcPr>
            <w:tcW w:w="1108" w:type="dxa"/>
          </w:tcPr>
          <w:p w14:paraId="77384868" w14:textId="5E3F6F2A" w:rsidR="000A6CBB" w:rsidRDefault="00937B30" w:rsidP="00C95DF2">
            <w:pPr>
              <w:jc w:val="center"/>
              <w:cnfStyle w:val="000000100000" w:firstRow="0" w:lastRow="0" w:firstColumn="0" w:lastColumn="0" w:oddVBand="0" w:evenVBand="0" w:oddHBand="1" w:evenHBand="0" w:firstRowFirstColumn="0" w:firstRowLastColumn="0" w:lastRowFirstColumn="0" w:lastRowLastColumn="0"/>
            </w:pPr>
            <w:r>
              <w:t>07/25</w:t>
            </w:r>
          </w:p>
        </w:tc>
        <w:tc>
          <w:tcPr>
            <w:cnfStyle w:val="000010000000" w:firstRow="0" w:lastRow="0" w:firstColumn="0" w:lastColumn="0" w:oddVBand="1" w:evenVBand="0" w:oddHBand="0" w:evenHBand="0" w:firstRowFirstColumn="0" w:firstRowLastColumn="0" w:lastRowFirstColumn="0" w:lastRowLastColumn="0"/>
            <w:tcW w:w="1260" w:type="dxa"/>
          </w:tcPr>
          <w:p w14:paraId="453EA974" w14:textId="3036AC38" w:rsidR="000A6CBB" w:rsidRDefault="004D649E" w:rsidP="00857C10">
            <w:pPr>
              <w:jc w:val="center"/>
            </w:pPr>
            <w:r>
              <w:t>07/25</w:t>
            </w:r>
          </w:p>
        </w:tc>
      </w:tr>
    </w:tbl>
    <w:p w14:paraId="52035A8E" w14:textId="77777777" w:rsidR="002C0E05" w:rsidRDefault="002C0E05" w:rsidP="00963062">
      <w:pPr>
        <w:pStyle w:val="Heading3"/>
        <w:sectPr w:rsidR="002C0E05" w:rsidSect="00CB63DD">
          <w:type w:val="continuous"/>
          <w:pgSz w:w="12240" w:h="15840" w:code="1"/>
          <w:pgMar w:top="1440" w:right="1440" w:bottom="1440" w:left="1440" w:header="576" w:footer="288" w:gutter="0"/>
          <w:cols w:space="720"/>
          <w:titlePg/>
          <w:docGrid w:linePitch="360"/>
        </w:sectPr>
      </w:pPr>
    </w:p>
    <w:p w14:paraId="35E6E5A5" w14:textId="1C24FCCF" w:rsidR="00963062" w:rsidRPr="00B777AF" w:rsidRDefault="003F3D44" w:rsidP="00963062">
      <w:pPr>
        <w:pStyle w:val="Heading3"/>
      </w:pPr>
      <w:r>
        <w:t>References</w:t>
      </w:r>
    </w:p>
    <w:p w14:paraId="1D0F327D" w14:textId="5B84B5F1" w:rsidR="009B4AE6" w:rsidRPr="00FC6BA1" w:rsidRDefault="009B4AE6" w:rsidP="00803869">
      <w:pPr>
        <w:pStyle w:val="ListParagraph"/>
        <w:numPr>
          <w:ilvl w:val="0"/>
          <w:numId w:val="21"/>
        </w:numPr>
        <w:ind w:left="360"/>
      </w:pPr>
      <w:bookmarkStart w:id="2" w:name="_Hlk172796318"/>
      <w:r w:rsidRPr="0007420A">
        <w:t>Chou R. Subacute and chronic low back pain: Nonsurgical interventional treatment.  UpToDate</w:t>
      </w:r>
      <w:r w:rsidR="00760389">
        <w:t>.</w:t>
      </w:r>
      <w:r w:rsidR="00803869">
        <w:t xml:space="preserve"> </w:t>
      </w:r>
      <w:hyperlink r:id="rId14" w:history="1">
        <w:r w:rsidR="00803869" w:rsidRPr="00D2007B">
          <w:rPr>
            <w:rStyle w:val="Hyperlink"/>
          </w:rPr>
          <w:t>www.uptodate.com</w:t>
        </w:r>
      </w:hyperlink>
      <w:r w:rsidR="00760389">
        <w:t xml:space="preserve">. Published </w:t>
      </w:r>
      <w:r w:rsidR="00795545">
        <w:t>April 29</w:t>
      </w:r>
      <w:r w:rsidR="00760389">
        <w:t>, 202</w:t>
      </w:r>
      <w:r w:rsidR="00795545">
        <w:t>5</w:t>
      </w:r>
      <w:r w:rsidR="00760389">
        <w:t xml:space="preserve">. </w:t>
      </w:r>
      <w:r w:rsidRPr="0007420A">
        <w:t xml:space="preserve">Accessed </w:t>
      </w:r>
      <w:r w:rsidR="002647BC">
        <w:t xml:space="preserve">June </w:t>
      </w:r>
      <w:r w:rsidR="00795545">
        <w:t>24</w:t>
      </w:r>
      <w:r w:rsidR="002647BC">
        <w:t>, 202</w:t>
      </w:r>
      <w:r w:rsidR="00795545">
        <w:t>5</w:t>
      </w:r>
      <w:r w:rsidR="006E302A">
        <w:t>.</w:t>
      </w:r>
      <w:r w:rsidRPr="0007420A">
        <w:t xml:space="preserve"> </w:t>
      </w:r>
      <w:r w:rsidR="00CF1C87">
        <w:t xml:space="preserve"> </w:t>
      </w:r>
    </w:p>
    <w:p w14:paraId="1E154F4A" w14:textId="12E39F37" w:rsidR="00654A15" w:rsidRPr="00377C5B" w:rsidRDefault="00654A15" w:rsidP="00BB4AD5">
      <w:pPr>
        <w:numPr>
          <w:ilvl w:val="0"/>
          <w:numId w:val="21"/>
        </w:numPr>
        <w:ind w:left="360"/>
      </w:pPr>
      <w:r w:rsidRPr="00377C5B">
        <w:t>Chou R</w:t>
      </w:r>
      <w:r w:rsidR="0007134A">
        <w:t>,</w:t>
      </w:r>
      <w:r w:rsidRPr="00377C5B">
        <w:t xml:space="preserve"> </w:t>
      </w:r>
      <w:r w:rsidR="005E0FE8" w:rsidRPr="005E0FE8">
        <w:t xml:space="preserve">Loeser JD, Owens DK, </w:t>
      </w:r>
      <w:r w:rsidRPr="00377C5B">
        <w:t>et al. Interventional therapies, surgery, and interdisciplinary rehabilitation for low back pain</w:t>
      </w:r>
      <w:r w:rsidR="0007134A">
        <w:t>:</w:t>
      </w:r>
      <w:r w:rsidRPr="00377C5B">
        <w:t xml:space="preserve"> </w:t>
      </w:r>
      <w:r w:rsidR="0007134A">
        <w:t>a</w:t>
      </w:r>
      <w:r w:rsidRPr="00377C5B">
        <w:t xml:space="preserve">n evidence-based clinical practice guideline from the American Pain Society. </w:t>
      </w:r>
      <w:r w:rsidRPr="00C95DF2">
        <w:rPr>
          <w:i/>
        </w:rPr>
        <w:t>Spine</w:t>
      </w:r>
      <w:r w:rsidR="0009639E" w:rsidRPr="00E27A71">
        <w:t xml:space="preserve"> </w:t>
      </w:r>
      <w:r w:rsidR="005E0FE8" w:rsidRPr="00404A1C">
        <w:rPr>
          <w:i/>
          <w:iCs/>
        </w:rPr>
        <w:t>(Phila Pa 1976).</w:t>
      </w:r>
      <w:r w:rsidRPr="0009639E">
        <w:t xml:space="preserve"> </w:t>
      </w:r>
      <w:r w:rsidRPr="00377C5B">
        <w:t>2009;34</w:t>
      </w:r>
      <w:r w:rsidR="00987808">
        <w:t>(10)</w:t>
      </w:r>
      <w:r w:rsidRPr="00377C5B">
        <w:t>:1066</w:t>
      </w:r>
      <w:r w:rsidR="00404A1C">
        <w:t xml:space="preserve"> to </w:t>
      </w:r>
      <w:r w:rsidRPr="00377C5B">
        <w:t xml:space="preserve">1077. </w:t>
      </w:r>
      <w:r w:rsidR="005E0FE8" w:rsidRPr="005E0FE8">
        <w:t>doi:10.1097/BRS.0b013e3181a1390d</w:t>
      </w:r>
      <w:r w:rsidR="00F279A1">
        <w:t xml:space="preserve"> </w:t>
      </w:r>
    </w:p>
    <w:p w14:paraId="7FA8A22B" w14:textId="063CE921" w:rsidR="004F1C51" w:rsidRPr="004F1C51" w:rsidRDefault="004F1C51" w:rsidP="008F3B04">
      <w:pPr>
        <w:pStyle w:val="ListParagraph"/>
        <w:numPr>
          <w:ilvl w:val="0"/>
          <w:numId w:val="21"/>
        </w:numPr>
        <w:shd w:val="clear" w:color="auto" w:fill="FFFFFF"/>
        <w:ind w:left="360"/>
      </w:pPr>
      <w:r>
        <w:t xml:space="preserve">Nguyen C, Boutron I, Baron G, et al. </w:t>
      </w:r>
      <w:r w:rsidRPr="004F1C51">
        <w:t>Intradiscal Glucocorticoid Injection for Patients With Chronic Low Back Pain Associated With Active Discopathy: A Randomized Trial.</w:t>
      </w:r>
    </w:p>
    <w:p w14:paraId="036258CA" w14:textId="58A30D5C" w:rsidR="004F1C51" w:rsidRPr="004F1C51" w:rsidRDefault="004F1C51" w:rsidP="008F3B04">
      <w:pPr>
        <w:shd w:val="clear" w:color="auto" w:fill="FFFFFF"/>
        <w:ind w:left="360"/>
      </w:pPr>
      <w:r w:rsidRPr="00C95DF2">
        <w:rPr>
          <w:i/>
        </w:rPr>
        <w:t>Ann Intern Med.</w:t>
      </w:r>
      <w:r w:rsidRPr="004F1C51">
        <w:t xml:space="preserve"> 2017;166(8)</w:t>
      </w:r>
      <w:r w:rsidR="00760389">
        <w:t>:547</w:t>
      </w:r>
      <w:r w:rsidR="00404A1C">
        <w:t xml:space="preserve"> to </w:t>
      </w:r>
      <w:r w:rsidR="00760389">
        <w:t>556. doi:10.7326/M16-1700</w:t>
      </w:r>
      <w:r w:rsidRPr="004F1C51">
        <w:t xml:space="preserve"> </w:t>
      </w:r>
    </w:p>
    <w:p w14:paraId="67888B69" w14:textId="3ECAB48A" w:rsidR="0009639E" w:rsidRDefault="0009639E" w:rsidP="0009639E">
      <w:pPr>
        <w:numPr>
          <w:ilvl w:val="0"/>
          <w:numId w:val="21"/>
        </w:numPr>
        <w:ind w:left="360"/>
      </w:pPr>
      <w:r w:rsidRPr="0009639E">
        <w:t xml:space="preserve">Cao P, Jiang L, Zhuang C, </w:t>
      </w:r>
      <w:r w:rsidR="00760389">
        <w:t xml:space="preserve">et al. </w:t>
      </w:r>
      <w:r w:rsidRPr="0009639E">
        <w:t>Intradiscal injection therapy for degenerative chronic discogenic low back pain with end plate Modic changes.</w:t>
      </w:r>
      <w:r w:rsidR="00760389">
        <w:t xml:space="preserve"> </w:t>
      </w:r>
      <w:r w:rsidRPr="00C95DF2">
        <w:rPr>
          <w:i/>
        </w:rPr>
        <w:t>Spine J</w:t>
      </w:r>
      <w:r w:rsidRPr="00E27A71">
        <w:t>. 2011</w:t>
      </w:r>
      <w:r w:rsidR="006C6EBC">
        <w:t>;</w:t>
      </w:r>
      <w:r>
        <w:t>11(2):100</w:t>
      </w:r>
      <w:r w:rsidR="00404A1C">
        <w:t xml:space="preserve"> to </w:t>
      </w:r>
      <w:r w:rsidR="001F7EFB">
        <w:t>10</w:t>
      </w:r>
      <w:r>
        <w:t>6. doi</w:t>
      </w:r>
      <w:r w:rsidR="00760389">
        <w:t>: 10.1016/j.spinee.2010.07.001</w:t>
      </w:r>
      <w:r w:rsidR="002D4042" w:rsidRPr="002D4042">
        <w:rPr>
          <w:rFonts w:ascii="Segoe UI" w:hAnsi="Segoe UI" w:cs="Segoe UI"/>
          <w:color w:val="212121"/>
          <w:shd w:val="clear" w:color="auto" w:fill="FFFFFF"/>
        </w:rPr>
        <w:t xml:space="preserve"> </w:t>
      </w:r>
    </w:p>
    <w:p w14:paraId="0B9E9818" w14:textId="0FB13DD7" w:rsidR="00654A15" w:rsidRPr="00377C5B" w:rsidRDefault="00654A15" w:rsidP="00503B95">
      <w:pPr>
        <w:numPr>
          <w:ilvl w:val="0"/>
          <w:numId w:val="21"/>
        </w:numPr>
        <w:ind w:left="360"/>
      </w:pPr>
      <w:r w:rsidRPr="00377C5B">
        <w:t xml:space="preserve">Chou R, </w:t>
      </w:r>
      <w:r w:rsidR="00267C68" w:rsidRPr="00267C68">
        <w:t xml:space="preserve">Qaseem A, Snow V, </w:t>
      </w:r>
      <w:r w:rsidR="00760389">
        <w:t xml:space="preserve">et al. </w:t>
      </w:r>
      <w:r w:rsidRPr="00377C5B">
        <w:t xml:space="preserve">Diagnosis and treatment of low back pain: a joint clinical practice guideline from the American </w:t>
      </w:r>
      <w:r>
        <w:t>C</w:t>
      </w:r>
      <w:r w:rsidRPr="00377C5B">
        <w:t xml:space="preserve">ollege of </w:t>
      </w:r>
      <w:r>
        <w:t>P</w:t>
      </w:r>
      <w:r w:rsidRPr="00377C5B">
        <w:t xml:space="preserve">hysicians and the American </w:t>
      </w:r>
      <w:r>
        <w:t>P</w:t>
      </w:r>
      <w:r w:rsidRPr="00377C5B">
        <w:t xml:space="preserve">ain </w:t>
      </w:r>
      <w:r>
        <w:t>S</w:t>
      </w:r>
      <w:r w:rsidRPr="00377C5B">
        <w:t xml:space="preserve">ociety  </w:t>
      </w:r>
      <w:r w:rsidR="00267C68" w:rsidRPr="00267C68">
        <w:t>[published correction appears in Ann Intern</w:t>
      </w:r>
      <w:r w:rsidR="00760389">
        <w:t xml:space="preserve"> Med. 2008 Feb 5;</w:t>
      </w:r>
      <w:r w:rsidR="001624A0" w:rsidRPr="001624A0">
        <w:t>148(3):247-8. doi: 10.7326/0003-4819-148-3-200802050-00020.]. </w:t>
      </w:r>
      <w:r w:rsidR="001624A0" w:rsidRPr="001624A0">
        <w:rPr>
          <w:i/>
          <w:iCs/>
        </w:rPr>
        <w:t>Ann Intern Med</w:t>
      </w:r>
      <w:r w:rsidR="001624A0" w:rsidRPr="001624A0">
        <w:t>. 2007;147(7):478-491. doi:10.7326/0003-4819-147-7-200710020-00006</w:t>
      </w:r>
    </w:p>
    <w:p w14:paraId="0DBCC8CA" w14:textId="448CAAA3" w:rsidR="00760389" w:rsidRPr="00FC6BA1" w:rsidRDefault="00654A15" w:rsidP="00334238">
      <w:pPr>
        <w:pStyle w:val="ListParagraph"/>
        <w:numPr>
          <w:ilvl w:val="0"/>
          <w:numId w:val="21"/>
        </w:numPr>
        <w:ind w:left="360"/>
      </w:pPr>
      <w:r w:rsidRPr="00654A15">
        <w:t xml:space="preserve">Heggeness MH. AAOS endorses back pain guidelines. </w:t>
      </w:r>
      <w:r w:rsidRPr="00760389">
        <w:rPr>
          <w:i/>
        </w:rPr>
        <w:t>AAOS Now</w:t>
      </w:r>
      <w:r w:rsidRPr="00654A15">
        <w:t xml:space="preserve">.  </w:t>
      </w:r>
      <w:hyperlink r:id="rId15" w:history="1">
        <w:r w:rsidR="00760389" w:rsidRPr="00AC7F39">
          <w:rPr>
            <w:rStyle w:val="Hyperlink"/>
          </w:rPr>
          <w:t>https://www.mainegeneral.org/app/files/public/6460f387-09dc-4968-b162-eee6121a1497/aaosbackpainguidelines.pdf</w:t>
        </w:r>
      </w:hyperlink>
      <w:r w:rsidR="00760389">
        <w:rPr>
          <w:rStyle w:val="Hyperlink"/>
        </w:rPr>
        <w:t xml:space="preserve">. </w:t>
      </w:r>
      <w:r w:rsidR="00760389">
        <w:t xml:space="preserve">Published </w:t>
      </w:r>
      <w:r w:rsidR="00760389" w:rsidRPr="0007420A">
        <w:t>Sept</w:t>
      </w:r>
      <w:r w:rsidR="00760389">
        <w:t>ember</w:t>
      </w:r>
      <w:r w:rsidR="00760389" w:rsidRPr="0007420A">
        <w:t xml:space="preserve"> 2010</w:t>
      </w:r>
      <w:r w:rsidR="00760389">
        <w:t>. Accessed Ju</w:t>
      </w:r>
      <w:r w:rsidR="00525841">
        <w:t>ne</w:t>
      </w:r>
      <w:r w:rsidR="00760389">
        <w:t xml:space="preserve"> </w:t>
      </w:r>
      <w:r w:rsidR="00525841">
        <w:t>2</w:t>
      </w:r>
      <w:r w:rsidR="002E1862">
        <w:t>4</w:t>
      </w:r>
      <w:r w:rsidR="00683395">
        <w:t>, 202</w:t>
      </w:r>
      <w:r w:rsidR="00525841">
        <w:t>5</w:t>
      </w:r>
      <w:r w:rsidR="00683395">
        <w:t>.</w:t>
      </w:r>
      <w:r w:rsidR="008E2384">
        <w:t xml:space="preserve"> </w:t>
      </w:r>
    </w:p>
    <w:p w14:paraId="65ADD260" w14:textId="1FD7A96B" w:rsidR="00E031E8" w:rsidRDefault="003D5C4A" w:rsidP="00632E8B">
      <w:pPr>
        <w:numPr>
          <w:ilvl w:val="0"/>
          <w:numId w:val="21"/>
        </w:numPr>
        <w:spacing w:after="60"/>
        <w:ind w:left="360"/>
      </w:pPr>
      <w:r w:rsidRPr="00FC6BA1">
        <w:lastRenderedPageBreak/>
        <w:t>Manchikanti L, Datta S, Gupta S, et al. A critical review of the American Pain Society clinical practice guidelines for interventional techniques: part 2. Therapeutic interventions. </w:t>
      </w:r>
      <w:r w:rsidRPr="007E3A5A">
        <w:rPr>
          <w:i/>
          <w:iCs/>
        </w:rPr>
        <w:t>Pain Physician</w:t>
      </w:r>
      <w:r w:rsidRPr="00FC6BA1">
        <w:t>. 2010;13(4</w:t>
      </w:r>
      <w:proofErr w:type="gramStart"/>
      <w:r w:rsidRPr="00FC6BA1">
        <w:t>):E</w:t>
      </w:r>
      <w:proofErr w:type="gramEnd"/>
      <w:r w:rsidRPr="00FC6BA1">
        <w:t>215</w:t>
      </w:r>
      <w:r w:rsidR="00404A1C">
        <w:t xml:space="preserve"> to </w:t>
      </w:r>
      <w:r w:rsidRPr="00FC6BA1">
        <w:t>E264.</w:t>
      </w:r>
    </w:p>
    <w:p w14:paraId="388827F9" w14:textId="387552DC" w:rsidR="00855F58" w:rsidRDefault="007A2DC4" w:rsidP="00014889">
      <w:pPr>
        <w:pStyle w:val="ListParagraph"/>
        <w:numPr>
          <w:ilvl w:val="0"/>
          <w:numId w:val="21"/>
        </w:numPr>
        <w:spacing w:after="60"/>
        <w:ind w:left="360"/>
      </w:pPr>
      <w:r>
        <w:t>Zhang F, Wan</w:t>
      </w:r>
      <w:r w:rsidR="00DD0F33">
        <w:t>g S</w:t>
      </w:r>
      <w:r>
        <w:t>, Li B, Tian W, Zhou Z, Liu S. Intradiscal injection for the management of low back pain. JOR Spine</w:t>
      </w:r>
      <w:r w:rsidR="002E719E">
        <w:t>. 2021;</w:t>
      </w:r>
      <w:r>
        <w:t xml:space="preserve">5(1)e1186. </w:t>
      </w:r>
      <w:r w:rsidR="00D8693B">
        <w:t xml:space="preserve">Published 2021 Dec 22. </w:t>
      </w:r>
      <w:r w:rsidR="00D1618D">
        <w:t>d</w:t>
      </w:r>
      <w:r w:rsidR="00D8693B">
        <w:t>oi:10.1002/jsp2.1186</w:t>
      </w:r>
    </w:p>
    <w:p w14:paraId="1DF1B672" w14:textId="77777777" w:rsidR="007A2DC4" w:rsidRPr="00FC6BA1" w:rsidRDefault="007A2DC4" w:rsidP="002E3DF3">
      <w:pPr>
        <w:pStyle w:val="ListParagraph"/>
        <w:spacing w:after="60"/>
        <w:ind w:left="360"/>
      </w:pPr>
    </w:p>
    <w:bookmarkEnd w:id="2"/>
    <w:p w14:paraId="2F5745D5" w14:textId="77777777" w:rsidR="00DD6ADB" w:rsidRDefault="00DD6ADB" w:rsidP="008F3B04">
      <w:pPr>
        <w:ind w:left="360"/>
      </w:pPr>
    </w:p>
    <w:p w14:paraId="21F4A294" w14:textId="77777777" w:rsidR="00DD6ADB" w:rsidRPr="00146C6E" w:rsidRDefault="00C06257" w:rsidP="00D96D52">
      <w:pPr>
        <w:rPr>
          <w:rFonts w:eastAsiaTheme="minorHAnsi"/>
          <w:b/>
          <w:u w:val="single"/>
        </w:rPr>
      </w:pPr>
      <w:bookmarkStart w:id="3" w:name="Important_Reminder"/>
      <w:r w:rsidRPr="00146C6E">
        <w:rPr>
          <w:rFonts w:eastAsiaTheme="minorHAnsi"/>
          <w:b/>
          <w:bCs/>
          <w:u w:val="single"/>
        </w:rPr>
        <w:t>Important R</w:t>
      </w:r>
      <w:r w:rsidR="005D7B81" w:rsidRPr="00146C6E">
        <w:rPr>
          <w:rFonts w:eastAsiaTheme="minorHAnsi"/>
          <w:b/>
          <w:bCs/>
          <w:u w:val="single"/>
        </w:rPr>
        <w:t>eminder</w:t>
      </w:r>
      <w:bookmarkEnd w:id="3"/>
    </w:p>
    <w:p w14:paraId="410DD996" w14:textId="77777777" w:rsidR="00DD6ADB" w:rsidRPr="00146C6E" w:rsidRDefault="00DD6ADB" w:rsidP="003A0CF4">
      <w:pPr>
        <w:rPr>
          <w:rFonts w:eastAsiaTheme="minorHAnsi"/>
        </w:rPr>
      </w:pPr>
      <w:r w:rsidRPr="00146C6E">
        <w:rPr>
          <w:rFonts w:eastAsiaTheme="minorHAnsi"/>
        </w:rPr>
        <w:t xml:space="preserve">This clinical policy has been developed by appropriately experienced and licensed health care professionals based on a review and consideration of currently available generally accepted standards of medical practice; peer-reviewed medical literature; government agency/program approval status; evidence-based guidelines and positions of leading national health professional organizations; views of physicians practicing in relevant clinical areas affected by this clinical policy; and other available clinical information. </w:t>
      </w:r>
      <w:r w:rsidRPr="00146C6E">
        <w:rPr>
          <w:rFonts w:eastAsiaTheme="minorHAnsi"/>
          <w:iCs/>
        </w:rPr>
        <w:t>The Health Plan</w:t>
      </w:r>
      <w:r w:rsidRPr="00146C6E">
        <w:rPr>
          <w:rFonts w:eastAsiaTheme="minorHAnsi"/>
        </w:rPr>
        <w:t xml:space="preserve"> makes no representations and accepts no liability with respect to the content of any external information used or relied upon in developing this clinical policy. This clinical policy is consistent with standards of medical practice current at the time that this clinical policy was approved. “Health Plan” means a health plan that has adopted this clinical policy and that is operated or administered, in whole or in part, by Centene Management Company, LLC, or any of such health plan’s affiliates, as applicable.</w:t>
      </w:r>
    </w:p>
    <w:p w14:paraId="4B6136D1" w14:textId="77777777" w:rsidR="00DD6ADB" w:rsidRPr="00146C6E" w:rsidRDefault="00DD6ADB" w:rsidP="00146C6E">
      <w:pPr>
        <w:rPr>
          <w:rFonts w:eastAsiaTheme="minorHAnsi"/>
        </w:rPr>
      </w:pPr>
    </w:p>
    <w:p w14:paraId="6B80DC45" w14:textId="77777777" w:rsidR="00DD6ADB" w:rsidRPr="00146C6E" w:rsidRDefault="00DD6ADB" w:rsidP="00146C6E">
      <w:pPr>
        <w:rPr>
          <w:rFonts w:eastAsiaTheme="minorHAnsi"/>
        </w:rPr>
      </w:pPr>
      <w:r w:rsidRPr="00146C6E">
        <w:rPr>
          <w:rFonts w:eastAsiaTheme="minorHAnsi"/>
        </w:rPr>
        <w:t xml:space="preserve">The purpose of this clinical policy is to provide a guide to medical necessity, which is a component of the guidelines used to assist in making coverage decisions and administering benefits. It does not constitute a contract or guarantee regarding payment or results. Coverage decisions and the administration of benefits are subject to all terms, conditions, exclusions and limitations of the coverage documents (e.g., evidence of coverage, certificate of coverage, policy, contract of insurance, etc.), as well as to state and federal requirements and applicable Health Plan-level administrative policies and procedures.   </w:t>
      </w:r>
    </w:p>
    <w:p w14:paraId="498F35EE" w14:textId="77777777" w:rsidR="00DD6ADB" w:rsidRPr="00146C6E" w:rsidRDefault="00DD6ADB" w:rsidP="00146C6E">
      <w:pPr>
        <w:rPr>
          <w:rFonts w:eastAsiaTheme="minorHAnsi"/>
        </w:rPr>
      </w:pPr>
    </w:p>
    <w:p w14:paraId="1614D6D6" w14:textId="77777777" w:rsidR="00DD6ADB" w:rsidRPr="00146C6E" w:rsidRDefault="00DD6ADB" w:rsidP="00146C6E">
      <w:pPr>
        <w:rPr>
          <w:color w:val="002868"/>
        </w:rPr>
      </w:pPr>
      <w:r w:rsidRPr="00146C6E">
        <w:rPr>
          <w:rFonts w:eastAsiaTheme="minorHAnsi"/>
        </w:rPr>
        <w:t>This clinical policy is effective as of the date determined by the Health Plan. The date of posting may not be the effective date of this clinical policy. This clinical policy may be subject to applicable legal and regulatory requirements relating to provider notification. If there is a discrepancy between the effective date of this clinical policy and any applicable legal or regulatory requirement, the requirements of law and regulation shall govern. The Health Plan retains the right to change, amend or withdraw this clinical policy, and additional clinical policies may be developed and adopted as needed, at any time.</w:t>
      </w:r>
    </w:p>
    <w:p w14:paraId="38828E62" w14:textId="77777777" w:rsidR="00DD6ADB" w:rsidRPr="00146C6E" w:rsidRDefault="00DD6ADB" w:rsidP="00146C6E">
      <w:pPr>
        <w:rPr>
          <w:rFonts w:eastAsiaTheme="minorHAnsi"/>
        </w:rPr>
      </w:pPr>
    </w:p>
    <w:p w14:paraId="039D19C0" w14:textId="040DCBD1" w:rsidR="00DD6ADB" w:rsidRPr="00146C6E" w:rsidRDefault="00DD6ADB" w:rsidP="00146C6E">
      <w:pPr>
        <w:rPr>
          <w:rFonts w:eastAsiaTheme="minorHAnsi"/>
        </w:rPr>
      </w:pPr>
      <w:r w:rsidRPr="00146C6E">
        <w:rPr>
          <w:rFonts w:eastAsiaTheme="minorHAnsi"/>
        </w:rPr>
        <w:t xml:space="preserve">This clinical policy does not constitute medical advice, medical treatment or medical care. It is not intended to dictate to providers how to practice medicine. Providers are expected to exercise professional medical judgment in providing the most appropriate care, and are solely responsible for the medical advice and treatment of </w:t>
      </w:r>
      <w:r w:rsidR="00B86B4A">
        <w:rPr>
          <w:rFonts w:eastAsiaTheme="minorHAnsi"/>
        </w:rPr>
        <w:t>member/enrollee</w:t>
      </w:r>
      <w:r w:rsidRPr="00146C6E">
        <w:rPr>
          <w:rFonts w:eastAsiaTheme="minorHAnsi"/>
        </w:rPr>
        <w:t xml:space="preserve">s. This clinical policy is not intended to recommend treatment for </w:t>
      </w:r>
      <w:r w:rsidR="00B86B4A">
        <w:rPr>
          <w:rFonts w:eastAsiaTheme="minorHAnsi"/>
        </w:rPr>
        <w:t>member/enrollee</w:t>
      </w:r>
      <w:r w:rsidRPr="00146C6E">
        <w:rPr>
          <w:rFonts w:eastAsiaTheme="minorHAnsi"/>
        </w:rPr>
        <w:t xml:space="preserve">s. </w:t>
      </w:r>
      <w:r w:rsidR="00B86B4A">
        <w:rPr>
          <w:rFonts w:eastAsiaTheme="minorHAnsi"/>
        </w:rPr>
        <w:t>Member/enrollee</w:t>
      </w:r>
      <w:r w:rsidRPr="00146C6E">
        <w:rPr>
          <w:rFonts w:eastAsiaTheme="minorHAnsi"/>
        </w:rPr>
        <w:t xml:space="preserve">s should consult with their treating physician in connection with diagnosis and treatment decisions. </w:t>
      </w:r>
    </w:p>
    <w:p w14:paraId="3CF18D8D" w14:textId="77777777" w:rsidR="00DD6ADB" w:rsidRPr="00146C6E" w:rsidRDefault="00DD6ADB" w:rsidP="00146C6E">
      <w:pPr>
        <w:rPr>
          <w:rFonts w:eastAsiaTheme="minorHAnsi"/>
        </w:rPr>
      </w:pPr>
    </w:p>
    <w:p w14:paraId="19D039E9" w14:textId="2050B126" w:rsidR="00DD6ADB" w:rsidRPr="00146C6E" w:rsidRDefault="00DD6ADB" w:rsidP="00146C6E">
      <w:pPr>
        <w:rPr>
          <w:rFonts w:eastAsiaTheme="minorHAnsi"/>
        </w:rPr>
      </w:pPr>
      <w:r w:rsidRPr="00146C6E">
        <w:rPr>
          <w:rFonts w:eastAsiaTheme="minorHAnsi"/>
        </w:rPr>
        <w:t>Providers referred to in this clinical policy are independent contractors who exercise independent judgment and over whom the Health Plan has no control or right of control. Providers are not agents or employees of the Health Plan.</w:t>
      </w:r>
    </w:p>
    <w:p w14:paraId="644A5165" w14:textId="77777777" w:rsidR="00DD6ADB" w:rsidRPr="00146C6E" w:rsidRDefault="00DD6ADB" w:rsidP="00146C6E">
      <w:pPr>
        <w:rPr>
          <w:rFonts w:eastAsiaTheme="minorHAnsi"/>
        </w:rPr>
      </w:pPr>
    </w:p>
    <w:p w14:paraId="122180E9" w14:textId="52A8B653" w:rsidR="00DD6ADB" w:rsidRPr="00146C6E" w:rsidRDefault="00DD6ADB" w:rsidP="00146C6E">
      <w:pPr>
        <w:rPr>
          <w:rFonts w:eastAsiaTheme="minorHAnsi"/>
        </w:rPr>
      </w:pPr>
      <w:r w:rsidRPr="00146C6E">
        <w:rPr>
          <w:rFonts w:eastAsiaTheme="minorHAnsi"/>
        </w:rPr>
        <w:t xml:space="preserve">This clinical policy is the property of </w:t>
      </w:r>
      <w:r w:rsidRPr="00146C6E">
        <w:rPr>
          <w:rFonts w:eastAsiaTheme="minorHAnsi"/>
          <w:iCs/>
        </w:rPr>
        <w:t>the Health Plan</w:t>
      </w:r>
      <w:r w:rsidRPr="00146C6E">
        <w:rPr>
          <w:rFonts w:eastAsiaTheme="minorHAnsi"/>
        </w:rPr>
        <w:t xml:space="preserve">. Unauthorized copying, use, and distribution of this clinical policy or any information contained herein are strictly prohibited.  Providers, </w:t>
      </w:r>
      <w:r w:rsidR="00B86B4A">
        <w:rPr>
          <w:rFonts w:eastAsiaTheme="minorHAnsi"/>
        </w:rPr>
        <w:t>member/enrollee</w:t>
      </w:r>
      <w:r w:rsidRPr="00146C6E">
        <w:rPr>
          <w:rFonts w:eastAsiaTheme="minorHAnsi"/>
        </w:rPr>
        <w:t xml:space="preserve">s and their representatives are bound to the terms and conditions expressed herein through the terms of their contracts. Where no such contract exists, providers, </w:t>
      </w:r>
      <w:r w:rsidR="00B86B4A">
        <w:rPr>
          <w:rFonts w:eastAsiaTheme="minorHAnsi"/>
        </w:rPr>
        <w:t>member/enrollee</w:t>
      </w:r>
      <w:r w:rsidRPr="00146C6E">
        <w:rPr>
          <w:rFonts w:eastAsiaTheme="minorHAnsi"/>
        </w:rPr>
        <w:t xml:space="preserve">s and their representatives agree to be bound by such terms and conditions by providing services to </w:t>
      </w:r>
      <w:r w:rsidR="00B86B4A">
        <w:rPr>
          <w:rFonts w:eastAsiaTheme="minorHAnsi"/>
        </w:rPr>
        <w:t>member/enrollee</w:t>
      </w:r>
      <w:r w:rsidRPr="00146C6E">
        <w:rPr>
          <w:rFonts w:eastAsiaTheme="minorHAnsi"/>
        </w:rPr>
        <w:t xml:space="preserve">s and/or submitting claims for payment for such services.  </w:t>
      </w:r>
    </w:p>
    <w:p w14:paraId="2A5B2FBB" w14:textId="77777777" w:rsidR="00DD6ADB" w:rsidRPr="00146C6E" w:rsidRDefault="00DD6ADB" w:rsidP="00146C6E">
      <w:pPr>
        <w:autoSpaceDE w:val="0"/>
        <w:autoSpaceDN w:val="0"/>
        <w:adjustRightInd w:val="0"/>
        <w:rPr>
          <w:rFonts w:eastAsiaTheme="minorHAnsi"/>
          <w:color w:val="000000"/>
        </w:rPr>
      </w:pPr>
    </w:p>
    <w:p w14:paraId="0742DE8C" w14:textId="7EAEC9F4" w:rsidR="00DD6ADB" w:rsidRPr="00146C6E" w:rsidRDefault="00DD6ADB" w:rsidP="00146C6E">
      <w:pPr>
        <w:autoSpaceDE w:val="0"/>
        <w:autoSpaceDN w:val="0"/>
        <w:adjustRightInd w:val="0"/>
        <w:rPr>
          <w:rFonts w:eastAsiaTheme="minorHAnsi"/>
          <w:color w:val="000000"/>
        </w:rPr>
      </w:pPr>
      <w:r w:rsidRPr="00146C6E">
        <w:rPr>
          <w:rFonts w:eastAsiaTheme="minorHAnsi"/>
          <w:b/>
          <w:color w:val="000000"/>
        </w:rPr>
        <w:t xml:space="preserve">Note: For Medicaid </w:t>
      </w:r>
      <w:r w:rsidR="00B86B4A">
        <w:rPr>
          <w:rFonts w:eastAsiaTheme="minorHAnsi"/>
          <w:b/>
          <w:color w:val="000000"/>
        </w:rPr>
        <w:t>member/enrollee</w:t>
      </w:r>
      <w:r w:rsidRPr="00146C6E">
        <w:rPr>
          <w:rFonts w:eastAsiaTheme="minorHAnsi"/>
          <w:b/>
          <w:color w:val="000000"/>
        </w:rPr>
        <w:t>s</w:t>
      </w:r>
      <w:r w:rsidRPr="00146C6E">
        <w:rPr>
          <w:rFonts w:eastAsiaTheme="minorHAnsi"/>
          <w:color w:val="000000"/>
        </w:rPr>
        <w:t>, when state Medicaid coverage provisions conflict with the coverage provisions in this clinical policy, state Medicaid coverage provisions take precedence. Please refer to the state Medicaid manual for any coverage provisions pertaining to this clinical policy.</w:t>
      </w:r>
    </w:p>
    <w:p w14:paraId="2B604A85" w14:textId="77777777" w:rsidR="00DD6ADB" w:rsidRPr="00146C6E" w:rsidRDefault="00DD6ADB" w:rsidP="00146C6E">
      <w:pPr>
        <w:rPr>
          <w:rFonts w:eastAsiaTheme="minorHAnsi"/>
        </w:rPr>
      </w:pPr>
    </w:p>
    <w:p w14:paraId="2817A9DC" w14:textId="1286A2BC" w:rsidR="00DD6ADB" w:rsidRPr="00146C6E" w:rsidRDefault="00DD6ADB" w:rsidP="00146C6E">
      <w:pPr>
        <w:autoSpaceDE w:val="0"/>
        <w:autoSpaceDN w:val="0"/>
        <w:adjustRightInd w:val="0"/>
        <w:rPr>
          <w:color w:val="000000"/>
        </w:rPr>
      </w:pPr>
      <w:r w:rsidRPr="00146C6E">
        <w:rPr>
          <w:rFonts w:eastAsiaTheme="minorHAnsi"/>
          <w:b/>
          <w:bCs/>
          <w:color w:val="000000"/>
        </w:rPr>
        <w:t xml:space="preserve">Note: For Medicare </w:t>
      </w:r>
      <w:r w:rsidR="00B86B4A">
        <w:rPr>
          <w:rFonts w:eastAsiaTheme="minorHAnsi"/>
          <w:b/>
          <w:bCs/>
          <w:color w:val="000000"/>
        </w:rPr>
        <w:t>member/enrollee</w:t>
      </w:r>
      <w:r w:rsidRPr="00146C6E">
        <w:rPr>
          <w:rFonts w:eastAsiaTheme="minorHAnsi"/>
          <w:b/>
          <w:bCs/>
          <w:color w:val="000000"/>
        </w:rPr>
        <w:t xml:space="preserve">s, </w:t>
      </w:r>
      <w:r w:rsidRPr="00146C6E">
        <w:rPr>
          <w:rFonts w:eastAsiaTheme="minorHAnsi"/>
          <w:color w:val="000000"/>
        </w:rPr>
        <w:t>to ensure consistency with the Medicare National Coverage Determinations (NCD) and Local Coverage Determinations (LCD), all applicable NCDs</w:t>
      </w:r>
      <w:r w:rsidR="002E5306">
        <w:rPr>
          <w:rFonts w:eastAsiaTheme="minorHAnsi"/>
          <w:color w:val="000000"/>
        </w:rPr>
        <w:t>,</w:t>
      </w:r>
      <w:r w:rsidRPr="00146C6E">
        <w:rPr>
          <w:rFonts w:eastAsiaTheme="minorHAnsi"/>
          <w:color w:val="000000"/>
        </w:rPr>
        <w:t xml:space="preserve"> LCDs</w:t>
      </w:r>
      <w:r w:rsidR="002E5306">
        <w:rPr>
          <w:rFonts w:eastAsiaTheme="minorHAnsi"/>
          <w:color w:val="000000"/>
        </w:rPr>
        <w:t xml:space="preserve">, and Medicare Coverage Articles </w:t>
      </w:r>
      <w:r w:rsidRPr="00146C6E">
        <w:rPr>
          <w:rFonts w:eastAsiaTheme="minorHAnsi"/>
          <w:color w:val="000000"/>
        </w:rPr>
        <w:t xml:space="preserve">should be reviewed </w:t>
      </w:r>
      <w:r w:rsidRPr="00146C6E">
        <w:rPr>
          <w:rFonts w:eastAsiaTheme="minorHAnsi"/>
          <w:color w:val="000000"/>
          <w:u w:val="single"/>
        </w:rPr>
        <w:t>prior to</w:t>
      </w:r>
      <w:r w:rsidRPr="00146C6E">
        <w:rPr>
          <w:rFonts w:eastAsiaTheme="minorHAnsi"/>
          <w:color w:val="000000"/>
        </w:rPr>
        <w:t xml:space="preserve"> applying the criteria set forth in this clinical policy. Refer to the CMS website at </w:t>
      </w:r>
      <w:hyperlink r:id="rId16" w:history="1">
        <w:r w:rsidRPr="00146C6E">
          <w:rPr>
            <w:rFonts w:eastAsiaTheme="minorHAnsi"/>
            <w:color w:val="000000"/>
            <w:u w:val="single"/>
          </w:rPr>
          <w:t>http://www.cms.gov</w:t>
        </w:r>
      </w:hyperlink>
      <w:r w:rsidRPr="00146C6E">
        <w:rPr>
          <w:rFonts w:eastAsiaTheme="minorHAnsi"/>
          <w:color w:val="000000"/>
        </w:rPr>
        <w:t xml:space="preserve"> for additional information.</w:t>
      </w:r>
      <w:r w:rsidRPr="00146C6E">
        <w:rPr>
          <w:color w:val="000000"/>
        </w:rPr>
        <w:t xml:space="preserve"> </w:t>
      </w:r>
    </w:p>
    <w:p w14:paraId="2EDC12B9" w14:textId="77777777" w:rsidR="00875924" w:rsidRPr="00146C6E" w:rsidRDefault="00875924" w:rsidP="00146C6E">
      <w:pPr>
        <w:rPr>
          <w:iCs/>
        </w:rPr>
      </w:pPr>
    </w:p>
    <w:p w14:paraId="4BC706B8" w14:textId="767A057F" w:rsidR="00C75BD4" w:rsidRPr="00146C6E" w:rsidRDefault="00CB63DD" w:rsidP="00146C6E">
      <w:pPr>
        <w:rPr>
          <w:iCs/>
        </w:rPr>
      </w:pPr>
      <w:r>
        <w:rPr>
          <w:iCs/>
        </w:rPr>
        <w:t>©2018</w:t>
      </w:r>
      <w:r w:rsidR="00C75BD4" w:rsidRPr="00146C6E">
        <w:rPr>
          <w:iCs/>
        </w:rPr>
        <w:t xml:space="preserve"> Centene Corporation. All rights reserved. All materials are exclusively owned by Centene Corporation and are protected by United States copyright law and international copyright law. No part of this publication may be reproduced, copied, modified, distributed, displayed, stored in a retrieval system, transmitted in any form or by any means, or otherwise published without the prior written permission of Centene Corporation. You may not alter or remove any trademark, copyright or other notice contained herein. Centene</w:t>
      </w:r>
      <w:r w:rsidR="00C75BD4" w:rsidRPr="00146C6E">
        <w:rPr>
          <w:iCs/>
          <w:vertAlign w:val="superscript"/>
        </w:rPr>
        <w:t>®</w:t>
      </w:r>
      <w:r w:rsidR="00C75BD4" w:rsidRPr="00146C6E">
        <w:rPr>
          <w:iCs/>
        </w:rPr>
        <w:t xml:space="preserve"> and Centene Corporation</w:t>
      </w:r>
      <w:r w:rsidR="00C75BD4" w:rsidRPr="00146C6E">
        <w:rPr>
          <w:iCs/>
          <w:vertAlign w:val="superscript"/>
        </w:rPr>
        <w:t>®</w:t>
      </w:r>
      <w:r w:rsidR="00C75BD4" w:rsidRPr="00146C6E">
        <w:rPr>
          <w:iCs/>
        </w:rPr>
        <w:t xml:space="preserve"> are registered trademarks exclusively owned by Centene Corporation.</w:t>
      </w:r>
    </w:p>
    <w:p w14:paraId="2D598D92" w14:textId="77777777" w:rsidR="00C75BD4" w:rsidRDefault="00C75BD4" w:rsidP="00AF5490"/>
    <w:sectPr w:rsidR="00C75BD4" w:rsidSect="00CB63DD">
      <w:type w:val="continuous"/>
      <w:pgSz w:w="12240" w:h="15840" w:code="1"/>
      <w:pgMar w:top="1440" w:right="1440" w:bottom="1440" w:left="1440" w:header="576"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3B29B8" w14:textId="77777777" w:rsidR="00646DC1" w:rsidRDefault="00646DC1">
      <w:r>
        <w:separator/>
      </w:r>
    </w:p>
  </w:endnote>
  <w:endnote w:type="continuationSeparator" w:id="0">
    <w:p w14:paraId="2A0BD06A" w14:textId="77777777" w:rsidR="00646DC1" w:rsidRDefault="00646D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imes New Roman Bold">
    <w:panose1 w:val="020208030705050203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0F90C" w14:textId="4B29B62E" w:rsidR="008F3B04" w:rsidRPr="00D574CA" w:rsidRDefault="008F3B04" w:rsidP="00D574CA">
    <w:pPr>
      <w:pStyle w:val="Footer"/>
      <w:jc w:val="center"/>
    </w:pPr>
    <w:r>
      <w:t xml:space="preserve">Page </w:t>
    </w:r>
    <w:r>
      <w:rPr>
        <w:b/>
        <w:bCs/>
      </w:rPr>
      <w:fldChar w:fldCharType="begin"/>
    </w:r>
    <w:r>
      <w:rPr>
        <w:b/>
        <w:bCs/>
      </w:rPr>
      <w:instrText xml:space="preserve"> PAGE </w:instrText>
    </w:r>
    <w:r>
      <w:rPr>
        <w:b/>
        <w:bCs/>
      </w:rPr>
      <w:fldChar w:fldCharType="separate"/>
    </w:r>
    <w:r w:rsidR="00760389">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sidR="00760389">
      <w:rPr>
        <w:b/>
        <w:bCs/>
        <w:noProof/>
      </w:rPr>
      <w:t>4</w:t>
    </w:r>
    <w:r>
      <w:rPr>
        <w:b/>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534C2" w14:textId="1D6EE087" w:rsidR="008F3B04" w:rsidRDefault="008F3B04" w:rsidP="002C6AAB">
    <w:pPr>
      <w:pStyle w:val="Footer"/>
      <w:jc w:val="center"/>
    </w:pPr>
    <w:r>
      <w:t xml:space="preserve">Page </w:t>
    </w:r>
    <w:r>
      <w:fldChar w:fldCharType="begin"/>
    </w:r>
    <w:r>
      <w:instrText xml:space="preserve"> PAGE   \* MERGEFORMAT </w:instrText>
    </w:r>
    <w:r>
      <w:fldChar w:fldCharType="separate"/>
    </w:r>
    <w:r w:rsidR="00760389">
      <w:rPr>
        <w:noProof/>
      </w:rPr>
      <w:t>1</w:t>
    </w:r>
    <w:r>
      <w:fldChar w:fldCharType="end"/>
    </w:r>
    <w:r>
      <w:t xml:space="preserve"> of </w:t>
    </w:r>
    <w:r>
      <w:rPr>
        <w:noProof/>
      </w:rPr>
      <w:fldChar w:fldCharType="begin"/>
    </w:r>
    <w:r>
      <w:rPr>
        <w:noProof/>
      </w:rPr>
      <w:instrText xml:space="preserve"> NUMPAGES   \* MERGEFORMAT </w:instrText>
    </w:r>
    <w:r>
      <w:rPr>
        <w:noProof/>
      </w:rPr>
      <w:fldChar w:fldCharType="separate"/>
    </w:r>
    <w:r w:rsidR="00760389">
      <w:rPr>
        <w:noProof/>
      </w:rPr>
      <w:t>4</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0532A2" w14:textId="77777777" w:rsidR="00646DC1" w:rsidRDefault="00646DC1">
      <w:r>
        <w:separator/>
      </w:r>
    </w:p>
  </w:footnote>
  <w:footnote w:type="continuationSeparator" w:id="0">
    <w:p w14:paraId="60141AEF" w14:textId="77777777" w:rsidR="00646DC1" w:rsidRDefault="00646D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CA89E" w14:textId="77777777" w:rsidR="008F3B04" w:rsidRPr="00B777AF" w:rsidRDefault="008F3B04" w:rsidP="00480C09">
    <w:pPr>
      <w:rPr>
        <w:rFonts w:ascii="Times New Roman Bold" w:hAnsi="Times New Roman Bold"/>
        <w:b/>
        <w:bCs/>
        <w:smallCaps/>
        <w:color w:val="00548C"/>
        <w:sz w:val="28"/>
      </w:rPr>
    </w:pPr>
    <w:r w:rsidRPr="00B777AF">
      <w:rPr>
        <w:rFonts w:ascii="Times New Roman Bold" w:hAnsi="Times New Roman Bold"/>
        <w:b/>
        <w:bCs/>
        <w:smallCaps/>
        <w:color w:val="00548C"/>
        <w:sz w:val="28"/>
      </w:rPr>
      <w:t>Clinical Policy</w:t>
    </w:r>
    <w:r w:rsidRPr="00B777AF">
      <w:rPr>
        <w:rFonts w:ascii="Times New Roman Bold" w:hAnsi="Times New Roman Bold"/>
        <w:b/>
        <w:bCs/>
        <w:smallCaps/>
        <w:color w:val="00548C"/>
        <w:sz w:val="28"/>
      </w:rPr>
      <w:tab/>
    </w:r>
    <w:r>
      <w:rPr>
        <w:rFonts w:ascii="Times New Roman Bold" w:hAnsi="Times New Roman Bold"/>
        <w:b/>
        <w:bCs/>
        <w:smallCaps/>
        <w:color w:val="00548C"/>
        <w:sz w:val="28"/>
      </w:rPr>
      <w:tab/>
    </w:r>
    <w:r>
      <w:rPr>
        <w:rFonts w:ascii="Times New Roman Bold" w:hAnsi="Times New Roman Bold"/>
        <w:b/>
        <w:bCs/>
        <w:smallCaps/>
        <w:color w:val="00548C"/>
        <w:sz w:val="28"/>
      </w:rPr>
      <w:tab/>
    </w:r>
    <w:r>
      <w:rPr>
        <w:rFonts w:ascii="Times New Roman Bold" w:hAnsi="Times New Roman Bold"/>
        <w:b/>
        <w:bCs/>
        <w:smallCaps/>
        <w:color w:val="00548C"/>
        <w:sz w:val="28"/>
      </w:rPr>
      <w:tab/>
    </w:r>
    <w:r>
      <w:rPr>
        <w:rFonts w:ascii="Times New Roman Bold" w:hAnsi="Times New Roman Bold"/>
        <w:b/>
        <w:bCs/>
        <w:smallCaps/>
        <w:color w:val="00548C"/>
        <w:sz w:val="28"/>
      </w:rPr>
      <w:tab/>
    </w:r>
    <w:r>
      <w:rPr>
        <w:rFonts w:ascii="Times New Roman Bold" w:hAnsi="Times New Roman Bold"/>
        <w:b/>
        <w:bCs/>
        <w:smallCaps/>
        <w:color w:val="00548C"/>
        <w:sz w:val="28"/>
      </w:rPr>
      <w:tab/>
    </w:r>
    <w:r>
      <w:rPr>
        <w:rFonts w:ascii="Times New Roman Bold" w:hAnsi="Times New Roman Bold"/>
        <w:b/>
        <w:bCs/>
        <w:smallCaps/>
        <w:color w:val="00548C"/>
        <w:sz w:val="28"/>
      </w:rPr>
      <w:tab/>
    </w:r>
    <w:r>
      <w:rPr>
        <w:rFonts w:ascii="Times New Roman Bold" w:hAnsi="Times New Roman Bold"/>
        <w:b/>
        <w:bCs/>
        <w:smallCaps/>
        <w:color w:val="00548C"/>
        <w:sz w:val="28"/>
      </w:rPr>
      <w:tab/>
    </w:r>
    <w:r>
      <w:rPr>
        <w:noProof/>
        <w:color w:val="00548C"/>
      </w:rPr>
      <w:drawing>
        <wp:inline distT="0" distB="0" distL="0" distR="0" wp14:anchorId="72BFE99E" wp14:editId="47725500">
          <wp:extent cx="914400" cy="238125"/>
          <wp:effectExtent l="0" t="0" r="0" b="9525"/>
          <wp:docPr id="1" name="Picture 3" descr="http://intranet/companywidesites/marketing/Corporate%20Marketing%20Materials/Centene%20Corporate%20Logos/Centene%20Color%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intranet/companywidesites/marketing/Corporate%20Marketing%20Materials/Centene%20Corporate%20Logos/Centene%20Color%20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238125"/>
                  </a:xfrm>
                  <a:prstGeom prst="rect">
                    <a:avLst/>
                  </a:prstGeom>
                  <a:noFill/>
                  <a:ln>
                    <a:noFill/>
                  </a:ln>
                </pic:spPr>
              </pic:pic>
            </a:graphicData>
          </a:graphic>
        </wp:inline>
      </w:drawing>
    </w:r>
  </w:p>
  <w:p w14:paraId="7FCD9335" w14:textId="67CA67B5" w:rsidR="008F3B04" w:rsidRPr="00B777AF" w:rsidRDefault="0009639E" w:rsidP="00B777AF">
    <w:pPr>
      <w:rPr>
        <w:color w:val="00548C"/>
      </w:rPr>
    </w:pPr>
    <w:r>
      <w:rPr>
        <w:rFonts w:ascii="Times New Roman Bold" w:hAnsi="Times New Roman Bold"/>
        <w:b/>
        <w:bCs/>
        <w:color w:val="00548C"/>
      </w:rPr>
      <w:t>Intradiscal Steroid Injections</w:t>
    </w:r>
    <w:r w:rsidR="004D649E">
      <w:rPr>
        <w:rFonts w:ascii="Times New Roman Bold" w:hAnsi="Times New Roman Bold"/>
        <w:b/>
        <w:bCs/>
        <w:color w:val="00548C"/>
      </w:rPr>
      <w:t xml:space="preserve"> for Pain Management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ACAF2" w14:textId="77777777" w:rsidR="008F3B04" w:rsidRDefault="008F3B04" w:rsidP="00B777AF">
    <w:pPr>
      <w:pStyle w:val="Header"/>
      <w:jc w:val="right"/>
    </w:pPr>
    <w:r>
      <w:rPr>
        <w:noProof/>
      </w:rPr>
      <w:drawing>
        <wp:inline distT="0" distB="0" distL="0" distR="0" wp14:anchorId="0833AB8F" wp14:editId="41493629">
          <wp:extent cx="1371600" cy="352425"/>
          <wp:effectExtent l="0" t="0" r="0" b="9525"/>
          <wp:docPr id="2" name="Picture 2" descr="http://intranet/companywidesites/marketing/Corporate%20Marketing%20Materials/Centene%20Corporate%20Logos/Centene%20Color%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intranet/companywidesites/marketing/Corporate%20Marketing%20Materials/Centene%20Corporate%20Logos/Centene%20Color%20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3524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F5AE7"/>
    <w:multiLevelType w:val="hybridMultilevel"/>
    <w:tmpl w:val="371A41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8E7697"/>
    <w:multiLevelType w:val="hybridMultilevel"/>
    <w:tmpl w:val="96D856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0C3792"/>
    <w:multiLevelType w:val="hybridMultilevel"/>
    <w:tmpl w:val="4E5A69E2"/>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1E0E99"/>
    <w:multiLevelType w:val="hybridMultilevel"/>
    <w:tmpl w:val="5FFA82B8"/>
    <w:lvl w:ilvl="0" w:tplc="04090019">
      <w:start w:val="1"/>
      <w:numFmt w:val="lowerLetter"/>
      <w:lvlText w:val="%1."/>
      <w:lvlJc w:val="left"/>
      <w:pPr>
        <w:ind w:left="1440" w:hanging="360"/>
      </w:pPr>
    </w:lvl>
    <w:lvl w:ilvl="1" w:tplc="0409001B">
      <w:start w:val="1"/>
      <w:numFmt w:val="lowerRoman"/>
      <w:lvlText w:val="%2."/>
      <w:lvlJc w:val="right"/>
      <w:pPr>
        <w:ind w:left="2160" w:hanging="360"/>
      </w:pPr>
      <w:rPr>
        <w:rFonts w:hint="default"/>
        <w:sz w:val="20"/>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E7A6984"/>
    <w:multiLevelType w:val="hybridMultilevel"/>
    <w:tmpl w:val="387EA7BC"/>
    <w:lvl w:ilvl="0" w:tplc="5C220D9E">
      <w:start w:val="1"/>
      <w:numFmt w:val="decimal"/>
      <w:lvlText w:val="%1."/>
      <w:lvlJc w:val="left"/>
      <w:pPr>
        <w:ind w:left="720" w:hanging="360"/>
      </w:pPr>
      <w:rPr>
        <w:rFonts w:hint="default"/>
        <w:b w:val="0"/>
      </w:rPr>
    </w:lvl>
    <w:lvl w:ilvl="1" w:tplc="04090019">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E500B2"/>
    <w:multiLevelType w:val="hybridMultilevel"/>
    <w:tmpl w:val="CB5AF886"/>
    <w:lvl w:ilvl="0" w:tplc="6CC06064">
      <w:start w:val="1"/>
      <w:numFmt w:val="lowerLetter"/>
      <w:lvlText w:val="%1."/>
      <w:lvlJc w:val="left"/>
      <w:pPr>
        <w:ind w:left="14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A01436"/>
    <w:multiLevelType w:val="hybridMultilevel"/>
    <w:tmpl w:val="D236E140"/>
    <w:lvl w:ilvl="0" w:tplc="5C220D9E">
      <w:start w:val="1"/>
      <w:numFmt w:val="decimal"/>
      <w:lvlText w:val="%1."/>
      <w:lvlJc w:val="left"/>
      <w:pPr>
        <w:ind w:left="720" w:hanging="360"/>
      </w:pPr>
      <w:rPr>
        <w:rFonts w:hint="default"/>
        <w:b w:val="0"/>
      </w:rPr>
    </w:lvl>
    <w:lvl w:ilvl="1" w:tplc="04090019">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C75F0A"/>
    <w:multiLevelType w:val="hybridMultilevel"/>
    <w:tmpl w:val="D236E140"/>
    <w:lvl w:ilvl="0" w:tplc="5C220D9E">
      <w:start w:val="1"/>
      <w:numFmt w:val="decimal"/>
      <w:lvlText w:val="%1."/>
      <w:lvlJc w:val="left"/>
      <w:pPr>
        <w:ind w:left="720" w:hanging="360"/>
      </w:pPr>
      <w:rPr>
        <w:rFonts w:hint="default"/>
        <w:b w:val="0"/>
      </w:rPr>
    </w:lvl>
    <w:lvl w:ilvl="1" w:tplc="04090019">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251B1E"/>
    <w:multiLevelType w:val="hybridMultilevel"/>
    <w:tmpl w:val="B204E92A"/>
    <w:lvl w:ilvl="0" w:tplc="26CA68AC">
      <w:start w:val="1"/>
      <w:numFmt w:val="upperRoman"/>
      <w:lvlText w:val="%1."/>
      <w:lvlJc w:val="left"/>
      <w:pPr>
        <w:ind w:left="720" w:hanging="360"/>
      </w:pPr>
      <w:rPr>
        <w:rFonts w:hint="default"/>
        <w:b/>
      </w:rPr>
    </w:lvl>
    <w:lvl w:ilvl="1" w:tplc="56CC320A">
      <w:start w:val="1"/>
      <w:numFmt w:val="upperLetter"/>
      <w:lvlText w:val="%2."/>
      <w:lvlJc w:val="left"/>
      <w:pPr>
        <w:ind w:left="1440" w:hanging="360"/>
      </w:pPr>
      <w:rPr>
        <w:b/>
      </w:rPr>
    </w:lvl>
    <w:lvl w:ilvl="2" w:tplc="B0D8E88E">
      <w:start w:val="1"/>
      <w:numFmt w:val="decimal"/>
      <w:lvlText w:val="%3."/>
      <w:lvlJc w:val="left"/>
      <w:pPr>
        <w:ind w:left="2160" w:hanging="180"/>
      </w:pPr>
      <w:rPr>
        <w:b/>
      </w:rPr>
    </w:lvl>
    <w:lvl w:ilvl="3" w:tplc="04090019">
      <w:start w:val="1"/>
      <w:numFmt w:val="lowerLetter"/>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497053"/>
    <w:multiLevelType w:val="hybridMultilevel"/>
    <w:tmpl w:val="BE262ED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586063C"/>
    <w:multiLevelType w:val="hybridMultilevel"/>
    <w:tmpl w:val="04382478"/>
    <w:lvl w:ilvl="0" w:tplc="5C220D9E">
      <w:start w:val="1"/>
      <w:numFmt w:val="decimal"/>
      <w:lvlText w:val="%1."/>
      <w:lvlJc w:val="left"/>
      <w:pPr>
        <w:ind w:left="720" w:hanging="360"/>
      </w:pPr>
      <w:rPr>
        <w:rFonts w:hint="default"/>
        <w:b w:val="0"/>
      </w:rPr>
    </w:lvl>
    <w:lvl w:ilvl="1" w:tplc="6CC06064">
      <w:start w:val="1"/>
      <w:numFmt w:val="lowerLetter"/>
      <w:lvlText w:val="%2."/>
      <w:lvlJc w:val="left"/>
      <w:pPr>
        <w:ind w:left="1440" w:hanging="360"/>
      </w:pPr>
      <w:rPr>
        <w:rFonts w:hint="default"/>
        <w:b w:val="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6B68E6"/>
    <w:multiLevelType w:val="hybridMultilevel"/>
    <w:tmpl w:val="F330294A"/>
    <w:lvl w:ilvl="0" w:tplc="D0FE5CC8">
      <w:start w:val="1"/>
      <w:numFmt w:val="lowerRoman"/>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2" w15:restartNumberingAfterBreak="0">
    <w:nsid w:val="3A231C77"/>
    <w:multiLevelType w:val="hybridMultilevel"/>
    <w:tmpl w:val="553682CE"/>
    <w:lvl w:ilvl="0" w:tplc="A244BB9A">
      <w:start w:val="1"/>
      <w:numFmt w:val="upp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3EBE345C"/>
    <w:multiLevelType w:val="hybridMultilevel"/>
    <w:tmpl w:val="387EA7BC"/>
    <w:lvl w:ilvl="0" w:tplc="5C220D9E">
      <w:start w:val="1"/>
      <w:numFmt w:val="decimal"/>
      <w:lvlText w:val="%1."/>
      <w:lvlJc w:val="left"/>
      <w:pPr>
        <w:ind w:left="720" w:hanging="360"/>
      </w:pPr>
      <w:rPr>
        <w:rFonts w:hint="default"/>
        <w:b w:val="0"/>
      </w:rPr>
    </w:lvl>
    <w:lvl w:ilvl="1" w:tplc="04090019">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4D365D0"/>
    <w:multiLevelType w:val="hybridMultilevel"/>
    <w:tmpl w:val="D55A7940"/>
    <w:lvl w:ilvl="0" w:tplc="F85C9D98">
      <w:start w:val="1"/>
      <w:numFmt w:val="upperLetter"/>
      <w:lvlText w:val="%1."/>
      <w:lvlJc w:val="left"/>
      <w:pPr>
        <w:ind w:left="720" w:hanging="360"/>
      </w:pPr>
      <w:rPr>
        <w:b w:val="0"/>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50746AA"/>
    <w:multiLevelType w:val="hybridMultilevel"/>
    <w:tmpl w:val="7B9A472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C8B1A41"/>
    <w:multiLevelType w:val="hybridMultilevel"/>
    <w:tmpl w:val="C08E9C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39C1206"/>
    <w:multiLevelType w:val="hybridMultilevel"/>
    <w:tmpl w:val="22849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9D1434D"/>
    <w:multiLevelType w:val="hybridMultilevel"/>
    <w:tmpl w:val="3806A6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F600535"/>
    <w:multiLevelType w:val="hybridMultilevel"/>
    <w:tmpl w:val="0A58192A"/>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7D1E3D0A"/>
    <w:multiLevelType w:val="hybridMultilevel"/>
    <w:tmpl w:val="6CF4423A"/>
    <w:lvl w:ilvl="0" w:tplc="6BAC0802">
      <w:start w:val="1"/>
      <w:numFmt w:val="upperRoman"/>
      <w:lvlText w:val="%1."/>
      <w:lvlJc w:val="left"/>
      <w:pPr>
        <w:ind w:left="720" w:hanging="360"/>
      </w:pPr>
      <w:rPr>
        <w:rFonts w:hint="default"/>
        <w:b/>
        <w:i w:val="0"/>
      </w:rPr>
    </w:lvl>
    <w:lvl w:ilvl="1" w:tplc="04090015">
      <w:start w:val="1"/>
      <w:numFmt w:val="upperLetter"/>
      <w:lvlText w:val="%2."/>
      <w:lvlJc w:val="left"/>
      <w:pPr>
        <w:ind w:left="1440" w:hanging="360"/>
      </w:pPr>
    </w:lvl>
    <w:lvl w:ilvl="2" w:tplc="0409000F">
      <w:start w:val="1"/>
      <w:numFmt w:val="decimal"/>
      <w:lvlText w:val="%3."/>
      <w:lvlJc w:val="left"/>
      <w:pPr>
        <w:ind w:left="2160" w:hanging="180"/>
      </w:pPr>
    </w:lvl>
    <w:lvl w:ilvl="3" w:tplc="04090019">
      <w:start w:val="1"/>
      <w:numFmt w:val="lowerLetter"/>
      <w:lvlText w:val="%4."/>
      <w:lvlJc w:val="left"/>
      <w:pPr>
        <w:ind w:left="2880" w:hanging="360"/>
      </w:pPr>
    </w:lvl>
    <w:lvl w:ilvl="4" w:tplc="58AADE0C">
      <w:start w:val="1"/>
      <w:numFmt w:val="lowerRoman"/>
      <w:lvlText w:val="%5."/>
      <w:lvlJc w:val="left"/>
      <w:pPr>
        <w:ind w:left="3600" w:hanging="360"/>
      </w:pPr>
      <w:rPr>
        <w:rFonts w:hint="default"/>
        <w:sz w:val="20"/>
      </w:rPr>
    </w:lvl>
    <w:lvl w:ilvl="5" w:tplc="04090017">
      <w:start w:val="1"/>
      <w:numFmt w:val="lowerLetter"/>
      <w:lvlText w:val="%6)"/>
      <w:lvlJc w:val="lef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D3E10B5"/>
    <w:multiLevelType w:val="hybridMultilevel"/>
    <w:tmpl w:val="618CB542"/>
    <w:lvl w:ilvl="0" w:tplc="41745BB8">
      <w:start w:val="1"/>
      <w:numFmt w:val="bullet"/>
      <w:lvlText w:val=""/>
      <w:lvlJc w:val="left"/>
      <w:pPr>
        <w:tabs>
          <w:tab w:val="num" w:pos="720"/>
        </w:tabs>
        <w:ind w:left="720" w:hanging="360"/>
      </w:pPr>
      <w:rPr>
        <w:rFonts w:ascii="Symbol" w:hAnsi="Symbol" w:hint="default"/>
        <w:sz w:val="20"/>
      </w:rPr>
    </w:lvl>
    <w:lvl w:ilvl="1" w:tplc="28DA9A74" w:tentative="1">
      <w:start w:val="1"/>
      <w:numFmt w:val="bullet"/>
      <w:lvlText w:val="o"/>
      <w:lvlJc w:val="left"/>
      <w:pPr>
        <w:tabs>
          <w:tab w:val="num" w:pos="1440"/>
        </w:tabs>
        <w:ind w:left="1440" w:hanging="360"/>
      </w:pPr>
      <w:rPr>
        <w:rFonts w:ascii="Courier New" w:hAnsi="Courier New" w:hint="default"/>
        <w:sz w:val="20"/>
      </w:rPr>
    </w:lvl>
    <w:lvl w:ilvl="2" w:tplc="04F23BE2" w:tentative="1">
      <w:start w:val="1"/>
      <w:numFmt w:val="bullet"/>
      <w:lvlText w:val=""/>
      <w:lvlJc w:val="left"/>
      <w:pPr>
        <w:tabs>
          <w:tab w:val="num" w:pos="2160"/>
        </w:tabs>
        <w:ind w:left="2160" w:hanging="360"/>
      </w:pPr>
      <w:rPr>
        <w:rFonts w:ascii="Wingdings" w:hAnsi="Wingdings" w:hint="default"/>
        <w:sz w:val="20"/>
      </w:rPr>
    </w:lvl>
    <w:lvl w:ilvl="3" w:tplc="B36E250C" w:tentative="1">
      <w:start w:val="1"/>
      <w:numFmt w:val="bullet"/>
      <w:lvlText w:val=""/>
      <w:lvlJc w:val="left"/>
      <w:pPr>
        <w:tabs>
          <w:tab w:val="num" w:pos="2880"/>
        </w:tabs>
        <w:ind w:left="2880" w:hanging="360"/>
      </w:pPr>
      <w:rPr>
        <w:rFonts w:ascii="Wingdings" w:hAnsi="Wingdings" w:hint="default"/>
        <w:sz w:val="20"/>
      </w:rPr>
    </w:lvl>
    <w:lvl w:ilvl="4" w:tplc="A98011B6" w:tentative="1">
      <w:start w:val="1"/>
      <w:numFmt w:val="bullet"/>
      <w:lvlText w:val=""/>
      <w:lvlJc w:val="left"/>
      <w:pPr>
        <w:tabs>
          <w:tab w:val="num" w:pos="3600"/>
        </w:tabs>
        <w:ind w:left="3600" w:hanging="360"/>
      </w:pPr>
      <w:rPr>
        <w:rFonts w:ascii="Wingdings" w:hAnsi="Wingdings" w:hint="default"/>
        <w:sz w:val="20"/>
      </w:rPr>
    </w:lvl>
    <w:lvl w:ilvl="5" w:tplc="B5309476" w:tentative="1">
      <w:start w:val="1"/>
      <w:numFmt w:val="bullet"/>
      <w:lvlText w:val=""/>
      <w:lvlJc w:val="left"/>
      <w:pPr>
        <w:tabs>
          <w:tab w:val="num" w:pos="4320"/>
        </w:tabs>
        <w:ind w:left="4320" w:hanging="360"/>
      </w:pPr>
      <w:rPr>
        <w:rFonts w:ascii="Wingdings" w:hAnsi="Wingdings" w:hint="default"/>
        <w:sz w:val="20"/>
      </w:rPr>
    </w:lvl>
    <w:lvl w:ilvl="6" w:tplc="D5DCFE88" w:tentative="1">
      <w:start w:val="1"/>
      <w:numFmt w:val="bullet"/>
      <w:lvlText w:val=""/>
      <w:lvlJc w:val="left"/>
      <w:pPr>
        <w:tabs>
          <w:tab w:val="num" w:pos="5040"/>
        </w:tabs>
        <w:ind w:left="5040" w:hanging="360"/>
      </w:pPr>
      <w:rPr>
        <w:rFonts w:ascii="Wingdings" w:hAnsi="Wingdings" w:hint="default"/>
        <w:sz w:val="20"/>
      </w:rPr>
    </w:lvl>
    <w:lvl w:ilvl="7" w:tplc="700E33C4" w:tentative="1">
      <w:start w:val="1"/>
      <w:numFmt w:val="bullet"/>
      <w:lvlText w:val=""/>
      <w:lvlJc w:val="left"/>
      <w:pPr>
        <w:tabs>
          <w:tab w:val="num" w:pos="5760"/>
        </w:tabs>
        <w:ind w:left="5760" w:hanging="360"/>
      </w:pPr>
      <w:rPr>
        <w:rFonts w:ascii="Wingdings" w:hAnsi="Wingdings" w:hint="default"/>
        <w:sz w:val="20"/>
      </w:rPr>
    </w:lvl>
    <w:lvl w:ilvl="8" w:tplc="2C6EEB8C" w:tentative="1">
      <w:start w:val="1"/>
      <w:numFmt w:val="bullet"/>
      <w:lvlText w:val=""/>
      <w:lvlJc w:val="left"/>
      <w:pPr>
        <w:tabs>
          <w:tab w:val="num" w:pos="6480"/>
        </w:tabs>
        <w:ind w:left="6480" w:hanging="360"/>
      </w:pPr>
      <w:rPr>
        <w:rFonts w:ascii="Wingdings" w:hAnsi="Wingdings" w:hint="default"/>
        <w:sz w:val="20"/>
      </w:rPr>
    </w:lvl>
  </w:abstractNum>
  <w:num w:numId="1" w16cid:durableId="451098111">
    <w:abstractNumId w:val="21"/>
  </w:num>
  <w:num w:numId="2" w16cid:durableId="1558274404">
    <w:abstractNumId w:val="0"/>
  </w:num>
  <w:num w:numId="3" w16cid:durableId="497037769">
    <w:abstractNumId w:val="8"/>
  </w:num>
  <w:num w:numId="4" w16cid:durableId="1906455291">
    <w:abstractNumId w:val="11"/>
  </w:num>
  <w:num w:numId="5" w16cid:durableId="1729575902">
    <w:abstractNumId w:val="12"/>
  </w:num>
  <w:num w:numId="6" w16cid:durableId="142356538">
    <w:abstractNumId w:val="17"/>
  </w:num>
  <w:num w:numId="7" w16cid:durableId="1646666220">
    <w:abstractNumId w:val="18"/>
  </w:num>
  <w:num w:numId="8" w16cid:durableId="105657756">
    <w:abstractNumId w:val="1"/>
  </w:num>
  <w:num w:numId="9" w16cid:durableId="1517765792">
    <w:abstractNumId w:val="14"/>
  </w:num>
  <w:num w:numId="10" w16cid:durableId="658580873">
    <w:abstractNumId w:val="6"/>
  </w:num>
  <w:num w:numId="11" w16cid:durableId="1067219996">
    <w:abstractNumId w:val="20"/>
  </w:num>
  <w:num w:numId="12" w16cid:durableId="1243564564">
    <w:abstractNumId w:val="10"/>
  </w:num>
  <w:num w:numId="13" w16cid:durableId="239098464">
    <w:abstractNumId w:val="9"/>
  </w:num>
  <w:num w:numId="14" w16cid:durableId="1509951443">
    <w:abstractNumId w:val="4"/>
  </w:num>
  <w:num w:numId="15" w16cid:durableId="1463691224">
    <w:abstractNumId w:val="7"/>
  </w:num>
  <w:num w:numId="16" w16cid:durableId="1680154593">
    <w:abstractNumId w:val="19"/>
  </w:num>
  <w:num w:numId="17" w16cid:durableId="2141679427">
    <w:abstractNumId w:val="15"/>
  </w:num>
  <w:num w:numId="18" w16cid:durableId="1384908850">
    <w:abstractNumId w:val="13"/>
  </w:num>
  <w:num w:numId="19" w16cid:durableId="753861566">
    <w:abstractNumId w:val="5"/>
  </w:num>
  <w:num w:numId="20" w16cid:durableId="1844975686">
    <w:abstractNumId w:val="3"/>
  </w:num>
  <w:num w:numId="21" w16cid:durableId="1399787411">
    <w:abstractNumId w:val="16"/>
  </w:num>
  <w:num w:numId="22" w16cid:durableId="8931571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1DE9"/>
    <w:rsid w:val="00014889"/>
    <w:rsid w:val="00017136"/>
    <w:rsid w:val="00024137"/>
    <w:rsid w:val="00032D3F"/>
    <w:rsid w:val="0003758F"/>
    <w:rsid w:val="000465DE"/>
    <w:rsid w:val="0004733E"/>
    <w:rsid w:val="00060509"/>
    <w:rsid w:val="00067000"/>
    <w:rsid w:val="0007134A"/>
    <w:rsid w:val="00083740"/>
    <w:rsid w:val="00091DF4"/>
    <w:rsid w:val="00094136"/>
    <w:rsid w:val="0009639E"/>
    <w:rsid w:val="000A3E64"/>
    <w:rsid w:val="000A6CBB"/>
    <w:rsid w:val="000B39AE"/>
    <w:rsid w:val="000B39C1"/>
    <w:rsid w:val="000C0EE0"/>
    <w:rsid w:val="000C1AA7"/>
    <w:rsid w:val="000D4382"/>
    <w:rsid w:val="000E7AD6"/>
    <w:rsid w:val="000F10C2"/>
    <w:rsid w:val="000F3F97"/>
    <w:rsid w:val="001026ED"/>
    <w:rsid w:val="00113120"/>
    <w:rsid w:val="001148A8"/>
    <w:rsid w:val="0014316D"/>
    <w:rsid w:val="00146C6E"/>
    <w:rsid w:val="00155C42"/>
    <w:rsid w:val="001624A0"/>
    <w:rsid w:val="00170B14"/>
    <w:rsid w:val="00171E07"/>
    <w:rsid w:val="001725AE"/>
    <w:rsid w:val="00176CEF"/>
    <w:rsid w:val="001818D7"/>
    <w:rsid w:val="00185104"/>
    <w:rsid w:val="001962BE"/>
    <w:rsid w:val="00196689"/>
    <w:rsid w:val="00196935"/>
    <w:rsid w:val="0019746F"/>
    <w:rsid w:val="001B2E89"/>
    <w:rsid w:val="001D0D34"/>
    <w:rsid w:val="001D3098"/>
    <w:rsid w:val="001D70D4"/>
    <w:rsid w:val="001E7D12"/>
    <w:rsid w:val="001F7EFB"/>
    <w:rsid w:val="0020675F"/>
    <w:rsid w:val="00220736"/>
    <w:rsid w:val="00230FE4"/>
    <w:rsid w:val="00233651"/>
    <w:rsid w:val="00245AF7"/>
    <w:rsid w:val="00254020"/>
    <w:rsid w:val="0025452A"/>
    <w:rsid w:val="002647BC"/>
    <w:rsid w:val="00267C68"/>
    <w:rsid w:val="00273955"/>
    <w:rsid w:val="00285997"/>
    <w:rsid w:val="00286CA4"/>
    <w:rsid w:val="002923B6"/>
    <w:rsid w:val="002A1326"/>
    <w:rsid w:val="002A39EE"/>
    <w:rsid w:val="002B0582"/>
    <w:rsid w:val="002C0E05"/>
    <w:rsid w:val="002C6AAB"/>
    <w:rsid w:val="002D019A"/>
    <w:rsid w:val="002D4042"/>
    <w:rsid w:val="002D4D01"/>
    <w:rsid w:val="002E1862"/>
    <w:rsid w:val="002E3DF3"/>
    <w:rsid w:val="002E48E7"/>
    <w:rsid w:val="002E5306"/>
    <w:rsid w:val="002E6730"/>
    <w:rsid w:val="002E719E"/>
    <w:rsid w:val="003012ED"/>
    <w:rsid w:val="003140D6"/>
    <w:rsid w:val="00335787"/>
    <w:rsid w:val="00336E37"/>
    <w:rsid w:val="00340C15"/>
    <w:rsid w:val="00350F22"/>
    <w:rsid w:val="0036031C"/>
    <w:rsid w:val="0037331F"/>
    <w:rsid w:val="00374D39"/>
    <w:rsid w:val="003840CC"/>
    <w:rsid w:val="003848AD"/>
    <w:rsid w:val="003A0CF4"/>
    <w:rsid w:val="003A3163"/>
    <w:rsid w:val="003A5856"/>
    <w:rsid w:val="003B7946"/>
    <w:rsid w:val="003D3EE6"/>
    <w:rsid w:val="003D4AC8"/>
    <w:rsid w:val="003D5C4A"/>
    <w:rsid w:val="003D7BE7"/>
    <w:rsid w:val="003E7207"/>
    <w:rsid w:val="003F3D44"/>
    <w:rsid w:val="0040156C"/>
    <w:rsid w:val="00404A1C"/>
    <w:rsid w:val="0043052A"/>
    <w:rsid w:val="00456A16"/>
    <w:rsid w:val="00472C6C"/>
    <w:rsid w:val="00480C09"/>
    <w:rsid w:val="00493710"/>
    <w:rsid w:val="00494A75"/>
    <w:rsid w:val="00496BCF"/>
    <w:rsid w:val="00497AED"/>
    <w:rsid w:val="004C533B"/>
    <w:rsid w:val="004C7108"/>
    <w:rsid w:val="004D649E"/>
    <w:rsid w:val="004E0B99"/>
    <w:rsid w:val="004F1C51"/>
    <w:rsid w:val="004F6394"/>
    <w:rsid w:val="00503B95"/>
    <w:rsid w:val="00505830"/>
    <w:rsid w:val="005103B8"/>
    <w:rsid w:val="00525841"/>
    <w:rsid w:val="005423D4"/>
    <w:rsid w:val="005510C4"/>
    <w:rsid w:val="005537B0"/>
    <w:rsid w:val="005627BF"/>
    <w:rsid w:val="005663DA"/>
    <w:rsid w:val="00571E3D"/>
    <w:rsid w:val="005776FD"/>
    <w:rsid w:val="00583376"/>
    <w:rsid w:val="00583C37"/>
    <w:rsid w:val="00591E02"/>
    <w:rsid w:val="005943A9"/>
    <w:rsid w:val="005B7B0E"/>
    <w:rsid w:val="005C17DF"/>
    <w:rsid w:val="005C21D7"/>
    <w:rsid w:val="005C3607"/>
    <w:rsid w:val="005D009F"/>
    <w:rsid w:val="005D4349"/>
    <w:rsid w:val="005D5146"/>
    <w:rsid w:val="005D7B81"/>
    <w:rsid w:val="005E0FE8"/>
    <w:rsid w:val="005E411E"/>
    <w:rsid w:val="005F051C"/>
    <w:rsid w:val="00632E8B"/>
    <w:rsid w:val="00645536"/>
    <w:rsid w:val="00646DC1"/>
    <w:rsid w:val="006474BB"/>
    <w:rsid w:val="00651585"/>
    <w:rsid w:val="00654919"/>
    <w:rsid w:val="00654A15"/>
    <w:rsid w:val="006664E9"/>
    <w:rsid w:val="0068124C"/>
    <w:rsid w:val="00683395"/>
    <w:rsid w:val="006B65BE"/>
    <w:rsid w:val="006C6EBC"/>
    <w:rsid w:val="006C74DF"/>
    <w:rsid w:val="006E302A"/>
    <w:rsid w:val="006E603E"/>
    <w:rsid w:val="006F4D70"/>
    <w:rsid w:val="00700F42"/>
    <w:rsid w:val="007163E2"/>
    <w:rsid w:val="007276E5"/>
    <w:rsid w:val="00744250"/>
    <w:rsid w:val="007601B8"/>
    <w:rsid w:val="00760389"/>
    <w:rsid w:val="00773A16"/>
    <w:rsid w:val="007764CE"/>
    <w:rsid w:val="00795545"/>
    <w:rsid w:val="007A0BCC"/>
    <w:rsid w:val="007A1441"/>
    <w:rsid w:val="007A2DC4"/>
    <w:rsid w:val="007A4053"/>
    <w:rsid w:val="007B07AE"/>
    <w:rsid w:val="007B50D0"/>
    <w:rsid w:val="007D4801"/>
    <w:rsid w:val="007E3A5A"/>
    <w:rsid w:val="007F1F19"/>
    <w:rsid w:val="00803869"/>
    <w:rsid w:val="00805719"/>
    <w:rsid w:val="008338BC"/>
    <w:rsid w:val="00837767"/>
    <w:rsid w:val="00843901"/>
    <w:rsid w:val="00855F58"/>
    <w:rsid w:val="00857C10"/>
    <w:rsid w:val="00867220"/>
    <w:rsid w:val="00874CE0"/>
    <w:rsid w:val="00875924"/>
    <w:rsid w:val="00877EC7"/>
    <w:rsid w:val="008826DF"/>
    <w:rsid w:val="00883849"/>
    <w:rsid w:val="00894AB9"/>
    <w:rsid w:val="00896E94"/>
    <w:rsid w:val="008B0705"/>
    <w:rsid w:val="008C6B3A"/>
    <w:rsid w:val="008C71B0"/>
    <w:rsid w:val="008E17FB"/>
    <w:rsid w:val="008E2384"/>
    <w:rsid w:val="008E26EF"/>
    <w:rsid w:val="008E51B0"/>
    <w:rsid w:val="008F0B83"/>
    <w:rsid w:val="008F3B04"/>
    <w:rsid w:val="00902C9B"/>
    <w:rsid w:val="009135E0"/>
    <w:rsid w:val="009138F0"/>
    <w:rsid w:val="009157C8"/>
    <w:rsid w:val="00915CA4"/>
    <w:rsid w:val="00936AC2"/>
    <w:rsid w:val="00937B30"/>
    <w:rsid w:val="00950820"/>
    <w:rsid w:val="00960EC4"/>
    <w:rsid w:val="00961071"/>
    <w:rsid w:val="00963062"/>
    <w:rsid w:val="009735FA"/>
    <w:rsid w:val="00977ECA"/>
    <w:rsid w:val="00982180"/>
    <w:rsid w:val="00985182"/>
    <w:rsid w:val="00987808"/>
    <w:rsid w:val="009928B2"/>
    <w:rsid w:val="009B4AE6"/>
    <w:rsid w:val="009C61B2"/>
    <w:rsid w:val="009D5928"/>
    <w:rsid w:val="009E6F29"/>
    <w:rsid w:val="00A04EAC"/>
    <w:rsid w:val="00A20F73"/>
    <w:rsid w:val="00A360EC"/>
    <w:rsid w:val="00A41969"/>
    <w:rsid w:val="00A50902"/>
    <w:rsid w:val="00A552F8"/>
    <w:rsid w:val="00A60413"/>
    <w:rsid w:val="00A82F7B"/>
    <w:rsid w:val="00A83658"/>
    <w:rsid w:val="00A84B74"/>
    <w:rsid w:val="00A85489"/>
    <w:rsid w:val="00A87B1F"/>
    <w:rsid w:val="00AA336E"/>
    <w:rsid w:val="00AA428E"/>
    <w:rsid w:val="00AB2D1C"/>
    <w:rsid w:val="00AD1AA6"/>
    <w:rsid w:val="00AD2E48"/>
    <w:rsid w:val="00AE44CA"/>
    <w:rsid w:val="00AE5D8C"/>
    <w:rsid w:val="00AF131A"/>
    <w:rsid w:val="00AF1F2A"/>
    <w:rsid w:val="00AF28F6"/>
    <w:rsid w:val="00AF30EF"/>
    <w:rsid w:val="00AF5490"/>
    <w:rsid w:val="00B015DF"/>
    <w:rsid w:val="00B0532C"/>
    <w:rsid w:val="00B14EEE"/>
    <w:rsid w:val="00B23581"/>
    <w:rsid w:val="00B24D62"/>
    <w:rsid w:val="00B4633B"/>
    <w:rsid w:val="00B5705E"/>
    <w:rsid w:val="00B74414"/>
    <w:rsid w:val="00B777AF"/>
    <w:rsid w:val="00B8063A"/>
    <w:rsid w:val="00B81789"/>
    <w:rsid w:val="00B86B4A"/>
    <w:rsid w:val="00B92DF1"/>
    <w:rsid w:val="00BB4AD5"/>
    <w:rsid w:val="00BB6C32"/>
    <w:rsid w:val="00BF4150"/>
    <w:rsid w:val="00C01AA6"/>
    <w:rsid w:val="00C06257"/>
    <w:rsid w:val="00C079B0"/>
    <w:rsid w:val="00C14250"/>
    <w:rsid w:val="00C2297C"/>
    <w:rsid w:val="00C335A1"/>
    <w:rsid w:val="00C5731B"/>
    <w:rsid w:val="00C64BB4"/>
    <w:rsid w:val="00C7243A"/>
    <w:rsid w:val="00C73CF5"/>
    <w:rsid w:val="00C74AC8"/>
    <w:rsid w:val="00C75BD4"/>
    <w:rsid w:val="00C91A17"/>
    <w:rsid w:val="00C95DF2"/>
    <w:rsid w:val="00C96847"/>
    <w:rsid w:val="00C97A04"/>
    <w:rsid w:val="00CA53B9"/>
    <w:rsid w:val="00CA5C08"/>
    <w:rsid w:val="00CB5DF9"/>
    <w:rsid w:val="00CB63DD"/>
    <w:rsid w:val="00CD1718"/>
    <w:rsid w:val="00CF1C87"/>
    <w:rsid w:val="00CF2624"/>
    <w:rsid w:val="00D1618D"/>
    <w:rsid w:val="00D35160"/>
    <w:rsid w:val="00D36448"/>
    <w:rsid w:val="00D574CA"/>
    <w:rsid w:val="00D648DE"/>
    <w:rsid w:val="00D71BC4"/>
    <w:rsid w:val="00D73DE6"/>
    <w:rsid w:val="00D8693B"/>
    <w:rsid w:val="00D96D52"/>
    <w:rsid w:val="00DB1DE9"/>
    <w:rsid w:val="00DB7073"/>
    <w:rsid w:val="00DC2D24"/>
    <w:rsid w:val="00DC3DD1"/>
    <w:rsid w:val="00DC6924"/>
    <w:rsid w:val="00DC6A7C"/>
    <w:rsid w:val="00DD025A"/>
    <w:rsid w:val="00DD0F33"/>
    <w:rsid w:val="00DD26D9"/>
    <w:rsid w:val="00DD4243"/>
    <w:rsid w:val="00DD6ADB"/>
    <w:rsid w:val="00DD7D7A"/>
    <w:rsid w:val="00DE18E2"/>
    <w:rsid w:val="00E02289"/>
    <w:rsid w:val="00E031E8"/>
    <w:rsid w:val="00E07F89"/>
    <w:rsid w:val="00E144FC"/>
    <w:rsid w:val="00E263D6"/>
    <w:rsid w:val="00E27A71"/>
    <w:rsid w:val="00E5419D"/>
    <w:rsid w:val="00E57FF1"/>
    <w:rsid w:val="00E759F5"/>
    <w:rsid w:val="00E77DF9"/>
    <w:rsid w:val="00E84F2E"/>
    <w:rsid w:val="00E862EE"/>
    <w:rsid w:val="00E949DE"/>
    <w:rsid w:val="00E97C17"/>
    <w:rsid w:val="00EA3809"/>
    <w:rsid w:val="00EB4E1F"/>
    <w:rsid w:val="00EB6C80"/>
    <w:rsid w:val="00ED0A0D"/>
    <w:rsid w:val="00EE209D"/>
    <w:rsid w:val="00EE2522"/>
    <w:rsid w:val="00EE74D8"/>
    <w:rsid w:val="00EF0847"/>
    <w:rsid w:val="00F03DC0"/>
    <w:rsid w:val="00F14321"/>
    <w:rsid w:val="00F21A76"/>
    <w:rsid w:val="00F2705D"/>
    <w:rsid w:val="00F279A1"/>
    <w:rsid w:val="00F422E1"/>
    <w:rsid w:val="00F630F1"/>
    <w:rsid w:val="00F67BBD"/>
    <w:rsid w:val="00F71F8E"/>
    <w:rsid w:val="00F74762"/>
    <w:rsid w:val="00F81FE0"/>
    <w:rsid w:val="00F95133"/>
    <w:rsid w:val="00FB0592"/>
    <w:rsid w:val="00FB139B"/>
    <w:rsid w:val="00FB4F8F"/>
    <w:rsid w:val="00FC6BA1"/>
    <w:rsid w:val="00FE290A"/>
    <w:rsid w:val="00FF4A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8CF06F"/>
  <w15:docId w15:val="{5BC2FC9E-B5D5-457D-9125-128610BF1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rFonts w:eastAsia="Arial Unicode MS"/>
      <w:b/>
      <w:bCs/>
      <w:sz w:val="20"/>
      <w:szCs w:val="12"/>
    </w:rPr>
  </w:style>
  <w:style w:type="paragraph" w:styleId="Heading2">
    <w:name w:val="heading 2"/>
    <w:basedOn w:val="Normal"/>
    <w:next w:val="Normal"/>
    <w:qFormat/>
    <w:pPr>
      <w:keepNext/>
      <w:outlineLvl w:val="1"/>
    </w:pPr>
    <w:rPr>
      <w:b/>
      <w:bCs/>
      <w:u w:val="single"/>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jc w:val="center"/>
      <w:outlineLvl w:val="3"/>
    </w:pPr>
    <w:rPr>
      <w:b/>
      <w:bCs/>
    </w:rPr>
  </w:style>
  <w:style w:type="paragraph" w:styleId="Heading5">
    <w:name w:val="heading 5"/>
    <w:basedOn w:val="Normal"/>
    <w:next w:val="Normal"/>
    <w:qFormat/>
    <w:pPr>
      <w:keepNext/>
      <w:outlineLvl w:val="4"/>
    </w:pPr>
    <w:rPr>
      <w:b/>
      <w:szCs w:val="20"/>
    </w:rPr>
  </w:style>
  <w:style w:type="paragraph" w:styleId="Heading6">
    <w:name w:val="heading 6"/>
    <w:basedOn w:val="Normal"/>
    <w:next w:val="Normal"/>
    <w:qFormat/>
    <w:pPr>
      <w:keepNext/>
      <w:tabs>
        <w:tab w:val="num" w:pos="0"/>
      </w:tabs>
      <w:jc w:val="center"/>
      <w:outlineLvl w:val="5"/>
    </w:pPr>
    <w:rPr>
      <w:b/>
      <w:szCs w:val="20"/>
    </w:rPr>
  </w:style>
  <w:style w:type="paragraph" w:styleId="Heading7">
    <w:name w:val="heading 7"/>
    <w:basedOn w:val="Normal"/>
    <w:next w:val="Normal"/>
    <w:qFormat/>
    <w:pPr>
      <w:keepNext/>
      <w:outlineLvl w:val="6"/>
    </w:pPr>
    <w:rPr>
      <w:rFonts w:ascii="Bookman Old Style" w:hAnsi="Bookman Old Style"/>
      <w:b/>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jc w:val="center"/>
    </w:pPr>
    <w:rPr>
      <w:b/>
      <w:bCs/>
      <w:szCs w:val="20"/>
    </w:rPr>
  </w:style>
  <w:style w:type="character" w:customStyle="1" w:styleId="EmailStyle20">
    <w:name w:val="EmailStyle20"/>
    <w:rPr>
      <w:rFonts w:ascii="Arial" w:hAnsi="Arial" w:cs="Arial"/>
      <w:color w:val="000000"/>
      <w:sz w:val="20"/>
      <w:szCs w:val="20"/>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character" w:styleId="Strong">
    <w:name w:val="Strong"/>
    <w:qFormat/>
    <w:rPr>
      <w:b/>
      <w:bCs/>
    </w:rPr>
  </w:style>
  <w:style w:type="character" w:styleId="Hyperlink">
    <w:name w:val="Hyperlink"/>
    <w:rsid w:val="004E0B99"/>
    <w:rPr>
      <w:color w:val="0000FF"/>
      <w:u w:val="single"/>
    </w:rPr>
  </w:style>
  <w:style w:type="character" w:styleId="FollowedHyperlink">
    <w:name w:val="FollowedHyperlink"/>
    <w:rsid w:val="00AF1F2A"/>
    <w:rPr>
      <w:color w:val="800080"/>
      <w:u w:val="single"/>
    </w:rPr>
  </w:style>
  <w:style w:type="paragraph" w:styleId="BalloonText">
    <w:name w:val="Balloon Text"/>
    <w:basedOn w:val="Normal"/>
    <w:semiHidden/>
    <w:rsid w:val="00A87B1F"/>
    <w:rPr>
      <w:rFonts w:ascii="Tahoma" w:hAnsi="Tahoma" w:cs="Tahoma"/>
      <w:sz w:val="16"/>
      <w:szCs w:val="16"/>
    </w:rPr>
  </w:style>
  <w:style w:type="table" w:styleId="TableTheme">
    <w:name w:val="Table Theme"/>
    <w:basedOn w:val="TableNormal"/>
    <w:rsid w:val="00D364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licyMainHead">
    <w:name w:val="Policy Main Head"/>
    <w:basedOn w:val="Normal"/>
    <w:rsid w:val="00D574CA"/>
    <w:pPr>
      <w:widowControl w:val="0"/>
      <w:spacing w:after="200" w:line="276" w:lineRule="auto"/>
    </w:pPr>
    <w:rPr>
      <w:rFonts w:ascii="Arial Narrow" w:hAnsi="Arial Narrow"/>
      <w:noProof/>
      <w:color w:val="11406B"/>
      <w:sz w:val="48"/>
      <w:szCs w:val="48"/>
    </w:rPr>
  </w:style>
  <w:style w:type="character" w:customStyle="1" w:styleId="FooterChar">
    <w:name w:val="Footer Char"/>
    <w:link w:val="Footer"/>
    <w:uiPriority w:val="99"/>
    <w:rsid w:val="00D574CA"/>
    <w:rPr>
      <w:sz w:val="24"/>
      <w:szCs w:val="24"/>
    </w:rPr>
  </w:style>
  <w:style w:type="table" w:styleId="LightList-Accent1">
    <w:name w:val="Light List Accent 1"/>
    <w:basedOn w:val="TableNormal"/>
    <w:uiPriority w:val="61"/>
    <w:rsid w:val="005423D4"/>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TableGrid">
    <w:name w:val="Table Grid"/>
    <w:basedOn w:val="TableNormal"/>
    <w:rsid w:val="00B777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3F3D44"/>
    <w:rPr>
      <w:sz w:val="16"/>
      <w:szCs w:val="16"/>
    </w:rPr>
  </w:style>
  <w:style w:type="paragraph" w:styleId="CommentText">
    <w:name w:val="annotation text"/>
    <w:basedOn w:val="Normal"/>
    <w:link w:val="CommentTextChar"/>
    <w:rsid w:val="003F3D44"/>
    <w:rPr>
      <w:sz w:val="20"/>
      <w:szCs w:val="20"/>
    </w:rPr>
  </w:style>
  <w:style w:type="character" w:customStyle="1" w:styleId="CommentTextChar">
    <w:name w:val="Comment Text Char"/>
    <w:basedOn w:val="DefaultParagraphFont"/>
    <w:link w:val="CommentText"/>
    <w:rsid w:val="003F3D44"/>
  </w:style>
  <w:style w:type="paragraph" w:styleId="CommentSubject">
    <w:name w:val="annotation subject"/>
    <w:basedOn w:val="CommentText"/>
    <w:next w:val="CommentText"/>
    <w:link w:val="CommentSubjectChar"/>
    <w:rsid w:val="003F3D44"/>
    <w:rPr>
      <w:b/>
      <w:bCs/>
    </w:rPr>
  </w:style>
  <w:style w:type="character" w:customStyle="1" w:styleId="CommentSubjectChar">
    <w:name w:val="Comment Subject Char"/>
    <w:basedOn w:val="CommentTextChar"/>
    <w:link w:val="CommentSubject"/>
    <w:rsid w:val="003F3D44"/>
    <w:rPr>
      <w:b/>
      <w:bCs/>
    </w:rPr>
  </w:style>
  <w:style w:type="paragraph" w:styleId="ListParagraph">
    <w:name w:val="List Paragraph"/>
    <w:basedOn w:val="Normal"/>
    <w:uiPriority w:val="34"/>
    <w:qFormat/>
    <w:rsid w:val="007163E2"/>
    <w:pPr>
      <w:ind w:left="720"/>
      <w:contextualSpacing/>
    </w:pPr>
  </w:style>
  <w:style w:type="paragraph" w:styleId="Revision">
    <w:name w:val="Revision"/>
    <w:hidden/>
    <w:uiPriority w:val="99"/>
    <w:semiHidden/>
    <w:rsid w:val="009157C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0348475">
      <w:bodyDiv w:val="1"/>
      <w:marLeft w:val="0"/>
      <w:marRight w:val="0"/>
      <w:marTop w:val="0"/>
      <w:marBottom w:val="0"/>
      <w:divBdr>
        <w:top w:val="none" w:sz="0" w:space="0" w:color="auto"/>
        <w:left w:val="none" w:sz="0" w:space="0" w:color="auto"/>
        <w:bottom w:val="none" w:sz="0" w:space="0" w:color="auto"/>
        <w:right w:val="none" w:sz="0" w:space="0" w:color="auto"/>
      </w:divBdr>
    </w:div>
    <w:div w:id="1124691593">
      <w:bodyDiv w:val="1"/>
      <w:marLeft w:val="0"/>
      <w:marRight w:val="0"/>
      <w:marTop w:val="0"/>
      <w:marBottom w:val="0"/>
      <w:divBdr>
        <w:top w:val="none" w:sz="0" w:space="0" w:color="auto"/>
        <w:left w:val="none" w:sz="0" w:space="0" w:color="auto"/>
        <w:bottom w:val="none" w:sz="0" w:space="0" w:color="auto"/>
        <w:right w:val="none" w:sz="0" w:space="0" w:color="auto"/>
      </w:divBdr>
      <w:divsChild>
        <w:div w:id="421417658">
          <w:marLeft w:val="0"/>
          <w:marRight w:val="0"/>
          <w:marTop w:val="0"/>
          <w:marBottom w:val="0"/>
          <w:divBdr>
            <w:top w:val="none" w:sz="0" w:space="0" w:color="auto"/>
            <w:left w:val="none" w:sz="0" w:space="0" w:color="auto"/>
            <w:bottom w:val="none" w:sz="0" w:space="0" w:color="auto"/>
            <w:right w:val="none" w:sz="0" w:space="0" w:color="auto"/>
          </w:divBdr>
        </w:div>
        <w:div w:id="1452554935">
          <w:marLeft w:val="0"/>
          <w:marRight w:val="0"/>
          <w:marTop w:val="0"/>
          <w:marBottom w:val="0"/>
          <w:divBdr>
            <w:top w:val="none" w:sz="0" w:space="0" w:color="auto"/>
            <w:left w:val="none" w:sz="0" w:space="0" w:color="auto"/>
            <w:bottom w:val="none" w:sz="0" w:space="0" w:color="auto"/>
            <w:right w:val="none" w:sz="0" w:space="0" w:color="auto"/>
          </w:divBdr>
        </w:div>
      </w:divsChild>
    </w:div>
    <w:div w:id="1137530516">
      <w:bodyDiv w:val="1"/>
      <w:marLeft w:val="0"/>
      <w:marRight w:val="0"/>
      <w:marTop w:val="0"/>
      <w:marBottom w:val="0"/>
      <w:divBdr>
        <w:top w:val="none" w:sz="0" w:space="0" w:color="auto"/>
        <w:left w:val="none" w:sz="0" w:space="0" w:color="auto"/>
        <w:bottom w:val="none" w:sz="0" w:space="0" w:color="auto"/>
        <w:right w:val="none" w:sz="0" w:space="0" w:color="auto"/>
      </w:divBdr>
    </w:div>
    <w:div w:id="1252163163">
      <w:bodyDiv w:val="1"/>
      <w:marLeft w:val="0"/>
      <w:marRight w:val="0"/>
      <w:marTop w:val="0"/>
      <w:marBottom w:val="0"/>
      <w:divBdr>
        <w:top w:val="none" w:sz="0" w:space="0" w:color="auto"/>
        <w:left w:val="none" w:sz="0" w:space="0" w:color="auto"/>
        <w:bottom w:val="none" w:sz="0" w:space="0" w:color="auto"/>
        <w:right w:val="none" w:sz="0" w:space="0" w:color="auto"/>
      </w:divBdr>
      <w:divsChild>
        <w:div w:id="999505019">
          <w:marLeft w:val="0"/>
          <w:marRight w:val="0"/>
          <w:marTop w:val="0"/>
          <w:marBottom w:val="0"/>
          <w:divBdr>
            <w:top w:val="none" w:sz="0" w:space="0" w:color="auto"/>
            <w:left w:val="none" w:sz="0" w:space="0" w:color="auto"/>
            <w:bottom w:val="none" w:sz="0" w:space="0" w:color="auto"/>
            <w:right w:val="none" w:sz="0" w:space="0" w:color="auto"/>
          </w:divBdr>
          <w:divsChild>
            <w:div w:id="1527405789">
              <w:marLeft w:val="0"/>
              <w:marRight w:val="0"/>
              <w:marTop w:val="0"/>
              <w:marBottom w:val="0"/>
              <w:divBdr>
                <w:top w:val="none" w:sz="0" w:space="0" w:color="auto"/>
                <w:left w:val="none" w:sz="0" w:space="0" w:color="auto"/>
                <w:bottom w:val="none" w:sz="0" w:space="0" w:color="auto"/>
                <w:right w:val="none" w:sz="0" w:space="0" w:color="auto"/>
              </w:divBdr>
              <w:divsChild>
                <w:div w:id="83383434">
                  <w:marLeft w:val="480"/>
                  <w:marRight w:val="480"/>
                  <w:marTop w:val="480"/>
                  <w:marBottom w:val="480"/>
                  <w:divBdr>
                    <w:top w:val="none" w:sz="0" w:space="0" w:color="auto"/>
                    <w:left w:val="none" w:sz="0" w:space="0" w:color="auto"/>
                    <w:bottom w:val="none" w:sz="0" w:space="0" w:color="auto"/>
                    <w:right w:val="none" w:sz="0" w:space="0" w:color="auto"/>
                  </w:divBdr>
                  <w:divsChild>
                    <w:div w:id="894856927">
                      <w:marLeft w:val="0"/>
                      <w:marRight w:val="0"/>
                      <w:marTop w:val="0"/>
                      <w:marBottom w:val="0"/>
                      <w:divBdr>
                        <w:top w:val="single" w:sz="12" w:space="5" w:color="000000"/>
                        <w:left w:val="none" w:sz="0" w:space="0" w:color="auto"/>
                        <w:bottom w:val="none" w:sz="0" w:space="0" w:color="auto"/>
                        <w:right w:val="none" w:sz="0" w:space="0" w:color="auto"/>
                      </w:divBdr>
                      <w:divsChild>
                        <w:div w:id="1836337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1675830">
      <w:bodyDiv w:val="1"/>
      <w:marLeft w:val="0"/>
      <w:marRight w:val="0"/>
      <w:marTop w:val="0"/>
      <w:marBottom w:val="0"/>
      <w:divBdr>
        <w:top w:val="none" w:sz="0" w:space="0" w:color="auto"/>
        <w:left w:val="none" w:sz="0" w:space="0" w:color="auto"/>
        <w:bottom w:val="none" w:sz="0" w:space="0" w:color="auto"/>
        <w:right w:val="none" w:sz="0" w:space="0" w:color="auto"/>
      </w:divBdr>
      <w:divsChild>
        <w:div w:id="1272317254">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1567259093">
      <w:bodyDiv w:val="1"/>
      <w:marLeft w:val="0"/>
      <w:marRight w:val="0"/>
      <w:marTop w:val="0"/>
      <w:marBottom w:val="0"/>
      <w:divBdr>
        <w:top w:val="none" w:sz="0" w:space="0" w:color="auto"/>
        <w:left w:val="none" w:sz="0" w:space="0" w:color="auto"/>
        <w:bottom w:val="none" w:sz="0" w:space="0" w:color="auto"/>
        <w:right w:val="none" w:sz="0" w:space="0" w:color="auto"/>
      </w:divBdr>
      <w:divsChild>
        <w:div w:id="396174340">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2017418913">
      <w:bodyDiv w:val="1"/>
      <w:marLeft w:val="0"/>
      <w:marRight w:val="0"/>
      <w:marTop w:val="0"/>
      <w:marBottom w:val="0"/>
      <w:divBdr>
        <w:top w:val="none" w:sz="0" w:space="0" w:color="auto"/>
        <w:left w:val="none" w:sz="0" w:space="0" w:color="auto"/>
        <w:bottom w:val="none" w:sz="0" w:space="0" w:color="auto"/>
        <w:right w:val="none" w:sz="0" w:space="0" w:color="auto"/>
      </w:divBdr>
      <w:divsChild>
        <w:div w:id="960498708">
          <w:marLeft w:val="0"/>
          <w:marRight w:val="1"/>
          <w:marTop w:val="0"/>
          <w:marBottom w:val="0"/>
          <w:divBdr>
            <w:top w:val="none" w:sz="0" w:space="0" w:color="auto"/>
            <w:left w:val="none" w:sz="0" w:space="0" w:color="auto"/>
            <w:bottom w:val="none" w:sz="0" w:space="0" w:color="auto"/>
            <w:right w:val="none" w:sz="0" w:space="0" w:color="auto"/>
          </w:divBdr>
          <w:divsChild>
            <w:div w:id="1138958777">
              <w:marLeft w:val="0"/>
              <w:marRight w:val="0"/>
              <w:marTop w:val="0"/>
              <w:marBottom w:val="0"/>
              <w:divBdr>
                <w:top w:val="none" w:sz="0" w:space="0" w:color="auto"/>
                <w:left w:val="none" w:sz="0" w:space="0" w:color="auto"/>
                <w:bottom w:val="none" w:sz="0" w:space="0" w:color="auto"/>
                <w:right w:val="none" w:sz="0" w:space="0" w:color="auto"/>
              </w:divBdr>
              <w:divsChild>
                <w:div w:id="1462191004">
                  <w:marLeft w:val="0"/>
                  <w:marRight w:val="1"/>
                  <w:marTop w:val="0"/>
                  <w:marBottom w:val="0"/>
                  <w:divBdr>
                    <w:top w:val="none" w:sz="0" w:space="0" w:color="auto"/>
                    <w:left w:val="none" w:sz="0" w:space="0" w:color="auto"/>
                    <w:bottom w:val="none" w:sz="0" w:space="0" w:color="auto"/>
                    <w:right w:val="none" w:sz="0" w:space="0" w:color="auto"/>
                  </w:divBdr>
                  <w:divsChild>
                    <w:div w:id="1072846119">
                      <w:marLeft w:val="0"/>
                      <w:marRight w:val="0"/>
                      <w:marTop w:val="0"/>
                      <w:marBottom w:val="0"/>
                      <w:divBdr>
                        <w:top w:val="none" w:sz="0" w:space="0" w:color="auto"/>
                        <w:left w:val="none" w:sz="0" w:space="0" w:color="auto"/>
                        <w:bottom w:val="none" w:sz="0" w:space="0" w:color="auto"/>
                        <w:right w:val="none" w:sz="0" w:space="0" w:color="auto"/>
                      </w:divBdr>
                      <w:divsChild>
                        <w:div w:id="185290726">
                          <w:marLeft w:val="0"/>
                          <w:marRight w:val="0"/>
                          <w:marTop w:val="0"/>
                          <w:marBottom w:val="0"/>
                          <w:divBdr>
                            <w:top w:val="none" w:sz="0" w:space="0" w:color="auto"/>
                            <w:left w:val="none" w:sz="0" w:space="0" w:color="auto"/>
                            <w:bottom w:val="none" w:sz="0" w:space="0" w:color="auto"/>
                            <w:right w:val="none" w:sz="0" w:space="0" w:color="auto"/>
                          </w:divBdr>
                          <w:divsChild>
                            <w:div w:id="885602338">
                              <w:marLeft w:val="0"/>
                              <w:marRight w:val="0"/>
                              <w:marTop w:val="0"/>
                              <w:marBottom w:val="0"/>
                              <w:divBdr>
                                <w:top w:val="none" w:sz="0" w:space="0" w:color="auto"/>
                                <w:left w:val="none" w:sz="0" w:space="0" w:color="auto"/>
                                <w:bottom w:val="none" w:sz="0" w:space="0" w:color="auto"/>
                                <w:right w:val="none" w:sz="0" w:space="0" w:color="auto"/>
                              </w:divBdr>
                            </w:div>
                          </w:divsChild>
                        </w:div>
                        <w:div w:id="500856255">
                          <w:marLeft w:val="0"/>
                          <w:marRight w:val="0"/>
                          <w:marTop w:val="0"/>
                          <w:marBottom w:val="0"/>
                          <w:divBdr>
                            <w:top w:val="none" w:sz="0" w:space="0" w:color="auto"/>
                            <w:left w:val="none" w:sz="0" w:space="0" w:color="auto"/>
                            <w:bottom w:val="none" w:sz="0" w:space="0" w:color="auto"/>
                            <w:right w:val="none" w:sz="0" w:space="0" w:color="auto"/>
                          </w:divBdr>
                          <w:divsChild>
                            <w:div w:id="1659531643">
                              <w:marLeft w:val="0"/>
                              <w:marRight w:val="0"/>
                              <w:marTop w:val="120"/>
                              <w:marBottom w:val="360"/>
                              <w:divBdr>
                                <w:top w:val="none" w:sz="0" w:space="0" w:color="auto"/>
                                <w:left w:val="none" w:sz="0" w:space="0" w:color="auto"/>
                                <w:bottom w:val="none" w:sz="0" w:space="0" w:color="auto"/>
                                <w:right w:val="none" w:sz="0" w:space="0" w:color="auto"/>
                              </w:divBdr>
                              <w:divsChild>
                                <w:div w:id="145170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cms.gov"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www.mainegeneral.org/app/files/public/6460f387-09dc-4968-b162-eee6121a1497/aaosbackpainguidelines.pdf" TargetMode="Externa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uptodate.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447FE01-4497-4E4E-A9F0-7E9A1D09BE96}">
  <ds:schemaRefs>
    <ds:schemaRef ds:uri="http://schemas.microsoft.com/sharepoint/v3/contenttype/forms"/>
  </ds:schemaRefs>
</ds:datastoreItem>
</file>

<file path=customXml/itemProps2.xml><?xml version="1.0" encoding="utf-8"?>
<ds:datastoreItem xmlns:ds="http://schemas.openxmlformats.org/officeDocument/2006/customXml" ds:itemID="{23A4C24B-3209-43B9-88FB-476004D618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02383D72-DEAC-4AF3-A542-B3ED840B2BC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1524</Words>
  <Characters>9720</Characters>
  <Application>Microsoft Office Word</Application>
  <DocSecurity>2</DocSecurity>
  <Lines>81</Lines>
  <Paragraphs>22</Paragraphs>
  <ScaleCrop>false</ScaleCrop>
  <HeadingPairs>
    <vt:vector size="2" baseType="variant">
      <vt:variant>
        <vt:lpstr>Title</vt:lpstr>
      </vt:variant>
      <vt:variant>
        <vt:i4>1</vt:i4>
      </vt:variant>
    </vt:vector>
  </HeadingPairs>
  <TitlesOfParts>
    <vt:vector size="1" baseType="lpstr">
      <vt:lpstr>Subject:</vt:lpstr>
    </vt:vector>
  </TitlesOfParts>
  <Company>CENTENE CORPORATION</Company>
  <LinksUpToDate>false</LinksUpToDate>
  <CharactersWithSpaces>11222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Subject:</dc:title>
  <dc:creator>Centene User</dc:creator>
  <cp:lastModifiedBy>Victoria T. Kostecki</cp:lastModifiedBy>
  <cp:revision>2</cp:revision>
  <cp:lastPrinted>2023-07-07T20:57:00Z</cp:lastPrinted>
  <dcterms:created xsi:type="dcterms:W3CDTF">2025-07-25T13:49:00Z</dcterms:created>
  <dcterms:modified xsi:type="dcterms:W3CDTF">2025-07-25T13:49:00Z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776955-85f6-4fec-9553-96dd3e0373c4_Enabled">
    <vt:lpwstr>true</vt:lpwstr>
  </property>
  <property fmtid="{D5CDD505-2E9C-101B-9397-08002B2CF9AE}" pid="3" name="MSIP_Label_5a776955-85f6-4fec-9553-96dd3e0373c4_SetDate">
    <vt:lpwstr>2022-07-01T11:38:14Z</vt:lpwstr>
  </property>
  <property fmtid="{D5CDD505-2E9C-101B-9397-08002B2CF9AE}" pid="4" name="MSIP_Label_5a776955-85f6-4fec-9553-96dd3e0373c4_Method">
    <vt:lpwstr>Standard</vt:lpwstr>
  </property>
  <property fmtid="{D5CDD505-2E9C-101B-9397-08002B2CF9AE}" pid="5" name="MSIP_Label_5a776955-85f6-4fec-9553-96dd3e0373c4_Name">
    <vt:lpwstr>Confidential</vt:lpwstr>
  </property>
  <property fmtid="{D5CDD505-2E9C-101B-9397-08002B2CF9AE}" pid="6" name="MSIP_Label_5a776955-85f6-4fec-9553-96dd3e0373c4_SiteId">
    <vt:lpwstr>f45ccc07-e57e-4d15-bf6f-f6cbccd2d395</vt:lpwstr>
  </property>
  <property fmtid="{D5CDD505-2E9C-101B-9397-08002B2CF9AE}" pid="7" name="MSIP_Label_5a776955-85f6-4fec-9553-96dd3e0373c4_ActionId">
    <vt:lpwstr>b6a1c18e-96b4-4591-aed2-ae0aeb381a28</vt:lpwstr>
  </property>
  <property fmtid="{D5CDD505-2E9C-101B-9397-08002B2CF9AE}" pid="8" name="MSIP_Label_5a776955-85f6-4fec-9553-96dd3e0373c4_ContentBits">
    <vt:lpwstr>0</vt:lpwstr>
  </property>
</Properties>
</file>