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8226" w14:textId="79EFE2A7" w:rsidR="00B777AF" w:rsidRPr="003B6CEF" w:rsidRDefault="00230FE4" w:rsidP="00D574CA">
      <w:pPr>
        <w:pStyle w:val="PolicyMainHead"/>
        <w:tabs>
          <w:tab w:val="left" w:pos="360"/>
        </w:tabs>
        <w:spacing w:after="0" w:line="240" w:lineRule="auto"/>
        <w:rPr>
          <w:rFonts w:ascii="Times New Roman" w:hAnsi="Times New Roman"/>
          <w:color w:val="00548C"/>
          <w:sz w:val="36"/>
        </w:rPr>
        <w:sectPr w:rsidR="00B777AF" w:rsidRPr="003B6CEF" w:rsidSect="00CB63DD">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3B6CEF">
        <w:rPr>
          <w:rFonts w:ascii="Times New Roman" w:hAnsi="Times New Roman"/>
          <w:color w:val="00548C"/>
          <w:sz w:val="36"/>
        </w:rPr>
        <w:t xml:space="preserve"> S</w:t>
      </w:r>
      <w:r w:rsidR="000613C1">
        <w:rPr>
          <w:rFonts w:ascii="Times New Roman" w:hAnsi="Times New Roman"/>
          <w:color w:val="00548C"/>
          <w:sz w:val="36"/>
        </w:rPr>
        <w:t>acroiliac Joint Interventions</w:t>
      </w:r>
      <w:r w:rsidR="00690AA5">
        <w:rPr>
          <w:rFonts w:ascii="Times New Roman" w:hAnsi="Times New Roman"/>
          <w:color w:val="00548C"/>
          <w:sz w:val="36"/>
        </w:rPr>
        <w:t xml:space="preserve"> for Pain Management</w:t>
      </w:r>
    </w:p>
    <w:p w14:paraId="1CCCED07" w14:textId="5DF153D5"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0613C1">
        <w:rPr>
          <w:rFonts w:ascii="Times New Roman" w:hAnsi="Times New Roman"/>
          <w:color w:val="00548C"/>
          <w:sz w:val="24"/>
          <w:szCs w:val="24"/>
        </w:rPr>
        <w:t>166</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7B2B38EB" w:rsidR="00875924" w:rsidRDefault="00D574CA" w:rsidP="00CB63DD">
      <w:pPr>
        <w:pStyle w:val="PolicyMainHead"/>
        <w:spacing w:after="0" w:line="240" w:lineRule="auto"/>
        <w:rPr>
          <w:rFonts w:ascii="Times New Roman" w:hAnsi="Times New Roman"/>
          <w:color w:val="00548C"/>
          <w:sz w:val="24"/>
          <w:szCs w:val="24"/>
        </w:rPr>
      </w:pPr>
      <w:r w:rsidRPr="003D7BE7">
        <w:rPr>
          <w:rFonts w:ascii="Times New Roman" w:hAnsi="Times New Roman"/>
          <w:color w:val="00548C"/>
          <w:sz w:val="24"/>
          <w:szCs w:val="24"/>
        </w:rPr>
        <w:t>Date</w:t>
      </w:r>
      <w:r w:rsidR="008445B6">
        <w:rPr>
          <w:rFonts w:ascii="Times New Roman" w:hAnsi="Times New Roman"/>
          <w:color w:val="00548C"/>
          <w:sz w:val="24"/>
          <w:szCs w:val="24"/>
        </w:rPr>
        <w:t xml:space="preserve"> of Last Revision</w:t>
      </w:r>
      <w:r w:rsidRPr="003D7BE7">
        <w:rPr>
          <w:rFonts w:ascii="Times New Roman" w:hAnsi="Times New Roman"/>
          <w:color w:val="00548C"/>
          <w:sz w:val="24"/>
          <w:szCs w:val="24"/>
        </w:rPr>
        <w:t xml:space="preserve">: </w:t>
      </w:r>
      <w:r w:rsidR="009D41BD">
        <w:rPr>
          <w:rFonts w:ascii="Times New Roman" w:hAnsi="Times New Roman"/>
          <w:color w:val="00548C"/>
          <w:sz w:val="24"/>
          <w:szCs w:val="24"/>
        </w:rPr>
        <w:t>07/2</w:t>
      </w:r>
      <w:r w:rsidR="00685074">
        <w:rPr>
          <w:rFonts w:ascii="Times New Roman" w:hAnsi="Times New Roman"/>
          <w:color w:val="00548C"/>
          <w:sz w:val="24"/>
          <w:szCs w:val="24"/>
        </w:rPr>
        <w:t>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719C5ED2" w14:textId="1295C81A" w:rsidR="00C73CF5" w:rsidRDefault="00C73CF5" w:rsidP="00B8063A">
      <w:pPr>
        <w:pStyle w:val="NormalWeb"/>
        <w:tabs>
          <w:tab w:val="left" w:pos="1425"/>
        </w:tabs>
        <w:spacing w:before="0" w:beforeAutospacing="0" w:after="0" w:afterAutospacing="0"/>
        <w:rPr>
          <w:rStyle w:val="Strong"/>
          <w:rFonts w:ascii="Times New Roman" w:hAnsi="Times New Roman" w:cs="Times New Roman"/>
          <w:b w:val="0"/>
          <w:bCs w:val="0"/>
          <w:u w:val="single"/>
        </w:rPr>
      </w:pPr>
    </w:p>
    <w:p w14:paraId="16EE8073" w14:textId="77777777" w:rsidR="00583376" w:rsidRPr="0010059F" w:rsidRDefault="00583376" w:rsidP="0010059F">
      <w:pPr>
        <w:pStyle w:val="Heading1"/>
        <w:rPr>
          <w:sz w:val="24"/>
        </w:rPr>
      </w:pPr>
      <w:r w:rsidRPr="0010059F">
        <w:rPr>
          <w:sz w:val="24"/>
        </w:rPr>
        <w:t xml:space="preserve">Description </w:t>
      </w:r>
    </w:p>
    <w:p w14:paraId="7BEDE563" w14:textId="2B0CE400" w:rsidR="005D7B81" w:rsidRDefault="003C37CD" w:rsidP="00196935">
      <w:r w:rsidRPr="006744F1">
        <w:t xml:space="preserve">Treatment for sacroiliac joint </w:t>
      </w:r>
      <w:r>
        <w:t xml:space="preserve">(SIJ) </w:t>
      </w:r>
      <w:r w:rsidR="000B0698">
        <w:t xml:space="preserve">pain and </w:t>
      </w:r>
      <w:r w:rsidRPr="006744F1">
        <w:t xml:space="preserve">dysfunction is usually conservative (non-surgical) and focuses on </w:t>
      </w:r>
      <w:r w:rsidR="000B0698">
        <w:t>pain relief</w:t>
      </w:r>
      <w:r w:rsidRPr="006744F1">
        <w:t xml:space="preserve">. In patients who have </w:t>
      </w:r>
      <w:r>
        <w:t>failed t</w:t>
      </w:r>
      <w:r w:rsidRPr="006744F1">
        <w:t>o respond to conservative therapy, a</w:t>
      </w:r>
      <w:r>
        <w:t>n</w:t>
      </w:r>
      <w:r w:rsidRPr="006744F1">
        <w:t xml:space="preserve"> SIJ injection can be helpful for both diagnostic and therapeutic purposes. SIJ injections into the synovial sac of the SIJ may provide immediate and significant pain relief. </w:t>
      </w:r>
    </w:p>
    <w:p w14:paraId="14F8E1D9" w14:textId="77777777" w:rsidR="00345E7D" w:rsidRDefault="00345E7D" w:rsidP="00196935"/>
    <w:p w14:paraId="202C422C" w14:textId="7080A7AC" w:rsidR="00345E7D" w:rsidRPr="00145C81" w:rsidRDefault="00345E7D" w:rsidP="00196935">
      <w:pPr>
        <w:rPr>
          <w:i/>
          <w:iCs/>
        </w:rPr>
      </w:pPr>
      <w:r w:rsidRPr="00145C81">
        <w:rPr>
          <w:i/>
          <w:iCs/>
        </w:rPr>
        <w:t>Note: For criteria applicable to Medicare plans, please see MC.CP.MP.166 Sacroiliac Joint Interventions</w:t>
      </w:r>
      <w:r w:rsidR="006C721C" w:rsidRPr="00145C81">
        <w:rPr>
          <w:i/>
          <w:iCs/>
        </w:rPr>
        <w:t>.</w:t>
      </w:r>
    </w:p>
    <w:p w14:paraId="1B835D7A" w14:textId="77777777" w:rsidR="009F4A99" w:rsidRDefault="009F4A99" w:rsidP="00196935"/>
    <w:p w14:paraId="71DBFAE6" w14:textId="6D5235CA" w:rsidR="00E70D15" w:rsidRPr="00E70D15" w:rsidRDefault="00583376" w:rsidP="00E70D15">
      <w:pPr>
        <w:pStyle w:val="Heading2"/>
        <w:rPr>
          <w:u w:val="none"/>
        </w:rPr>
      </w:pPr>
      <w:r w:rsidRPr="00B777AF">
        <w:rPr>
          <w:u w:val="none"/>
        </w:rPr>
        <w:t>Policy/Criteria</w:t>
      </w:r>
    </w:p>
    <w:p w14:paraId="13AC5BB0" w14:textId="374E2014" w:rsidR="002C5885" w:rsidRPr="00BE641A" w:rsidRDefault="00E70D15" w:rsidP="006C4B02">
      <w:pPr>
        <w:numPr>
          <w:ilvl w:val="0"/>
          <w:numId w:val="27"/>
        </w:numPr>
        <w:rPr>
          <w:bCs/>
          <w:i/>
          <w:iCs/>
        </w:rPr>
      </w:pPr>
      <w:r w:rsidRPr="00466DD8">
        <w:rPr>
          <w:bCs/>
          <w:color w:val="000000"/>
        </w:rPr>
        <w:t>It is the policy of health plans affiliated with Centene Corporation</w:t>
      </w:r>
      <w:r w:rsidRPr="002A0980">
        <w:rPr>
          <w:bCs/>
          <w:color w:val="000000"/>
          <w:vertAlign w:val="superscript"/>
        </w:rPr>
        <w:t>®</w:t>
      </w:r>
      <w:r w:rsidRPr="00466DD8">
        <w:rPr>
          <w:bCs/>
          <w:color w:val="000000"/>
        </w:rPr>
        <w:t xml:space="preserve"> that invasive pain management </w:t>
      </w:r>
      <w:r w:rsidRPr="00BE641A">
        <w:rPr>
          <w:bCs/>
        </w:rPr>
        <w:t xml:space="preserve">procedures performed by a physician are </w:t>
      </w:r>
      <w:r w:rsidRPr="00BE641A">
        <w:rPr>
          <w:b/>
        </w:rPr>
        <w:t>medically necessary</w:t>
      </w:r>
      <w:r w:rsidRPr="00BE641A">
        <w:rPr>
          <w:bCs/>
        </w:rPr>
        <w:t xml:space="preserve"> </w:t>
      </w:r>
      <w:r w:rsidRPr="00BE641A">
        <w:rPr>
          <w:bCs/>
          <w:i/>
          <w:iCs/>
        </w:rPr>
        <w:t xml:space="preserve">when the relevant criteria are met and the </w:t>
      </w:r>
      <w:r w:rsidR="00A42A94" w:rsidRPr="00BE641A">
        <w:rPr>
          <w:bCs/>
          <w:i/>
          <w:iCs/>
        </w:rPr>
        <w:t>member</w:t>
      </w:r>
      <w:r w:rsidR="00DF2704" w:rsidRPr="00BE641A">
        <w:rPr>
          <w:bCs/>
          <w:i/>
          <w:iCs/>
        </w:rPr>
        <w:t>/enrollee</w:t>
      </w:r>
      <w:r w:rsidR="00A42A94" w:rsidRPr="00BE641A">
        <w:rPr>
          <w:bCs/>
          <w:i/>
          <w:iCs/>
        </w:rPr>
        <w:t xml:space="preserve"> </w:t>
      </w:r>
      <w:r w:rsidRPr="00BE641A">
        <w:rPr>
          <w:bCs/>
          <w:i/>
          <w:iCs/>
        </w:rPr>
        <w:t xml:space="preserve">receives only one procedure per visit, with </w:t>
      </w:r>
      <w:r w:rsidR="00192B51" w:rsidRPr="00BE641A">
        <w:rPr>
          <w:bCs/>
          <w:i/>
          <w:iCs/>
        </w:rPr>
        <w:t xml:space="preserve">fluoroscopic or computed tomography (CT) </w:t>
      </w:r>
      <w:r w:rsidRPr="00BE641A">
        <w:rPr>
          <w:bCs/>
          <w:i/>
          <w:iCs/>
        </w:rPr>
        <w:t xml:space="preserve">guidance.  </w:t>
      </w:r>
    </w:p>
    <w:p w14:paraId="2408CA9D" w14:textId="7117306E" w:rsidR="009A3E97" w:rsidRPr="00BE641A" w:rsidRDefault="00E70D15" w:rsidP="002D02D4">
      <w:pPr>
        <w:numPr>
          <w:ilvl w:val="1"/>
          <w:numId w:val="27"/>
        </w:numPr>
        <w:ind w:left="720"/>
      </w:pPr>
      <w:r w:rsidRPr="00BE641A">
        <w:t>S</w:t>
      </w:r>
      <w:r w:rsidR="000613C1" w:rsidRPr="00BE641A">
        <w:t>acroiliac joint in</w:t>
      </w:r>
      <w:r w:rsidR="00927FB5" w:rsidRPr="00BE641A">
        <w:t>jections</w:t>
      </w:r>
      <w:r w:rsidR="009D5928" w:rsidRPr="00BE641A">
        <w:t xml:space="preserve"> </w:t>
      </w:r>
      <w:r w:rsidR="000613C1" w:rsidRPr="00BE641A">
        <w:t>are</w:t>
      </w:r>
      <w:r w:rsidR="00C96847" w:rsidRPr="00BE641A">
        <w:t xml:space="preserve"> medically necessary </w:t>
      </w:r>
      <w:r w:rsidR="009D5928" w:rsidRPr="00BE641A">
        <w:t>for the following indications</w:t>
      </w:r>
      <w:r w:rsidR="00C96847" w:rsidRPr="00BE641A">
        <w:t>:</w:t>
      </w:r>
    </w:p>
    <w:p w14:paraId="461BDC3C" w14:textId="07E8AA9A" w:rsidR="000613C1" w:rsidRPr="00BE641A" w:rsidRDefault="000613C1" w:rsidP="009A23D6">
      <w:pPr>
        <w:numPr>
          <w:ilvl w:val="2"/>
          <w:numId w:val="27"/>
        </w:numPr>
        <w:ind w:left="1080" w:hanging="360"/>
      </w:pPr>
      <w:r w:rsidRPr="00BE641A">
        <w:rPr>
          <w:i/>
          <w:iCs/>
        </w:rPr>
        <w:t xml:space="preserve">One diagnostic </w:t>
      </w:r>
      <w:r w:rsidR="009472FC" w:rsidRPr="00BE641A">
        <w:rPr>
          <w:i/>
          <w:iCs/>
        </w:rPr>
        <w:t xml:space="preserve">or therapeutic </w:t>
      </w:r>
      <w:r w:rsidRPr="00BE641A">
        <w:rPr>
          <w:i/>
          <w:iCs/>
        </w:rPr>
        <w:t>sacroiliac joint (SIJ) injection</w:t>
      </w:r>
      <w:r w:rsidRPr="00BE641A">
        <w:t xml:space="preserve"> for SIJ pain</w:t>
      </w:r>
      <w:r w:rsidR="00DA3CE0" w:rsidRPr="00BE641A">
        <w:t>, all of the following</w:t>
      </w:r>
      <w:r w:rsidRPr="00BE641A">
        <w:t>:</w:t>
      </w:r>
    </w:p>
    <w:p w14:paraId="35DCCC67" w14:textId="0115845A" w:rsidR="000613C1" w:rsidRPr="00BE641A" w:rsidRDefault="000613C1" w:rsidP="009A23D6">
      <w:pPr>
        <w:numPr>
          <w:ilvl w:val="0"/>
          <w:numId w:val="28"/>
        </w:numPr>
      </w:pPr>
      <w:r w:rsidRPr="00BE641A">
        <w:t xml:space="preserve">Somatic or </w:t>
      </w:r>
      <w:proofErr w:type="spellStart"/>
      <w:r w:rsidRPr="00BE641A">
        <w:t>nonradicular</w:t>
      </w:r>
      <w:proofErr w:type="spellEnd"/>
      <w:r w:rsidRPr="00BE641A">
        <w:t xml:space="preserve"> low back and lower extremity pain below the level of L5 vertebra that interferes with </w:t>
      </w:r>
      <w:r w:rsidR="006969B2" w:rsidRPr="00BE641A">
        <w:t>activities of daily living (</w:t>
      </w:r>
      <w:r w:rsidRPr="00BE641A">
        <w:t>ADLs</w:t>
      </w:r>
      <w:r w:rsidR="006969B2" w:rsidRPr="00BE641A">
        <w:t>)</w:t>
      </w:r>
      <w:r w:rsidRPr="00BE641A">
        <w:t xml:space="preserve"> for at least</w:t>
      </w:r>
      <w:r w:rsidR="00E05462" w:rsidRPr="00BE641A">
        <w:t xml:space="preserve"> three</w:t>
      </w:r>
      <w:r w:rsidRPr="00BE641A">
        <w:t xml:space="preserve"> months;</w:t>
      </w:r>
    </w:p>
    <w:p w14:paraId="729A66C1" w14:textId="77777777" w:rsidR="000613C1" w:rsidRPr="00BE641A" w:rsidRDefault="000613C1" w:rsidP="009A23D6">
      <w:pPr>
        <w:numPr>
          <w:ilvl w:val="0"/>
          <w:numId w:val="28"/>
        </w:numPr>
      </w:pPr>
      <w:r w:rsidRPr="00BE641A">
        <w:t>Tenderness by palpation present over SIJ;</w:t>
      </w:r>
    </w:p>
    <w:p w14:paraId="2864E410" w14:textId="1BD16C10" w:rsidR="000613C1" w:rsidRPr="001F7C3D" w:rsidRDefault="000613C1" w:rsidP="009A23D6">
      <w:pPr>
        <w:numPr>
          <w:ilvl w:val="0"/>
          <w:numId w:val="28"/>
        </w:numPr>
      </w:pPr>
      <w:r w:rsidRPr="00BE641A">
        <w:t>There is a positive response to at least three SIJ pain provocation tests (distraction, compression, thigh thrust</w:t>
      </w:r>
      <w:r w:rsidR="001E54FE" w:rsidRPr="00BE641A">
        <w:t>/</w:t>
      </w:r>
      <w:r w:rsidR="00EC4DF4" w:rsidRPr="00BE641A">
        <w:t>posterior pelvic pain provocation test</w:t>
      </w:r>
      <w:r w:rsidRPr="00BE641A">
        <w:t xml:space="preserve">, Gaenslen’s, </w:t>
      </w:r>
      <w:r w:rsidR="005F55B0" w:rsidRPr="00BE641A">
        <w:t xml:space="preserve">Patrick’s test/FABER test, </w:t>
      </w:r>
      <w:r w:rsidR="00191CB8" w:rsidRPr="00BE641A">
        <w:t xml:space="preserve">or </w:t>
      </w:r>
      <w:r w:rsidRPr="00BE641A">
        <w:t>sacral thrust</w:t>
      </w:r>
      <w:r w:rsidR="005138F5" w:rsidRPr="00BE641A">
        <w:t xml:space="preserve"> [thrust tests may not be recommended in pregnant </w:t>
      </w:r>
      <w:r w:rsidR="007575AD" w:rsidRPr="001F7C3D">
        <w:t>members/enrollees</w:t>
      </w:r>
      <w:r w:rsidR="005138F5" w:rsidRPr="001F7C3D">
        <w:t xml:space="preserve"> or those with connective tissue disorders]</w:t>
      </w:r>
      <w:r w:rsidRPr="001F7C3D">
        <w:t>;</w:t>
      </w:r>
    </w:p>
    <w:p w14:paraId="418E0DA8" w14:textId="5485D412" w:rsidR="000613C1" w:rsidRPr="001F7C3D" w:rsidRDefault="000613C1" w:rsidP="009A23D6">
      <w:pPr>
        <w:numPr>
          <w:ilvl w:val="0"/>
          <w:numId w:val="28"/>
        </w:numPr>
      </w:pPr>
      <w:r w:rsidRPr="001F7C3D">
        <w:t xml:space="preserve">The </w:t>
      </w:r>
      <w:r w:rsidR="008445B6" w:rsidRPr="001F7C3D">
        <w:t>member/enrollee</w:t>
      </w:r>
      <w:r w:rsidRPr="001F7C3D">
        <w:t xml:space="preserve"> has failed to respond to conservative therapy including all of the following: </w:t>
      </w:r>
    </w:p>
    <w:p w14:paraId="01AEC9B1" w14:textId="2875362B" w:rsidR="000613C1" w:rsidRPr="001F7C3D" w:rsidRDefault="00127896" w:rsidP="009A23D6">
      <w:pPr>
        <w:numPr>
          <w:ilvl w:val="4"/>
          <w:numId w:val="11"/>
        </w:numPr>
        <w:ind w:left="1800"/>
      </w:pPr>
      <w:r w:rsidRPr="001F7C3D">
        <w:t>C</w:t>
      </w:r>
      <w:r w:rsidR="000613C1" w:rsidRPr="001F7C3D">
        <w:t xml:space="preserve">hiropractic, physical </w:t>
      </w:r>
      <w:r w:rsidR="00802A0E" w:rsidRPr="001F7C3D">
        <w:t>therapy,</w:t>
      </w:r>
      <w:r w:rsidR="000613C1" w:rsidRPr="001F7C3D">
        <w:t xml:space="preserve"> or prescribed home exercise program</w:t>
      </w:r>
      <w:r w:rsidRPr="001F7C3D">
        <w:t xml:space="preserve"> ≥ </w:t>
      </w:r>
      <w:r w:rsidR="000157E6">
        <w:t>four</w:t>
      </w:r>
      <w:r w:rsidR="000157E6" w:rsidRPr="001F7C3D">
        <w:t xml:space="preserve"> </w:t>
      </w:r>
      <w:r w:rsidRPr="001F7C3D">
        <w:t>weeks</w:t>
      </w:r>
      <w:r w:rsidR="000613C1" w:rsidRPr="001F7C3D">
        <w:t>;</w:t>
      </w:r>
    </w:p>
    <w:p w14:paraId="297C2EBE" w14:textId="2D29FC74" w:rsidR="000613C1" w:rsidRPr="001F7C3D" w:rsidRDefault="006969B2" w:rsidP="009A23D6">
      <w:pPr>
        <w:numPr>
          <w:ilvl w:val="4"/>
          <w:numId w:val="11"/>
        </w:numPr>
        <w:ind w:left="1800"/>
      </w:pPr>
      <w:r w:rsidRPr="001F7C3D">
        <w:t>Nonsteroidal anti-inflammatory drugs (</w:t>
      </w:r>
      <w:r w:rsidR="000613C1" w:rsidRPr="001F7C3D">
        <w:t>NSAID</w:t>
      </w:r>
      <w:r w:rsidRPr="001F7C3D">
        <w:t>s)</w:t>
      </w:r>
      <w:r w:rsidR="000613C1" w:rsidRPr="001F7C3D">
        <w:t xml:space="preserve"> ≥ 3 weeks or NSAID</w:t>
      </w:r>
      <w:r w:rsidRPr="001F7C3D">
        <w:t>s</w:t>
      </w:r>
      <w:r w:rsidR="000613C1" w:rsidRPr="001F7C3D">
        <w:t xml:space="preserve"> contraindicated or not tolerated;</w:t>
      </w:r>
    </w:p>
    <w:p w14:paraId="1C1A05A5" w14:textId="63A416FF" w:rsidR="000613C1" w:rsidRPr="001F7C3D" w:rsidRDefault="00611926" w:rsidP="009A23D6">
      <w:pPr>
        <w:numPr>
          <w:ilvl w:val="4"/>
          <w:numId w:val="11"/>
        </w:numPr>
        <w:ind w:left="1800"/>
      </w:pPr>
      <w:r w:rsidRPr="001F7C3D">
        <w:t>A</w:t>
      </w:r>
      <w:r w:rsidR="000613C1" w:rsidRPr="001F7C3D">
        <w:t>ctivity modification</w:t>
      </w:r>
      <w:r w:rsidRPr="001F7C3D">
        <w:t xml:space="preserve"> ≥ </w:t>
      </w:r>
      <w:r w:rsidR="000157E6">
        <w:t>four</w:t>
      </w:r>
      <w:r w:rsidR="000157E6" w:rsidRPr="001F7C3D">
        <w:t xml:space="preserve"> </w:t>
      </w:r>
      <w:r w:rsidRPr="001F7C3D">
        <w:t>weeks</w:t>
      </w:r>
      <w:r w:rsidR="000613C1" w:rsidRPr="001F7C3D">
        <w:t>;</w:t>
      </w:r>
    </w:p>
    <w:p w14:paraId="2D575486" w14:textId="77777777" w:rsidR="000613C1" w:rsidRPr="001F7C3D" w:rsidRDefault="000613C1" w:rsidP="009A23D6">
      <w:pPr>
        <w:numPr>
          <w:ilvl w:val="0"/>
          <w:numId w:val="28"/>
        </w:numPr>
      </w:pPr>
      <w:r w:rsidRPr="001F7C3D">
        <w:t>Clinical findings and imaging studies, when available, lack obvious evidence for disc-related or facet joint pain;</w:t>
      </w:r>
    </w:p>
    <w:p w14:paraId="0A525A65" w14:textId="77777777" w:rsidR="000613C1" w:rsidRPr="009A23D6" w:rsidRDefault="000613C1" w:rsidP="009A23D6">
      <w:pPr>
        <w:numPr>
          <w:ilvl w:val="0"/>
          <w:numId w:val="28"/>
        </w:numPr>
      </w:pPr>
      <w:r w:rsidRPr="001F7C3D">
        <w:t>No other possible diagnosis is more likely</w:t>
      </w:r>
      <w:r>
        <w:t xml:space="preserve">. </w:t>
      </w:r>
    </w:p>
    <w:p w14:paraId="146293A2" w14:textId="77777777" w:rsidR="000613C1" w:rsidRPr="00FC1A07" w:rsidRDefault="000613C1" w:rsidP="000613C1">
      <w:pPr>
        <w:rPr>
          <w:b/>
          <w:bCs/>
        </w:rPr>
      </w:pPr>
    </w:p>
    <w:p w14:paraId="52C57B5B" w14:textId="7D40E223" w:rsidR="00927FB5" w:rsidRPr="0083190A" w:rsidRDefault="00927FB5" w:rsidP="009A23D6">
      <w:pPr>
        <w:numPr>
          <w:ilvl w:val="2"/>
          <w:numId w:val="27"/>
        </w:numPr>
        <w:ind w:left="1080" w:hanging="360"/>
      </w:pPr>
      <w:r w:rsidRPr="0083190A">
        <w:rPr>
          <w:i/>
          <w:iCs/>
        </w:rPr>
        <w:t xml:space="preserve">A second diagnostic </w:t>
      </w:r>
      <w:r w:rsidR="00C06EC5" w:rsidRPr="0083190A">
        <w:rPr>
          <w:i/>
          <w:iCs/>
        </w:rPr>
        <w:t>or confirmatory</w:t>
      </w:r>
      <w:r w:rsidR="00C06EC5" w:rsidRPr="009A23D6">
        <w:t xml:space="preserve"> </w:t>
      </w:r>
      <w:r w:rsidRPr="0083190A">
        <w:t>sacroiliac joint injection</w:t>
      </w:r>
      <w:r w:rsidR="006969B2" w:rsidRPr="0083190A">
        <w:t xml:space="preserve"> </w:t>
      </w:r>
      <w:r w:rsidR="00DB1032" w:rsidRPr="0083190A">
        <w:t>when</w:t>
      </w:r>
      <w:r w:rsidR="008E6388" w:rsidRPr="0083190A">
        <w:t xml:space="preserve"> </w:t>
      </w:r>
      <w:r w:rsidR="00DB1032" w:rsidRPr="0083190A">
        <w:t>pain</w:t>
      </w:r>
      <w:r w:rsidR="006969B2" w:rsidRPr="0083190A">
        <w:t xml:space="preserve"> </w:t>
      </w:r>
      <w:r w:rsidR="00C06EC5" w:rsidRPr="0083190A">
        <w:t xml:space="preserve">was improved by at least </w:t>
      </w:r>
      <w:r w:rsidR="000B480F" w:rsidRPr="0083190A">
        <w:t>75</w:t>
      </w:r>
      <w:r w:rsidR="00C06EC5" w:rsidRPr="0083190A">
        <w:t>%</w:t>
      </w:r>
      <w:r w:rsidR="00C06EC5" w:rsidRPr="009A23D6">
        <w:t xml:space="preserve"> </w:t>
      </w:r>
      <w:r w:rsidR="00C06EC5" w:rsidRPr="0083190A">
        <w:t xml:space="preserve">after the first diagnostic </w:t>
      </w:r>
      <w:r w:rsidR="006969B2" w:rsidRPr="0083190A">
        <w:t xml:space="preserve">SIJ injection and at least </w:t>
      </w:r>
      <w:r w:rsidR="002E28A7">
        <w:t>two</w:t>
      </w:r>
      <w:r w:rsidR="006969B2" w:rsidRPr="0083190A">
        <w:t xml:space="preserve"> weeks have passed since the initial injection.</w:t>
      </w:r>
    </w:p>
    <w:p w14:paraId="49A33C13" w14:textId="77777777" w:rsidR="0097108A" w:rsidRDefault="0097108A" w:rsidP="00487E6B"/>
    <w:p w14:paraId="3ED1BAF5" w14:textId="66929AF3" w:rsidR="0097108A" w:rsidRPr="009E19A8" w:rsidRDefault="006969B2" w:rsidP="009A23D6">
      <w:pPr>
        <w:numPr>
          <w:ilvl w:val="2"/>
          <w:numId w:val="27"/>
        </w:numPr>
        <w:ind w:left="1080" w:hanging="360"/>
      </w:pPr>
      <w:r w:rsidRPr="009E19A8">
        <w:rPr>
          <w:i/>
          <w:iCs/>
        </w:rPr>
        <w:t xml:space="preserve">Subsequent </w:t>
      </w:r>
      <w:r w:rsidR="00C06EC5" w:rsidRPr="009E19A8">
        <w:rPr>
          <w:i/>
          <w:iCs/>
        </w:rPr>
        <w:t xml:space="preserve">therapeutic </w:t>
      </w:r>
      <w:r w:rsidR="000613C1" w:rsidRPr="009E19A8">
        <w:rPr>
          <w:i/>
          <w:iCs/>
        </w:rPr>
        <w:t>SIJ injections</w:t>
      </w:r>
      <w:r w:rsidRPr="009A23D6">
        <w:t xml:space="preserve"> </w:t>
      </w:r>
      <w:r w:rsidRPr="009E19A8">
        <w:t xml:space="preserve">for </w:t>
      </w:r>
      <w:r w:rsidR="00DB1032" w:rsidRPr="009E19A8">
        <w:t>re</w:t>
      </w:r>
      <w:r w:rsidRPr="009E19A8">
        <w:t>currence of pain</w:t>
      </w:r>
      <w:r w:rsidR="0097108A" w:rsidRPr="009E19A8">
        <w:t>, all of the following:</w:t>
      </w:r>
    </w:p>
    <w:p w14:paraId="381C65D7" w14:textId="5760A04B" w:rsidR="000613C1" w:rsidRPr="00A62143" w:rsidRDefault="00DB1032" w:rsidP="009A23D6">
      <w:pPr>
        <w:numPr>
          <w:ilvl w:val="0"/>
          <w:numId w:val="29"/>
        </w:numPr>
      </w:pPr>
      <w:r>
        <w:t xml:space="preserve">Initial </w:t>
      </w:r>
      <w:r w:rsidR="000B480F">
        <w:t xml:space="preserve">therapeutic </w:t>
      </w:r>
      <w:r>
        <w:t xml:space="preserve">injection(s) led </w:t>
      </w:r>
      <w:bookmarkStart w:id="0" w:name="_Hlk110940765"/>
      <w:r>
        <w:t>to</w:t>
      </w:r>
      <w:r w:rsidR="000613C1" w:rsidRPr="00FC1A07">
        <w:t xml:space="preserve"> ≥ 50% relief</w:t>
      </w:r>
      <w:r w:rsidR="006969B2">
        <w:t xml:space="preserve"> and functional improvement</w:t>
      </w:r>
      <w:r w:rsidR="000613C1" w:rsidRPr="00FC1A07">
        <w:t xml:space="preserve"> </w:t>
      </w:r>
      <w:bookmarkEnd w:id="0"/>
      <w:r w:rsidR="000613C1" w:rsidRPr="00FC1A07">
        <w:t xml:space="preserve">for </w:t>
      </w:r>
      <w:r w:rsidR="000613C1">
        <w:t xml:space="preserve">at least </w:t>
      </w:r>
      <w:r w:rsidR="00771829">
        <w:t>two</w:t>
      </w:r>
      <w:r w:rsidR="000613C1">
        <w:t xml:space="preserve"> months</w:t>
      </w:r>
      <w:r w:rsidR="000613C1" w:rsidRPr="00FC1A07">
        <w:t>;</w:t>
      </w:r>
    </w:p>
    <w:p w14:paraId="347BC844" w14:textId="011EFEC4" w:rsidR="000613C1" w:rsidRPr="00FC1A07" w:rsidRDefault="0097108A" w:rsidP="009A23D6">
      <w:pPr>
        <w:numPr>
          <w:ilvl w:val="0"/>
          <w:numId w:val="29"/>
        </w:numPr>
      </w:pPr>
      <w:r>
        <w:t xml:space="preserve">Request is for SIJ </w:t>
      </w:r>
      <w:r w:rsidR="00436752">
        <w:t xml:space="preserve">injection </w:t>
      </w:r>
      <w:r>
        <w:t>a</w:t>
      </w:r>
      <w:r w:rsidR="000613C1">
        <w:t>dministered</w:t>
      </w:r>
      <w:r w:rsidR="000613C1" w:rsidRPr="00A62143">
        <w:t xml:space="preserve"> for temporary relief of lower back pain in conjunction with other noninvasive treatment methods (e.g., to participate in physical therapy), and not as a stand-alone therapy</w:t>
      </w:r>
      <w:r w:rsidR="000613C1">
        <w:t>;</w:t>
      </w:r>
    </w:p>
    <w:p w14:paraId="0BBEA668" w14:textId="23FB4D83" w:rsidR="000613C1" w:rsidRPr="00FC1A07" w:rsidRDefault="000613C1" w:rsidP="009A23D6">
      <w:pPr>
        <w:numPr>
          <w:ilvl w:val="0"/>
          <w:numId w:val="29"/>
        </w:numPr>
      </w:pPr>
      <w:r>
        <w:t>SIJ injection is</w:t>
      </w:r>
      <w:r w:rsidRPr="00FC1A07">
        <w:t xml:space="preserve"> given </w:t>
      </w:r>
      <w:r>
        <w:t xml:space="preserve">at intervals </w:t>
      </w:r>
      <w:r w:rsidR="0097108A">
        <w:t>at least</w:t>
      </w:r>
      <w:r>
        <w:t xml:space="preserve"> </w:t>
      </w:r>
      <w:r w:rsidR="00C47271">
        <w:t>two</w:t>
      </w:r>
      <w:r>
        <w:t xml:space="preserve"> months</w:t>
      </w:r>
      <w:r w:rsidR="0097108A">
        <w:t xml:space="preserve"> apart</w:t>
      </w:r>
      <w:r>
        <w:t>;</w:t>
      </w:r>
    </w:p>
    <w:p w14:paraId="7C8558B8" w14:textId="0583B884" w:rsidR="000613C1" w:rsidRDefault="0097108A" w:rsidP="009A23D6">
      <w:pPr>
        <w:numPr>
          <w:ilvl w:val="0"/>
          <w:numId w:val="29"/>
        </w:numPr>
      </w:pPr>
      <w:r>
        <w:t xml:space="preserve">Less than </w:t>
      </w:r>
      <w:r w:rsidR="00480E08">
        <w:t>four</w:t>
      </w:r>
      <w:r>
        <w:t xml:space="preserve"> therapeutic SIJ injections have been given at the same site in the last 12 months.</w:t>
      </w:r>
    </w:p>
    <w:p w14:paraId="613E797C" w14:textId="5911C3DC" w:rsidR="00927FB5" w:rsidRDefault="00927FB5" w:rsidP="000613C1">
      <w:pPr>
        <w:ind w:left="1440"/>
      </w:pPr>
    </w:p>
    <w:p w14:paraId="33AA8DB1" w14:textId="70F087ED" w:rsidR="00927FB5" w:rsidRPr="00927FB5" w:rsidRDefault="00927FB5" w:rsidP="009A23D6">
      <w:pPr>
        <w:pStyle w:val="ListParagraph"/>
        <w:numPr>
          <w:ilvl w:val="0"/>
          <w:numId w:val="27"/>
        </w:numPr>
        <w:tabs>
          <w:tab w:val="left" w:pos="360"/>
        </w:tabs>
        <w:rPr>
          <w:bCs/>
        </w:rPr>
      </w:pPr>
      <w:r>
        <w:t>It is the policy of healt</w:t>
      </w:r>
      <w:r w:rsidRPr="00FB2382">
        <w:t>h plans affiliated with Centene Corporation</w:t>
      </w:r>
      <w:r>
        <w:rPr>
          <w:i/>
        </w:rPr>
        <w:t xml:space="preserve"> </w:t>
      </w:r>
      <w:r w:rsidR="0097108A">
        <w:t>that if pain does not improve</w:t>
      </w:r>
      <w:r w:rsidR="00BF13AC">
        <w:t xml:space="preserve"> by </w:t>
      </w:r>
      <w:r w:rsidR="00BF13AC" w:rsidRPr="00FC1A07">
        <w:t xml:space="preserve">≥ </w:t>
      </w:r>
      <w:r w:rsidR="000B480F">
        <w:t>75</w:t>
      </w:r>
      <w:r w:rsidR="00BF13AC" w:rsidRPr="00FC1A07">
        <w:t>%</w:t>
      </w:r>
      <w:r w:rsidRPr="00927FB5">
        <w:rPr>
          <w:bCs/>
        </w:rPr>
        <w:t xml:space="preserve"> after the </w:t>
      </w:r>
      <w:r w:rsidR="00BF13AC">
        <w:rPr>
          <w:bCs/>
        </w:rPr>
        <w:t xml:space="preserve">second </w:t>
      </w:r>
      <w:r w:rsidR="0097108A">
        <w:rPr>
          <w:bCs/>
        </w:rPr>
        <w:t>diagnostic SIJ</w:t>
      </w:r>
      <w:r w:rsidRPr="00927FB5">
        <w:rPr>
          <w:bCs/>
        </w:rPr>
        <w:t xml:space="preserve"> injection, </w:t>
      </w:r>
      <w:r w:rsidRPr="0097108A">
        <w:rPr>
          <w:bCs/>
          <w:i/>
        </w:rPr>
        <w:t xml:space="preserve">subsequent </w:t>
      </w:r>
      <w:r w:rsidR="0097108A">
        <w:rPr>
          <w:bCs/>
          <w:i/>
        </w:rPr>
        <w:t>SIJ injections</w:t>
      </w:r>
      <w:r w:rsidRPr="00927FB5">
        <w:rPr>
          <w:bCs/>
        </w:rPr>
        <w:t xml:space="preserve"> are </w:t>
      </w:r>
      <w:r w:rsidRPr="00927FB5">
        <w:rPr>
          <w:b/>
          <w:bCs/>
        </w:rPr>
        <w:t>not medically necessary</w:t>
      </w:r>
      <w:r w:rsidRPr="00927FB5">
        <w:rPr>
          <w:bCs/>
        </w:rPr>
        <w:t xml:space="preserve"> because effectiveness has not been established.</w:t>
      </w:r>
    </w:p>
    <w:p w14:paraId="1993B1E8" w14:textId="77777777" w:rsidR="00927FB5" w:rsidRDefault="00927FB5" w:rsidP="000613C1">
      <w:pPr>
        <w:ind w:left="1440"/>
      </w:pPr>
    </w:p>
    <w:p w14:paraId="24724BEF" w14:textId="0826AE4B" w:rsidR="00E61B11" w:rsidRPr="001F3557" w:rsidRDefault="0097108A" w:rsidP="00435713">
      <w:pPr>
        <w:numPr>
          <w:ilvl w:val="0"/>
          <w:numId w:val="27"/>
        </w:numPr>
        <w:tabs>
          <w:tab w:val="left" w:pos="360"/>
        </w:tabs>
      </w:pPr>
      <w:r>
        <w:t>It is the policy of healt</w:t>
      </w:r>
      <w:r w:rsidRPr="00FB2382">
        <w:t>h plans affiliated with Centene Corporation</w:t>
      </w:r>
      <w:r>
        <w:rPr>
          <w:i/>
        </w:rPr>
        <w:t xml:space="preserve"> </w:t>
      </w:r>
      <w:r>
        <w:t>that c</w:t>
      </w:r>
      <w:r w:rsidR="000613C1">
        <w:rPr>
          <w:i/>
        </w:rPr>
        <w:t>ontinuation of</w:t>
      </w:r>
      <w:r w:rsidR="000613C1" w:rsidRPr="00076437">
        <w:rPr>
          <w:i/>
        </w:rPr>
        <w:t xml:space="preserve"> injections</w:t>
      </w:r>
      <w:r w:rsidR="000613C1" w:rsidRPr="00FC1A07">
        <w:t xml:space="preserve"> </w:t>
      </w:r>
      <w:r w:rsidR="000613C1">
        <w:t>beyond</w:t>
      </w:r>
      <w:r w:rsidR="000613C1" w:rsidRPr="00FC1A07">
        <w:t xml:space="preserve"> 12 months</w:t>
      </w:r>
      <w:r w:rsidR="000613C1">
        <w:t xml:space="preserve"> is</w:t>
      </w:r>
      <w:r w:rsidR="000613C1" w:rsidRPr="00FC1A07">
        <w:t xml:space="preserve"> </w:t>
      </w:r>
      <w:r w:rsidR="000613C1">
        <w:t xml:space="preserve">considered </w:t>
      </w:r>
      <w:r w:rsidR="000613C1">
        <w:rPr>
          <w:b/>
        </w:rPr>
        <w:t>not medically necessary</w:t>
      </w:r>
      <w:r w:rsidR="000613C1" w:rsidRPr="00FC1A07">
        <w:t xml:space="preserve"> </w:t>
      </w:r>
      <w:r w:rsidR="000613C1">
        <w:rPr>
          <w:bCs/>
        </w:rPr>
        <w:t>because effectiveness and safety ha</w:t>
      </w:r>
      <w:r w:rsidR="00DB1032">
        <w:rPr>
          <w:bCs/>
        </w:rPr>
        <w:t>ve</w:t>
      </w:r>
      <w:r w:rsidR="000613C1">
        <w:rPr>
          <w:bCs/>
        </w:rPr>
        <w:t xml:space="preserve"> not been established</w:t>
      </w:r>
      <w:r w:rsidR="000613C1" w:rsidRPr="00FC1A07">
        <w:rPr>
          <w:bCs/>
        </w:rPr>
        <w:t>.</w:t>
      </w:r>
      <w:r w:rsidR="000613C1">
        <w:rPr>
          <w:bCs/>
        </w:rPr>
        <w:t xml:space="preserve"> When more definitive therapies cannot be tolerated or provided, consideration will be made on a </w:t>
      </w:r>
      <w:r w:rsidR="00274B03">
        <w:rPr>
          <w:bCs/>
        </w:rPr>
        <w:t>case-by-case</w:t>
      </w:r>
      <w:r w:rsidR="000613C1">
        <w:rPr>
          <w:bCs/>
        </w:rPr>
        <w:t xml:space="preserve"> basis.</w:t>
      </w:r>
      <w:r w:rsidR="0022240C">
        <w:rPr>
          <w:bCs/>
        </w:rPr>
        <w:t xml:space="preserve"> </w:t>
      </w:r>
    </w:p>
    <w:p w14:paraId="0A96371C" w14:textId="77777777" w:rsidR="00E61B11" w:rsidRDefault="00E61B11" w:rsidP="00103475">
      <w:pPr>
        <w:tabs>
          <w:tab w:val="left" w:pos="360"/>
        </w:tabs>
      </w:pPr>
    </w:p>
    <w:p w14:paraId="6FFA6B77" w14:textId="117E41D7" w:rsidR="00FC1F9A" w:rsidRDefault="00FC1F9A" w:rsidP="009A23D6">
      <w:pPr>
        <w:pStyle w:val="ListParagraph"/>
        <w:numPr>
          <w:ilvl w:val="0"/>
          <w:numId w:val="27"/>
        </w:numPr>
        <w:tabs>
          <w:tab w:val="left" w:pos="360"/>
        </w:tabs>
      </w:pPr>
      <w:r>
        <w:t>It is the policy of healt</w:t>
      </w:r>
      <w:r w:rsidRPr="00FB2382">
        <w:t>h plans affiliated with Centene Corporation</w:t>
      </w:r>
      <w:r w:rsidRPr="00FC1F9A">
        <w:rPr>
          <w:i/>
        </w:rPr>
        <w:t xml:space="preserve"> </w:t>
      </w:r>
      <w:r>
        <w:t xml:space="preserve">that </w:t>
      </w:r>
      <w:r w:rsidRPr="00FC1F9A">
        <w:rPr>
          <w:i/>
        </w:rPr>
        <w:t>sacroiliac nerve blocks</w:t>
      </w:r>
      <w:r>
        <w:t xml:space="preserve"> are</w:t>
      </w:r>
      <w:r w:rsidRPr="0024068F">
        <w:t xml:space="preserve"> considered </w:t>
      </w:r>
      <w:r w:rsidRPr="00FC1F9A">
        <w:rPr>
          <w:b/>
        </w:rPr>
        <w:t>not medically necessary</w:t>
      </w:r>
      <w:r w:rsidRPr="00FC1A07">
        <w:t xml:space="preserve"> </w:t>
      </w:r>
      <w:r>
        <w:t>because effectiveness has not been established.</w:t>
      </w:r>
    </w:p>
    <w:p w14:paraId="6AFE8F87" w14:textId="77777777" w:rsidR="00FC1F9A" w:rsidRPr="0024068F" w:rsidRDefault="00FC1F9A" w:rsidP="00103475">
      <w:pPr>
        <w:tabs>
          <w:tab w:val="left" w:pos="360"/>
        </w:tabs>
      </w:pPr>
    </w:p>
    <w:p w14:paraId="5333BBF6" w14:textId="37618C30" w:rsidR="00E37776" w:rsidRPr="00FC1A07" w:rsidRDefault="0097108A" w:rsidP="00DD1B55">
      <w:pPr>
        <w:numPr>
          <w:ilvl w:val="0"/>
          <w:numId w:val="27"/>
        </w:numPr>
        <w:tabs>
          <w:tab w:val="left" w:pos="360"/>
        </w:tabs>
      </w:pPr>
      <w:r>
        <w:t>It is the policy of healt</w:t>
      </w:r>
      <w:r w:rsidRPr="00FB2382">
        <w:t>h plans affiliated with Centene Corporation</w:t>
      </w:r>
      <w:r>
        <w:rPr>
          <w:i/>
        </w:rPr>
        <w:t xml:space="preserve"> </w:t>
      </w:r>
      <w:r>
        <w:t>that r</w:t>
      </w:r>
      <w:r w:rsidR="000613C1" w:rsidRPr="0024068F">
        <w:rPr>
          <w:i/>
        </w:rPr>
        <w:t>adiofrequency neurotomy</w:t>
      </w:r>
      <w:r w:rsidR="000613C1" w:rsidRPr="0024068F">
        <w:t xml:space="preserve"> </w:t>
      </w:r>
      <w:r w:rsidR="000613C1" w:rsidRPr="00932E40">
        <w:rPr>
          <w:i/>
        </w:rPr>
        <w:t>(conventional, cooled, and pulsed)</w:t>
      </w:r>
      <w:r w:rsidR="000613C1">
        <w:t xml:space="preserve"> of the SIJ </w:t>
      </w:r>
      <w:r w:rsidR="000613C1" w:rsidRPr="0024068F">
        <w:t xml:space="preserve">is considered </w:t>
      </w:r>
      <w:r w:rsidR="000613C1">
        <w:rPr>
          <w:b/>
        </w:rPr>
        <w:t>not medically necessary</w:t>
      </w:r>
      <w:r w:rsidR="000613C1" w:rsidRPr="00FC1A07">
        <w:t xml:space="preserve"> </w:t>
      </w:r>
      <w:r w:rsidR="000613C1">
        <w:t>because effectiveness has not been established. High-quality studies are lacking for conventional and pulsed radiofrequency neurotomy of the SIJ. For cooled radiofrequency neurotomy, additional well-designed studies are needed to evaluate effectiveness</w:t>
      </w:r>
      <w:r w:rsidR="00572C78">
        <w:t xml:space="preserve">. </w:t>
      </w:r>
      <w:r w:rsidR="00E5684D">
        <w:t xml:space="preserve"> </w:t>
      </w:r>
    </w:p>
    <w:p w14:paraId="27A86F41" w14:textId="6D34CE60" w:rsidR="00FB139B" w:rsidRDefault="00FB139B" w:rsidP="003840CC">
      <w:pPr>
        <w:rPr>
          <w:bCs/>
          <w:color w:val="000000"/>
        </w:rPr>
      </w:pPr>
    </w:p>
    <w:p w14:paraId="03C0E9B5" w14:textId="77777777" w:rsidR="00FB0592" w:rsidRDefault="00FB0592" w:rsidP="00FB0592">
      <w:pPr>
        <w:pStyle w:val="Heading2"/>
        <w:rPr>
          <w:u w:val="none"/>
        </w:rPr>
      </w:pPr>
      <w:r w:rsidRPr="00B777AF">
        <w:rPr>
          <w:u w:val="none"/>
        </w:rPr>
        <w:t>Background</w:t>
      </w:r>
    </w:p>
    <w:p w14:paraId="3FFE5EE9" w14:textId="15C4DEA1" w:rsidR="0007420A" w:rsidRPr="00B970E3" w:rsidRDefault="0007420A" w:rsidP="0007420A">
      <w:pPr>
        <w:rPr>
          <w:i/>
        </w:rPr>
      </w:pPr>
      <w:r w:rsidRPr="00516580">
        <w:rPr>
          <w:i/>
        </w:rPr>
        <w:t xml:space="preserve">Sacroiliac Joint </w:t>
      </w:r>
      <w:r w:rsidR="00DB1A75">
        <w:rPr>
          <w:i/>
        </w:rPr>
        <w:t xml:space="preserve">(SIJ) </w:t>
      </w:r>
      <w:r w:rsidRPr="00516580">
        <w:rPr>
          <w:i/>
        </w:rPr>
        <w:t>Injections</w:t>
      </w:r>
    </w:p>
    <w:p w14:paraId="1C8BDCED" w14:textId="0E939FD5" w:rsidR="0007420A" w:rsidRPr="000A14E0" w:rsidRDefault="00EB58FE" w:rsidP="0007420A">
      <w:pPr>
        <w:rPr>
          <w:vertAlign w:val="superscript"/>
        </w:rPr>
      </w:pPr>
      <w:r>
        <w:t xml:space="preserve">Low back pain is the leading </w:t>
      </w:r>
      <w:r w:rsidR="00414407">
        <w:t>cause of</w:t>
      </w:r>
      <w:r>
        <w:t xml:space="preserve"> </w:t>
      </w:r>
      <w:r w:rsidR="00414407">
        <w:t>disability</w:t>
      </w:r>
      <w:r w:rsidR="00CD0302">
        <w:t xml:space="preserve"> </w:t>
      </w:r>
      <w:r w:rsidR="00DD7967">
        <w:t xml:space="preserve">globally </w:t>
      </w:r>
      <w:r w:rsidR="00F23AF1">
        <w:t>with the sacroiliac joint</w:t>
      </w:r>
      <w:r w:rsidR="00D63286">
        <w:t xml:space="preserve"> (SI</w:t>
      </w:r>
      <w:r w:rsidR="008B62C8">
        <w:t>J)</w:t>
      </w:r>
      <w:r w:rsidR="00F23AF1">
        <w:t xml:space="preserve"> being an identifiable cause of </w:t>
      </w:r>
      <w:r w:rsidR="00DA25F5">
        <w:t xml:space="preserve">chronic low back pain in </w:t>
      </w:r>
      <w:r w:rsidR="00D754D5">
        <w:t>15 to 30% of patients.</w:t>
      </w:r>
      <w:r w:rsidR="00D754D5">
        <w:rPr>
          <w:vertAlign w:val="superscript"/>
        </w:rPr>
        <w:t>27</w:t>
      </w:r>
      <w:r w:rsidR="00F7638E">
        <w:rPr>
          <w:vertAlign w:val="superscript"/>
        </w:rPr>
        <w:t>,29</w:t>
      </w:r>
      <w:r>
        <w:t xml:space="preserve"> </w:t>
      </w:r>
      <w:r w:rsidR="0007420A" w:rsidRPr="00312F72">
        <w:t xml:space="preserve">Treatment for </w:t>
      </w:r>
      <w:r w:rsidR="00DB1A75">
        <w:t xml:space="preserve">SIJ </w:t>
      </w:r>
      <w:r w:rsidR="0007420A" w:rsidRPr="00312F72">
        <w:t>dysfunction</w:t>
      </w:r>
      <w:r w:rsidR="000B0698">
        <w:t xml:space="preserve"> and pain</w:t>
      </w:r>
      <w:r w:rsidR="0007420A" w:rsidRPr="00312F72">
        <w:t xml:space="preserve"> is usually conservative</w:t>
      </w:r>
      <w:r w:rsidR="000114D7">
        <w:t xml:space="preserve"> </w:t>
      </w:r>
      <w:r w:rsidR="0007420A" w:rsidRPr="00312F72">
        <w:t xml:space="preserve">and focuses on </w:t>
      </w:r>
      <w:r w:rsidR="000B0698">
        <w:t>pain relief</w:t>
      </w:r>
      <w:r w:rsidR="0007420A" w:rsidRPr="00312F72">
        <w:t xml:space="preserve">. In patients who have failed </w:t>
      </w:r>
      <w:r w:rsidR="002B103F">
        <w:t>four</w:t>
      </w:r>
      <w:r w:rsidR="0007420A" w:rsidRPr="00312F72">
        <w:t xml:space="preserve"> to </w:t>
      </w:r>
      <w:r w:rsidR="002B103F">
        <w:t>six</w:t>
      </w:r>
      <w:r w:rsidR="0007420A" w:rsidRPr="00312F72">
        <w:t xml:space="preserve"> weeks of a comprehensive exercise program, local icing, mobilization/manipulation and </w:t>
      </w:r>
      <w:r w:rsidR="00DB1A75">
        <w:t>nonsteroidal anti-inflammatory durgs (</w:t>
      </w:r>
      <w:r w:rsidR="0007420A">
        <w:t>NSAIDs</w:t>
      </w:r>
      <w:r w:rsidR="00DB1A75">
        <w:t>)</w:t>
      </w:r>
      <w:r w:rsidR="0007420A" w:rsidRPr="00312F72">
        <w:t>, a</w:t>
      </w:r>
      <w:r w:rsidR="0007420A">
        <w:t>n</w:t>
      </w:r>
      <w:r w:rsidR="0007420A" w:rsidRPr="00312F72">
        <w:t xml:space="preserve"> </w:t>
      </w:r>
      <w:r w:rsidR="0007420A">
        <w:t>SIJ</w:t>
      </w:r>
      <w:r w:rsidR="0007420A" w:rsidRPr="00312F72">
        <w:t xml:space="preserve"> injection can be helpful for both diagnostic and therapeutic purposes.</w:t>
      </w:r>
      <w:r w:rsidR="004F7A11">
        <w:rPr>
          <w:vertAlign w:val="superscript"/>
        </w:rPr>
        <w:t>8,29</w:t>
      </w:r>
      <w:r w:rsidR="0007420A" w:rsidRPr="00312F72">
        <w:t xml:space="preserve"> </w:t>
      </w:r>
      <w:r w:rsidR="00E45CF1">
        <w:t xml:space="preserve">The International </w:t>
      </w:r>
      <w:r w:rsidR="0030761B">
        <w:t>Association for the Study of Pain (IASP) advised</w:t>
      </w:r>
      <w:r w:rsidR="00262717">
        <w:t xml:space="preserve"> the following criteria for </w:t>
      </w:r>
      <w:r w:rsidR="00382658">
        <w:t>confirming</w:t>
      </w:r>
      <w:r w:rsidR="00BC158E">
        <w:t xml:space="preserve"> a diagnosis of SIJ pain:</w:t>
      </w:r>
      <w:r w:rsidR="00443332">
        <w:t xml:space="preserve"> pain is present in the SIJ region; </w:t>
      </w:r>
      <w:r w:rsidR="008651D8">
        <w:t xml:space="preserve">stressing the SIJ by performing clinical tests that are selective for the </w:t>
      </w:r>
      <w:r w:rsidR="00E67E46">
        <w:t xml:space="preserve">joint replicates the patient’s pain; and </w:t>
      </w:r>
      <w:r w:rsidR="0031711D">
        <w:t>selectively infiltrating the p</w:t>
      </w:r>
      <w:r w:rsidR="002335D3">
        <w:t>resumptive</w:t>
      </w:r>
      <w:r w:rsidR="0031711D">
        <w:t xml:space="preserve"> symptomatic joint with local anesthetic</w:t>
      </w:r>
      <w:r w:rsidR="001C2191">
        <w:t xml:space="preserve"> provides complete relief of the patient’s pain.</w:t>
      </w:r>
      <w:r w:rsidR="008438CB">
        <w:rPr>
          <w:vertAlign w:val="superscript"/>
        </w:rPr>
        <w:t>28</w:t>
      </w:r>
      <w:r w:rsidR="0030761B">
        <w:t xml:space="preserve"> </w:t>
      </w:r>
      <w:r w:rsidR="0007420A">
        <w:t>SIJ</w:t>
      </w:r>
      <w:r w:rsidR="0007420A" w:rsidRPr="00312F72">
        <w:t xml:space="preserve"> injections into the synovial sac of the </w:t>
      </w:r>
      <w:r w:rsidR="0007420A">
        <w:t>SIJ</w:t>
      </w:r>
      <w:r w:rsidR="0007420A" w:rsidRPr="00312F72">
        <w:t xml:space="preserve"> may provide immediate and sign</w:t>
      </w:r>
      <w:r w:rsidR="0007420A">
        <w:t xml:space="preserve">ificant pain relief. </w:t>
      </w:r>
      <w:r w:rsidR="0007420A" w:rsidRPr="00312F72">
        <w:t>Adding a steroid to the solution injected may reduce any inflammation that may exist within the joint(s) and result in a prolonged period of freedom from pain.</w:t>
      </w:r>
      <w:r w:rsidR="00363A71">
        <w:rPr>
          <w:vertAlign w:val="superscript"/>
        </w:rPr>
        <w:t>8</w:t>
      </w:r>
      <w:r w:rsidR="00646CF1">
        <w:rPr>
          <w:vertAlign w:val="superscript"/>
        </w:rPr>
        <w:t>,</w:t>
      </w:r>
      <w:r w:rsidR="00FF17D8">
        <w:rPr>
          <w:vertAlign w:val="superscript"/>
        </w:rPr>
        <w:t>29</w:t>
      </w:r>
    </w:p>
    <w:p w14:paraId="3CA72021" w14:textId="15D38585" w:rsidR="0007420A" w:rsidRDefault="0007420A" w:rsidP="0007420A"/>
    <w:p w14:paraId="59B1D430" w14:textId="506779AE" w:rsidR="00A55907" w:rsidRPr="000A14E0" w:rsidRDefault="00A16664" w:rsidP="0007420A">
      <w:r>
        <w:lastRenderedPageBreak/>
        <w:t xml:space="preserve">A study by Visser et al. </w:t>
      </w:r>
      <w:r w:rsidR="005D412A">
        <w:t>(</w:t>
      </w:r>
      <w:r w:rsidR="00194A6A">
        <w:t>2013</w:t>
      </w:r>
      <w:r w:rsidR="005D412A">
        <w:t xml:space="preserve">) </w:t>
      </w:r>
      <w:r>
        <w:t xml:space="preserve">evaluated the effect of manual therapy and physiotherapy versus SIJ injection for low back </w:t>
      </w:r>
      <w:r w:rsidR="00A63E27">
        <w:t xml:space="preserve">and leg </w:t>
      </w:r>
      <w:r>
        <w:t xml:space="preserve">pain using </w:t>
      </w:r>
      <w:r w:rsidR="0007420A" w:rsidRPr="00312F72">
        <w:t>a single-blinded randomized trial</w:t>
      </w:r>
      <w:r>
        <w:t xml:space="preserve"> of treatment for</w:t>
      </w:r>
      <w:r w:rsidR="0007420A" w:rsidRPr="00312F72">
        <w:t xml:space="preserve"> 51 patients with SIJ-related leg pain. The effect of the treatment was evaluated after </w:t>
      </w:r>
      <w:r w:rsidR="00C71710">
        <w:t>six</w:t>
      </w:r>
      <w:r w:rsidR="00C71710" w:rsidRPr="00312F72">
        <w:t xml:space="preserve"> </w:t>
      </w:r>
      <w:r w:rsidR="0007420A" w:rsidRPr="00312F72">
        <w:t>and 12 weeks.</w:t>
      </w:r>
      <w:r w:rsidR="0007420A">
        <w:t xml:space="preserve"> </w:t>
      </w:r>
      <w:r w:rsidR="0007420A" w:rsidRPr="00312F72">
        <w:t>Manual therapy had a significantly better success rate than physiotherapy (p = 0.003). The authors concluded in the small single-blinded prospective study</w:t>
      </w:r>
      <w:r w:rsidR="000A14D2">
        <w:t xml:space="preserve"> </w:t>
      </w:r>
      <w:r w:rsidR="006719D6">
        <w:t>that</w:t>
      </w:r>
      <w:r w:rsidR="0007420A" w:rsidRPr="00312F72">
        <w:t xml:space="preserve"> manual therapy appeared to be the choice of treatment for patients with SIJ-related leg pain.</w:t>
      </w:r>
      <w:r w:rsidR="00271C35">
        <w:rPr>
          <w:vertAlign w:val="superscript"/>
        </w:rPr>
        <w:t>1</w:t>
      </w:r>
      <w:r w:rsidR="0007420A" w:rsidRPr="00312F72">
        <w:t xml:space="preserve"> A second choice of treatment to be considered is an intra-articular injection.</w:t>
      </w:r>
      <w:r w:rsidR="00271C35">
        <w:rPr>
          <w:vertAlign w:val="superscript"/>
        </w:rPr>
        <w:t>1</w:t>
      </w:r>
      <w:r w:rsidR="00B56C24">
        <w:rPr>
          <w:vertAlign w:val="superscript"/>
        </w:rPr>
        <w:t>,22</w:t>
      </w:r>
      <w:r w:rsidR="00A63E27">
        <w:rPr>
          <w:vertAlign w:val="superscript"/>
        </w:rPr>
        <w:t xml:space="preserve"> </w:t>
      </w:r>
    </w:p>
    <w:p w14:paraId="2CBD4DD7" w14:textId="1C9ED30A" w:rsidR="009D5928" w:rsidRDefault="009D5928">
      <w:pPr>
        <w:rPr>
          <w:i/>
        </w:rPr>
      </w:pPr>
    </w:p>
    <w:p w14:paraId="6B47F06F" w14:textId="09118875" w:rsidR="001F3557" w:rsidRPr="00AA23B5" w:rsidRDefault="00534409" w:rsidP="00274B03">
      <w:pPr>
        <w:tabs>
          <w:tab w:val="left" w:pos="360"/>
        </w:tabs>
      </w:pPr>
      <w:r>
        <w:rPr>
          <w:bCs/>
        </w:rPr>
        <w:t>The recommended treatment duration</w:t>
      </w:r>
      <w:r w:rsidR="00E554CD">
        <w:rPr>
          <w:bCs/>
        </w:rPr>
        <w:t xml:space="preserve"> is generally no more than</w:t>
      </w:r>
      <w:r w:rsidR="00321945">
        <w:rPr>
          <w:bCs/>
        </w:rPr>
        <w:t xml:space="preserve"> four therapeutic SIJ injection sessions</w:t>
      </w:r>
      <w:r w:rsidR="0073139F">
        <w:rPr>
          <w:bCs/>
        </w:rPr>
        <w:t xml:space="preserve"> per rolling 12 months</w:t>
      </w:r>
      <w:r w:rsidR="001A1AFB">
        <w:rPr>
          <w:bCs/>
        </w:rPr>
        <w:t xml:space="preserve">; </w:t>
      </w:r>
      <w:r w:rsidR="00C827B4">
        <w:rPr>
          <w:bCs/>
        </w:rPr>
        <w:t xml:space="preserve">however, when </w:t>
      </w:r>
      <w:r w:rsidR="00A120EF">
        <w:rPr>
          <w:bCs/>
        </w:rPr>
        <w:t>requests are made for continued treatment</w:t>
      </w:r>
      <w:r w:rsidR="00886990">
        <w:rPr>
          <w:bCs/>
        </w:rPr>
        <w:t xml:space="preserve"> beyond 12 months, the following documentation can assist</w:t>
      </w:r>
      <w:r w:rsidR="00413F42">
        <w:rPr>
          <w:bCs/>
        </w:rPr>
        <w:t xml:space="preserve"> with determining medical necessity:</w:t>
      </w:r>
    </w:p>
    <w:p w14:paraId="41DFBAB3" w14:textId="6D257671" w:rsidR="001F3557" w:rsidRDefault="001F3557" w:rsidP="000B0698">
      <w:pPr>
        <w:numPr>
          <w:ilvl w:val="0"/>
          <w:numId w:val="31"/>
        </w:numPr>
      </w:pPr>
      <w:r>
        <w:t xml:space="preserve">Pain is severe enough to cause a significant degree of functional disability or vocational disability and providers use established and measurable goals and objective scales to assess functionality and </w:t>
      </w:r>
      <w:r w:rsidR="006D535C">
        <w:t>activities of daily living (</w:t>
      </w:r>
      <w:r>
        <w:t>ADLs</w:t>
      </w:r>
      <w:r w:rsidR="006D535C">
        <w:t>)</w:t>
      </w:r>
      <w:r>
        <w:t xml:space="preserve"> measures.</w:t>
      </w:r>
    </w:p>
    <w:p w14:paraId="3F0A3FEA" w14:textId="77777777" w:rsidR="001F3557" w:rsidRDefault="001F3557" w:rsidP="000B0698">
      <w:pPr>
        <w:numPr>
          <w:ilvl w:val="0"/>
          <w:numId w:val="31"/>
        </w:numPr>
      </w:pPr>
      <w:r>
        <w:t>SIJ injections provide at least 50% sustained and consistent improvement of pain and/or 50% sustained and consistent objective improvement in function (using same scale as baseline) for at least three months.</w:t>
      </w:r>
    </w:p>
    <w:p w14:paraId="0742DA83" w14:textId="00828730" w:rsidR="001F3557" w:rsidRDefault="001F3557" w:rsidP="000B0698">
      <w:pPr>
        <w:numPr>
          <w:ilvl w:val="0"/>
          <w:numId w:val="31"/>
        </w:numPr>
      </w:pPr>
      <w:r>
        <w:t>Rationale for the continuation of SIJ</w:t>
      </w:r>
      <w:r w:rsidR="006D535C">
        <w:t xml:space="preserve"> injection</w:t>
      </w:r>
      <w:r>
        <w:t xml:space="preserve">s including but not limited to </w:t>
      </w:r>
      <w:r w:rsidR="0095548E">
        <w:t>patients</w:t>
      </w:r>
      <w:r>
        <w:t xml:space="preserve"> who are high-risk surgical candidates, do not desire surgery, and/or the recurrence of pain in the same location was sustained and consistently relieved with the SIJ injections for at least three months.</w:t>
      </w:r>
      <w:r w:rsidR="00EE34D3">
        <w:rPr>
          <w:vertAlign w:val="superscript"/>
        </w:rPr>
        <w:t>26</w:t>
      </w:r>
    </w:p>
    <w:p w14:paraId="088978B4" w14:textId="77777777" w:rsidR="00571CBA" w:rsidRPr="00C11D94" w:rsidRDefault="00571CBA">
      <w:pPr>
        <w:rPr>
          <w:i/>
        </w:rPr>
      </w:pPr>
    </w:p>
    <w:p w14:paraId="1412DD1C" w14:textId="608B389C" w:rsidR="0007420A" w:rsidRDefault="0007420A">
      <w:pPr>
        <w:rPr>
          <w:i/>
        </w:rPr>
      </w:pPr>
      <w:r w:rsidRPr="00FD540B">
        <w:rPr>
          <w:i/>
        </w:rPr>
        <w:t>SIJ Radiofrequency Neurotomy</w:t>
      </w:r>
    </w:p>
    <w:p w14:paraId="2A479CF4" w14:textId="49C5D6D5" w:rsidR="00B27512" w:rsidRDefault="00C86ED5" w:rsidP="00BE03A5">
      <w:r>
        <w:t>A growing number of studies have assessed the effect of treatment with radiofrequency denervation on SIJ pain</w:t>
      </w:r>
      <w:r w:rsidR="00561BB4">
        <w:t xml:space="preserve">, with mixed results. </w:t>
      </w:r>
      <w:r w:rsidR="00823B1E">
        <w:t>Radiofrequency denervation, also known as RF</w:t>
      </w:r>
      <w:r w:rsidR="000D2CE6">
        <w:t>D</w:t>
      </w:r>
      <w:r w:rsidR="00823B1E">
        <w:t xml:space="preserve"> or radiofrequency neurotomy, describes </w:t>
      </w:r>
      <w:r w:rsidR="0060605E">
        <w:t xml:space="preserve">the use of radiofrequency energy to </w:t>
      </w:r>
      <w:r w:rsidR="00BC4F51">
        <w:t>stop the transmission of pain signals to the central nervous system.</w:t>
      </w:r>
      <w:r w:rsidR="00BC4F51">
        <w:rPr>
          <w:vertAlign w:val="superscript"/>
        </w:rPr>
        <w:t>5</w:t>
      </w:r>
      <w:r w:rsidR="00BC4F51">
        <w:t xml:space="preserve"> </w:t>
      </w:r>
      <w:r w:rsidR="00561BB4">
        <w:t>One study found no d</w:t>
      </w:r>
      <w:r w:rsidR="00690AA5">
        <w:t>ifference between conventional radiofrequency ablation (RFA)</w:t>
      </w:r>
      <w:r w:rsidR="00561BB4">
        <w:t xml:space="preserve"> and a sham treatment on pain relief</w:t>
      </w:r>
      <w:r>
        <w:t>.</w:t>
      </w:r>
      <w:r w:rsidR="001A4606">
        <w:rPr>
          <w:vertAlign w:val="superscript"/>
        </w:rPr>
        <w:t>2</w:t>
      </w:r>
      <w:r w:rsidR="001A4606">
        <w:t xml:space="preserve"> </w:t>
      </w:r>
      <w:r w:rsidR="0027664F">
        <w:t>A systematic review</w:t>
      </w:r>
      <w:r w:rsidR="001F683F">
        <w:t xml:space="preserve"> </w:t>
      </w:r>
      <w:r w:rsidR="0047680A">
        <w:t xml:space="preserve">evaluating </w:t>
      </w:r>
      <w:r w:rsidR="002C3F43">
        <w:t xml:space="preserve">cooled </w:t>
      </w:r>
      <w:r w:rsidR="00BF5287">
        <w:t>RFA</w:t>
      </w:r>
      <w:r w:rsidR="002C3F43">
        <w:t xml:space="preserve"> procedures</w:t>
      </w:r>
      <w:r w:rsidR="00A16557">
        <w:t xml:space="preserve"> </w:t>
      </w:r>
      <w:r w:rsidR="00C65740">
        <w:t xml:space="preserve">indicated cooled </w:t>
      </w:r>
      <w:r w:rsidR="00930627">
        <w:t>RFA</w:t>
      </w:r>
      <w:r w:rsidR="00592179">
        <w:t xml:space="preserve"> demonstrated short</w:t>
      </w:r>
      <w:r w:rsidR="00547812">
        <w:t xml:space="preserve"> term outcomes improvements </w:t>
      </w:r>
      <w:r w:rsidR="004A7752">
        <w:t xml:space="preserve">of </w:t>
      </w:r>
      <w:r w:rsidR="00C57E95">
        <w:t>modera</w:t>
      </w:r>
      <w:r w:rsidR="003A2B30">
        <w:t>te strength of evidence for pain at three months and low for function at one month</w:t>
      </w:r>
      <w:r w:rsidR="00802D3B">
        <w:t xml:space="preserve"> with no serious complications</w:t>
      </w:r>
      <w:r w:rsidR="007F3D1F">
        <w:t xml:space="preserve"> reported with strength of evidence low.</w:t>
      </w:r>
      <w:r w:rsidR="00BF23F5">
        <w:rPr>
          <w:vertAlign w:val="superscript"/>
        </w:rPr>
        <w:t>26</w:t>
      </w:r>
      <w:r w:rsidR="00D10609">
        <w:t xml:space="preserve"> </w:t>
      </w:r>
      <w:r w:rsidR="004D249E">
        <w:t>An</w:t>
      </w:r>
      <w:r w:rsidR="00C32ED4">
        <w:t xml:space="preserve"> </w:t>
      </w:r>
      <w:r w:rsidR="007F1CAD">
        <w:t>Agency for Healthcare Research and Quality (</w:t>
      </w:r>
      <w:r w:rsidR="00C32ED4">
        <w:t>AHRQ</w:t>
      </w:r>
      <w:r w:rsidR="00D83F39">
        <w:t>)</w:t>
      </w:r>
      <w:r w:rsidR="009A7767">
        <w:t xml:space="preserve"> </w:t>
      </w:r>
      <w:r w:rsidR="003A35AF">
        <w:t xml:space="preserve">report </w:t>
      </w:r>
      <w:r w:rsidR="009A7767">
        <w:t xml:space="preserve">noted that cooled radiofrequency denervation is probably </w:t>
      </w:r>
      <w:r w:rsidR="005739D3">
        <w:t xml:space="preserve">moderately more effective for reducing pain and </w:t>
      </w:r>
      <w:r w:rsidR="00CF0957">
        <w:t>improving function than sham for sacroiliac pain</w:t>
      </w:r>
      <w:r w:rsidR="00F13D4B">
        <w:t xml:space="preserve"> in younger populations </w:t>
      </w:r>
      <w:r w:rsidR="006F3FBE">
        <w:t>when compared to conventional radiofrequency</w:t>
      </w:r>
      <w:r w:rsidR="00892C37">
        <w:t xml:space="preserve"> for presumed facet joint pain.</w:t>
      </w:r>
      <w:r w:rsidR="00271C35">
        <w:rPr>
          <w:vertAlign w:val="superscript"/>
        </w:rPr>
        <w:t>2</w:t>
      </w:r>
      <w:r w:rsidR="00357E1E">
        <w:rPr>
          <w:vertAlign w:val="superscript"/>
        </w:rPr>
        <w:t>5</w:t>
      </w:r>
      <w:r>
        <w:t xml:space="preserve"> </w:t>
      </w:r>
      <w:r w:rsidR="006C460B">
        <w:t xml:space="preserve">A 2017 publication of </w:t>
      </w:r>
      <w:r w:rsidR="008F42C5">
        <w:t>three</w:t>
      </w:r>
      <w:r w:rsidR="006C460B">
        <w:t xml:space="preserve"> randomized controlled trials of 681 participants with chronic low back pain </w:t>
      </w:r>
      <w:r w:rsidR="006C460B" w:rsidRPr="00584879">
        <w:t>found no statistically significant improvement in pain from treatment with a standardized exercise program plus RFA, versus the standardized exercise program alone.</w:t>
      </w:r>
      <w:r w:rsidR="00271C35" w:rsidRPr="00584879">
        <w:rPr>
          <w:vertAlign w:val="superscript"/>
        </w:rPr>
        <w:t>3</w:t>
      </w:r>
      <w:r w:rsidR="006C460B" w:rsidRPr="00584879">
        <w:t xml:space="preserve"> </w:t>
      </w:r>
      <w:r w:rsidR="00393015" w:rsidRPr="00393015">
        <w:t>A systematic review of 12 randomized controlled trials measuring the efficacy of radiofrequency neurotomy to manage chronic low back pain showed moderate evidence for both short-term and long-term improvement.</w:t>
      </w:r>
      <w:r w:rsidR="00283029">
        <w:rPr>
          <w:vertAlign w:val="superscript"/>
        </w:rPr>
        <w:t>23</w:t>
      </w:r>
      <w:r w:rsidR="00283029">
        <w:t xml:space="preserve"> </w:t>
      </w:r>
    </w:p>
    <w:p w14:paraId="744E1643" w14:textId="77777777" w:rsidR="00B27512" w:rsidRDefault="00B27512" w:rsidP="00BE03A5"/>
    <w:p w14:paraId="271BC955" w14:textId="179696EC" w:rsidR="0097108A" w:rsidRPr="000A14E0" w:rsidRDefault="00C0455D" w:rsidP="00BE03A5">
      <w:r w:rsidRPr="00C0455D">
        <w:t xml:space="preserve">Ho </w:t>
      </w:r>
      <w:r w:rsidR="00843691">
        <w:t>et al. (</w:t>
      </w:r>
      <w:r w:rsidR="00790FCD">
        <w:t>2013</w:t>
      </w:r>
      <w:r w:rsidR="00843691">
        <w:t>)</w:t>
      </w:r>
      <w:r w:rsidRPr="00C0455D">
        <w:t xml:space="preserve"> noted that radiofrequency denervation of the SIJ ha</w:t>
      </w:r>
      <w:r w:rsidR="00CC7077">
        <w:t>s</w:t>
      </w:r>
      <w:r w:rsidRPr="00C0455D">
        <w:t xml:space="preserve"> been inconsistent because the variable sensory supply to the SIJ is difficult to disrupt completely using conventional ablation. The authors concluded that denervation showed long-term effectiveness for up to two years in the treatment of SIJ pain. However, there are limitations of this study included with small sample size with a retrospective review with no placebo-control or sham-control group</w:t>
      </w:r>
      <w:r w:rsidR="00307A29">
        <w:t>.</w:t>
      </w:r>
      <w:r w:rsidR="002212D6">
        <w:rPr>
          <w:vertAlign w:val="superscript"/>
        </w:rPr>
        <w:t>24</w:t>
      </w:r>
      <w:r w:rsidR="00307A29">
        <w:t xml:space="preserve"> </w:t>
      </w:r>
      <w:r w:rsidR="00561BB4" w:rsidRPr="00584879">
        <w:lastRenderedPageBreak/>
        <w:t xml:space="preserve">The American Society of </w:t>
      </w:r>
      <w:r w:rsidR="00B14345" w:rsidRPr="00584879">
        <w:t xml:space="preserve">Interventional Pain Physicians </w:t>
      </w:r>
      <w:r w:rsidR="00561BB4" w:rsidRPr="00584879">
        <w:t>2013</w:t>
      </w:r>
      <w:r w:rsidR="00B56C24" w:rsidRPr="00584879">
        <w:t xml:space="preserve"> </w:t>
      </w:r>
      <w:r w:rsidR="00561BB4" w:rsidRPr="00584879">
        <w:t>guidelines rate the evidence for cooled RFA as fair, and limited for conventional and pulsed RFA.</w:t>
      </w:r>
      <w:r w:rsidR="00045030">
        <w:rPr>
          <w:vertAlign w:val="superscript"/>
        </w:rPr>
        <w:t>5</w:t>
      </w:r>
      <w:r w:rsidR="00561BB4" w:rsidRPr="00584879">
        <w:rPr>
          <w:vertAlign w:val="superscript"/>
        </w:rPr>
        <w:t xml:space="preserve"> </w:t>
      </w:r>
      <w:r w:rsidR="00045030">
        <w:t>The</w:t>
      </w:r>
      <w:r w:rsidR="00365342">
        <w:t xml:space="preserve"> North American Spine Society </w:t>
      </w:r>
      <w:r w:rsidR="00D047AD">
        <w:t xml:space="preserve">(NASS) </w:t>
      </w:r>
      <w:r w:rsidR="00045030">
        <w:t>guidelines indicate</w:t>
      </w:r>
      <w:r w:rsidR="00EF737D">
        <w:t xml:space="preserve"> that consideration can be given to cooled </w:t>
      </w:r>
      <w:r w:rsidR="0060495A">
        <w:t>RFA</w:t>
      </w:r>
      <w:r w:rsidR="00EF737D">
        <w:t xml:space="preserve"> of the sacral lateral branch</w:t>
      </w:r>
      <w:r w:rsidR="00D047AD">
        <w:t xml:space="preserve"> nerves and dorsal ramus of L</w:t>
      </w:r>
      <w:r w:rsidR="00D047AD" w:rsidRPr="00274B03">
        <w:t>5</w:t>
      </w:r>
      <w:r w:rsidR="00D047AD">
        <w:t xml:space="preserve"> for patients with sacroiliac joint pain diagnosed with dual diagnostic blocks. </w:t>
      </w:r>
      <w:r w:rsidR="00BE03A5">
        <w:t>A</w:t>
      </w:r>
      <w:r w:rsidR="00155045" w:rsidRPr="000A14E0">
        <w:t xml:space="preserve">dditional randomized trials are </w:t>
      </w:r>
      <w:r w:rsidR="0060495A">
        <w:t>required</w:t>
      </w:r>
      <w:r w:rsidR="00155045" w:rsidRPr="000A14E0">
        <w:t xml:space="preserve"> to compare the various nerve ablation techniques of the lateral branch nerves for sacroiliac joint pain</w:t>
      </w:r>
      <w:r w:rsidR="006359FE">
        <w:t xml:space="preserve"> as well as </w:t>
      </w:r>
      <w:r w:rsidR="009D77D1">
        <w:t>trials with greater than 12 months of follow-up</w:t>
      </w:r>
      <w:r w:rsidR="00E82D6F">
        <w:t xml:space="preserve"> for evaluation of </w:t>
      </w:r>
      <w:r w:rsidR="003144E9">
        <w:t>long-term</w:t>
      </w:r>
      <w:r w:rsidR="00F57B69">
        <w:t xml:space="preserve"> pain relief</w:t>
      </w:r>
      <w:r w:rsidR="002051A6">
        <w:t xml:space="preserve"> via functional ability and quality of life</w:t>
      </w:r>
      <w:r w:rsidR="00155045" w:rsidRPr="000A14E0">
        <w:t>.</w:t>
      </w:r>
      <w:r w:rsidR="00BE03A5">
        <w:rPr>
          <w:vertAlign w:val="superscript"/>
        </w:rPr>
        <w:t>5,</w:t>
      </w:r>
      <w:r w:rsidR="00155045">
        <w:rPr>
          <w:vertAlign w:val="superscript"/>
        </w:rPr>
        <w:t>22</w:t>
      </w:r>
      <w:r w:rsidR="00155045" w:rsidRPr="000A14E0">
        <w:t xml:space="preserve"> </w:t>
      </w:r>
    </w:p>
    <w:p w14:paraId="4FEEA0E0" w14:textId="77777777" w:rsidR="00155045" w:rsidRPr="000A14E0" w:rsidRDefault="00155045"/>
    <w:p w14:paraId="755FF9B5" w14:textId="77777777" w:rsidR="00170B14" w:rsidRPr="00B777AF" w:rsidRDefault="00170B14" w:rsidP="00170B14">
      <w:pPr>
        <w:rPr>
          <w:b/>
        </w:rPr>
      </w:pPr>
      <w:bookmarkStart w:id="1" w:name="Coding_Implications"/>
      <w:r w:rsidRPr="00B777AF">
        <w:rPr>
          <w:b/>
        </w:rPr>
        <w:t>Coding Implications</w:t>
      </w:r>
    </w:p>
    <w:bookmarkEnd w:id="1"/>
    <w:p w14:paraId="7DFB9554" w14:textId="07288ADE"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9D41BD" w:rsidRPr="00507DC0">
        <w:t>20</w:t>
      </w:r>
      <w:r w:rsidR="009D41BD">
        <w:t>2</w:t>
      </w:r>
      <w:r w:rsidR="00F5654B">
        <w:t>4</w:t>
      </w:r>
      <w:r w:rsidRPr="00507DC0">
        <w:t>, American Medical Association. All rights reserved. 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rsidR="005138F5">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59D42DFF" w14:textId="77777777" w:rsidR="000C043C" w:rsidRDefault="000C043C" w:rsidP="00AF5490"/>
    <w:p w14:paraId="379CAC08" w14:textId="539490C7" w:rsidR="00AF5490" w:rsidRPr="004436A4" w:rsidRDefault="000C043C" w:rsidP="00AF5490">
      <w:pPr>
        <w:rPr>
          <w:b/>
        </w:rPr>
      </w:pPr>
      <w:r w:rsidRPr="004436A4">
        <w:rPr>
          <w:b/>
        </w:rPr>
        <w:t>CPT Code</w:t>
      </w:r>
      <w:r w:rsidR="004436A4">
        <w:rPr>
          <w:b/>
        </w:rPr>
        <w:t xml:space="preserve"> that supports</w:t>
      </w:r>
      <w:r w:rsidRPr="004436A4">
        <w:rPr>
          <w:b/>
        </w:rPr>
        <w:t xml:space="preserve"> </w:t>
      </w:r>
      <w:r w:rsidR="004436A4">
        <w:rPr>
          <w:b/>
        </w:rPr>
        <w:t>coverage criteria</w:t>
      </w:r>
    </w:p>
    <w:tbl>
      <w:tblPr>
        <w:tblStyle w:val="TableGrid"/>
        <w:tblW w:w="5099" w:type="pct"/>
        <w:tblLook w:val="0020" w:firstRow="1" w:lastRow="0" w:firstColumn="0" w:lastColumn="0" w:noHBand="0" w:noVBand="0"/>
      </w:tblPr>
      <w:tblGrid>
        <w:gridCol w:w="1098"/>
        <w:gridCol w:w="8437"/>
      </w:tblGrid>
      <w:tr w:rsidR="00B777AF" w:rsidRPr="00B777AF" w14:paraId="54321C74" w14:textId="77777777" w:rsidTr="00DB1032">
        <w:trPr>
          <w:tblHeader/>
        </w:trPr>
        <w:tc>
          <w:tcPr>
            <w:tcW w:w="1098" w:type="dxa"/>
            <w:shd w:val="clear" w:color="auto" w:fill="00548C"/>
          </w:tcPr>
          <w:p w14:paraId="108073C5" w14:textId="77777777" w:rsidR="00D36448" w:rsidRPr="00B777AF" w:rsidRDefault="00D36448" w:rsidP="003760F4">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8437" w:type="dxa"/>
            <w:shd w:val="clear" w:color="auto" w:fill="00548C"/>
          </w:tcPr>
          <w:p w14:paraId="2AE5FD45" w14:textId="77777777" w:rsidR="00D36448" w:rsidRPr="00B777AF" w:rsidRDefault="00D36448" w:rsidP="003760F4">
            <w:pPr>
              <w:rPr>
                <w:b/>
                <w:bCs/>
                <w:color w:val="FFFFFF" w:themeColor="background1"/>
              </w:rPr>
            </w:pPr>
            <w:r w:rsidRPr="00B777AF">
              <w:rPr>
                <w:b/>
                <w:color w:val="FFFFFF" w:themeColor="background1"/>
              </w:rPr>
              <w:t>Description</w:t>
            </w:r>
          </w:p>
        </w:tc>
      </w:tr>
      <w:tr w:rsidR="009665D8" w:rsidRPr="005144C0" w14:paraId="49BFA406" w14:textId="77777777" w:rsidTr="00DB1032">
        <w:tc>
          <w:tcPr>
            <w:tcW w:w="1098" w:type="dxa"/>
          </w:tcPr>
          <w:p w14:paraId="217A668F" w14:textId="0C58EF56" w:rsidR="009665D8" w:rsidRPr="009665D8" w:rsidRDefault="009665D8" w:rsidP="009665D8">
            <w:r w:rsidRPr="006744F1">
              <w:t>27096</w:t>
            </w:r>
          </w:p>
        </w:tc>
        <w:tc>
          <w:tcPr>
            <w:tcW w:w="8437" w:type="dxa"/>
          </w:tcPr>
          <w:p w14:paraId="6FBD3C4F" w14:textId="4AE27B2D" w:rsidR="009665D8" w:rsidRPr="009665D8" w:rsidRDefault="009665D8" w:rsidP="009665D8">
            <w:r w:rsidRPr="006744F1">
              <w:t>Injection procedure for sacroiliac joint, anesthetic/steroid, with image guidance (fluoroscopy or CT) including arthrography when performed</w:t>
            </w:r>
          </w:p>
        </w:tc>
      </w:tr>
    </w:tbl>
    <w:p w14:paraId="580467CC" w14:textId="496C3B61" w:rsidR="00AF5490" w:rsidRDefault="00AF5490" w:rsidP="00E30F45"/>
    <w:p w14:paraId="582EC2DE" w14:textId="396423CA" w:rsidR="004436A4" w:rsidRDefault="004436A4" w:rsidP="00E30F45">
      <w:r>
        <w:rPr>
          <w:b/>
        </w:rPr>
        <w:t>CPT code</w:t>
      </w:r>
      <w:r w:rsidR="00D13111">
        <w:rPr>
          <w:b/>
        </w:rPr>
        <w:t>s</w:t>
      </w:r>
      <w:r>
        <w:rPr>
          <w:b/>
        </w:rPr>
        <w:t xml:space="preserve"> </w:t>
      </w:r>
      <w:r w:rsidRPr="004436A4">
        <w:rPr>
          <w:b/>
        </w:rPr>
        <w:t>t</w:t>
      </w:r>
      <w:r>
        <w:rPr>
          <w:b/>
        </w:rPr>
        <w:t>hat do not s</w:t>
      </w:r>
      <w:r w:rsidRPr="004436A4">
        <w:rPr>
          <w:b/>
        </w:rPr>
        <w:t>upport</w:t>
      </w:r>
      <w:r>
        <w:rPr>
          <w:b/>
        </w:rPr>
        <w:t xml:space="preserve"> coverage c</w:t>
      </w:r>
      <w:r w:rsidRPr="004436A4">
        <w:rPr>
          <w:b/>
        </w:rPr>
        <w:t>riteria</w:t>
      </w:r>
    </w:p>
    <w:tbl>
      <w:tblPr>
        <w:tblStyle w:val="TableGrid"/>
        <w:tblW w:w="5099" w:type="pct"/>
        <w:tblLook w:val="0020" w:firstRow="1" w:lastRow="0" w:firstColumn="0" w:lastColumn="0" w:noHBand="0" w:noVBand="0"/>
      </w:tblPr>
      <w:tblGrid>
        <w:gridCol w:w="1098"/>
        <w:gridCol w:w="8437"/>
      </w:tblGrid>
      <w:tr w:rsidR="000C043C" w:rsidRPr="00B777AF" w14:paraId="28676DFB" w14:textId="77777777" w:rsidTr="00E30F45">
        <w:trPr>
          <w:tblHeader/>
        </w:trPr>
        <w:tc>
          <w:tcPr>
            <w:tcW w:w="1098" w:type="dxa"/>
            <w:shd w:val="clear" w:color="auto" w:fill="00548C"/>
          </w:tcPr>
          <w:p w14:paraId="1CF6CB56" w14:textId="73C20B79" w:rsidR="000C043C" w:rsidRPr="00B777AF" w:rsidRDefault="000C043C" w:rsidP="00E30F45">
            <w:pPr>
              <w:rPr>
                <w:b/>
                <w:bCs/>
                <w:color w:val="FFFFFF" w:themeColor="background1"/>
              </w:rPr>
            </w:pPr>
            <w:r w:rsidRPr="00B777AF">
              <w:rPr>
                <w:b/>
                <w:color w:val="FFFFFF" w:themeColor="background1"/>
              </w:rPr>
              <w:t>CPT</w:t>
            </w:r>
            <w:r>
              <w:rPr>
                <w:b/>
                <w:color w:val="FFFFFF" w:themeColor="background1"/>
                <w:vertAlign w:val="superscript"/>
              </w:rPr>
              <w:t>®</w:t>
            </w:r>
            <w:r w:rsidRPr="00B777AF">
              <w:rPr>
                <w:b/>
                <w:color w:val="FFFFFF" w:themeColor="background1"/>
              </w:rPr>
              <w:t xml:space="preserve"> Codes </w:t>
            </w:r>
          </w:p>
        </w:tc>
        <w:tc>
          <w:tcPr>
            <w:tcW w:w="8437" w:type="dxa"/>
            <w:shd w:val="clear" w:color="auto" w:fill="00548C"/>
          </w:tcPr>
          <w:p w14:paraId="42E3635B" w14:textId="77777777" w:rsidR="000C043C" w:rsidRPr="00B777AF" w:rsidRDefault="000C043C" w:rsidP="00E30F45">
            <w:pPr>
              <w:rPr>
                <w:b/>
                <w:bCs/>
                <w:color w:val="FFFFFF" w:themeColor="background1"/>
              </w:rPr>
            </w:pPr>
            <w:r w:rsidRPr="00B777AF">
              <w:rPr>
                <w:b/>
                <w:color w:val="FFFFFF" w:themeColor="background1"/>
              </w:rPr>
              <w:t>Description</w:t>
            </w:r>
          </w:p>
        </w:tc>
      </w:tr>
      <w:tr w:rsidR="00A6284D" w:rsidRPr="00B777AF" w14:paraId="0815E7CD" w14:textId="77777777" w:rsidTr="004436A4">
        <w:trPr>
          <w:tblHeader/>
        </w:trPr>
        <w:tc>
          <w:tcPr>
            <w:tcW w:w="1098" w:type="dxa"/>
            <w:shd w:val="clear" w:color="auto" w:fill="auto"/>
          </w:tcPr>
          <w:p w14:paraId="769F7B70" w14:textId="009089A9" w:rsidR="00A6284D" w:rsidRPr="004436A4" w:rsidRDefault="00A6284D" w:rsidP="00E30F45">
            <w:r>
              <w:t>64451</w:t>
            </w:r>
          </w:p>
        </w:tc>
        <w:tc>
          <w:tcPr>
            <w:tcW w:w="8437" w:type="dxa"/>
            <w:shd w:val="clear" w:color="auto" w:fill="auto"/>
          </w:tcPr>
          <w:p w14:paraId="5F4F8108" w14:textId="7EDDCFAF" w:rsidR="00A6284D" w:rsidRPr="004436A4" w:rsidRDefault="00A6284D" w:rsidP="00E30F45">
            <w:r w:rsidRPr="00A6284D">
              <w:t>Injection(s), anesthetic agent(s) and/or steroid; nerves innervating the sacroiliac joint, with image guidance (</w:t>
            </w:r>
            <w:r w:rsidR="00F41DC8" w:rsidRPr="00A6284D">
              <w:t>i.e.</w:t>
            </w:r>
            <w:r w:rsidRPr="00A6284D">
              <w:t>, fluoroscopy or computed tomography)</w:t>
            </w:r>
          </w:p>
        </w:tc>
      </w:tr>
      <w:tr w:rsidR="000C043C" w:rsidRPr="00B777AF" w14:paraId="2D8F255D" w14:textId="77777777" w:rsidTr="004436A4">
        <w:trPr>
          <w:tblHeader/>
        </w:trPr>
        <w:tc>
          <w:tcPr>
            <w:tcW w:w="1098" w:type="dxa"/>
            <w:shd w:val="clear" w:color="auto" w:fill="auto"/>
          </w:tcPr>
          <w:p w14:paraId="05DA8A6E" w14:textId="39A7F6B9" w:rsidR="000C043C" w:rsidRPr="004436A4" w:rsidRDefault="000C043C" w:rsidP="00E30F45">
            <w:r w:rsidRPr="004436A4">
              <w:t>64625</w:t>
            </w:r>
          </w:p>
        </w:tc>
        <w:tc>
          <w:tcPr>
            <w:tcW w:w="8437" w:type="dxa"/>
            <w:shd w:val="clear" w:color="auto" w:fill="auto"/>
          </w:tcPr>
          <w:p w14:paraId="2BFD400E" w14:textId="582CCAE3" w:rsidR="000C043C" w:rsidRPr="004436A4" w:rsidRDefault="000C043C" w:rsidP="00E30F45">
            <w:r w:rsidRPr="004436A4">
              <w:t>Radiofrequency ablation, nerves innervating the sacroiliac joint, with image guidance (</w:t>
            </w:r>
            <w:r w:rsidR="00F41DC8" w:rsidRPr="004436A4">
              <w:t>i.e.</w:t>
            </w:r>
            <w:r w:rsidRPr="004436A4">
              <w:t>, fluoroscopy or computed tomography</w:t>
            </w:r>
            <w:r w:rsidR="00446784" w:rsidRPr="004436A4">
              <w:t>)</w:t>
            </w:r>
          </w:p>
        </w:tc>
      </w:tr>
    </w:tbl>
    <w:p w14:paraId="1DF7738D" w14:textId="08BA6D43" w:rsidR="000C043C" w:rsidRDefault="000C043C" w:rsidP="00AF5490"/>
    <w:p w14:paraId="72FE61C1" w14:textId="0BFBBAC6" w:rsidR="000C043C" w:rsidRPr="004436A4" w:rsidRDefault="004436A4" w:rsidP="00AF5490">
      <w:pPr>
        <w:rPr>
          <w:b/>
        </w:rPr>
      </w:pPr>
      <w:r w:rsidRPr="004436A4">
        <w:rPr>
          <w:b/>
        </w:rPr>
        <w:t xml:space="preserve">HCPCS </w:t>
      </w:r>
      <w:r>
        <w:rPr>
          <w:b/>
        </w:rPr>
        <w:t>c</w:t>
      </w:r>
      <w:r w:rsidRPr="004436A4">
        <w:rPr>
          <w:b/>
        </w:rPr>
        <w:t>ode t</w:t>
      </w:r>
      <w:r>
        <w:rPr>
          <w:b/>
        </w:rPr>
        <w:t>hat s</w:t>
      </w:r>
      <w:r w:rsidRPr="004436A4">
        <w:rPr>
          <w:b/>
        </w:rPr>
        <w:t>upports</w:t>
      </w:r>
      <w:r>
        <w:rPr>
          <w:b/>
        </w:rPr>
        <w:t xml:space="preserve"> coverage c</w:t>
      </w:r>
      <w:r w:rsidRPr="004436A4">
        <w:rPr>
          <w:b/>
        </w:rPr>
        <w:t>riteria</w:t>
      </w:r>
    </w:p>
    <w:tbl>
      <w:tblPr>
        <w:tblStyle w:val="TableGrid"/>
        <w:tblW w:w="5147" w:type="pct"/>
        <w:tblLook w:val="0020" w:firstRow="1" w:lastRow="0" w:firstColumn="0" w:lastColumn="0" w:noHBand="0" w:noVBand="0"/>
      </w:tblPr>
      <w:tblGrid>
        <w:gridCol w:w="1124"/>
        <w:gridCol w:w="8501"/>
      </w:tblGrid>
      <w:tr w:rsidR="003F3D44" w:rsidRPr="00B777AF" w14:paraId="52B87D3A" w14:textId="77777777" w:rsidTr="00DB1032">
        <w:trPr>
          <w:tblHeader/>
        </w:trPr>
        <w:tc>
          <w:tcPr>
            <w:tcW w:w="1124" w:type="dxa"/>
            <w:shd w:val="clear" w:color="auto" w:fill="00548C"/>
          </w:tcPr>
          <w:p w14:paraId="3C0EF359" w14:textId="77777777" w:rsidR="003F3D44" w:rsidRPr="00B777AF" w:rsidRDefault="003F3D44" w:rsidP="003760F4">
            <w:pPr>
              <w:rPr>
                <w:b/>
                <w:bCs/>
                <w:color w:val="FFFFFF" w:themeColor="background1"/>
              </w:rPr>
            </w:pPr>
            <w:r>
              <w:rPr>
                <w:b/>
                <w:color w:val="FFFFFF" w:themeColor="background1"/>
              </w:rPr>
              <w:t>HCPCS</w:t>
            </w:r>
            <w:r w:rsidRPr="00B777AF">
              <w:rPr>
                <w:b/>
                <w:color w:val="FFFFFF" w:themeColor="background1"/>
              </w:rPr>
              <w:t xml:space="preserve"> Codes </w:t>
            </w:r>
          </w:p>
        </w:tc>
        <w:tc>
          <w:tcPr>
            <w:tcW w:w="8501" w:type="dxa"/>
            <w:shd w:val="clear" w:color="auto" w:fill="00548C"/>
          </w:tcPr>
          <w:p w14:paraId="249A68F0" w14:textId="77777777" w:rsidR="003F3D44" w:rsidRPr="00B777AF" w:rsidRDefault="003F3D44" w:rsidP="003760F4">
            <w:pPr>
              <w:rPr>
                <w:b/>
                <w:bCs/>
                <w:color w:val="FFFFFF" w:themeColor="background1"/>
              </w:rPr>
            </w:pPr>
            <w:r w:rsidRPr="00B777AF">
              <w:rPr>
                <w:b/>
                <w:color w:val="FFFFFF" w:themeColor="background1"/>
              </w:rPr>
              <w:t>Description</w:t>
            </w:r>
          </w:p>
        </w:tc>
      </w:tr>
      <w:tr w:rsidR="003F3D44" w:rsidRPr="005144C0" w14:paraId="58827582" w14:textId="77777777" w:rsidTr="00DB1032">
        <w:tc>
          <w:tcPr>
            <w:tcW w:w="1124" w:type="dxa"/>
          </w:tcPr>
          <w:p w14:paraId="0AA90333" w14:textId="1816F73F" w:rsidR="003F3D44" w:rsidRPr="005144C0" w:rsidRDefault="00FA28D8" w:rsidP="00FA28D8">
            <w:pPr>
              <w:rPr>
                <w:bCs/>
              </w:rPr>
            </w:pPr>
            <w:r>
              <w:rPr>
                <w:bCs/>
              </w:rPr>
              <w:t>G0260</w:t>
            </w:r>
          </w:p>
        </w:tc>
        <w:tc>
          <w:tcPr>
            <w:tcW w:w="8501" w:type="dxa"/>
          </w:tcPr>
          <w:p w14:paraId="10EC68F0" w14:textId="19428C29" w:rsidR="003F3D44" w:rsidRPr="005144C0" w:rsidRDefault="00FA28D8" w:rsidP="003760F4">
            <w:pPr>
              <w:rPr>
                <w:bCs/>
              </w:rPr>
            </w:pPr>
            <w:r>
              <w:rPr>
                <w:bCs/>
              </w:rPr>
              <w:t>I</w:t>
            </w:r>
            <w:r w:rsidRPr="00FA28D8">
              <w:rPr>
                <w:bCs/>
              </w:rPr>
              <w:t>njection procedure for sacroiliac joint; provision of anesthetic, steroid and/or other therapeutic agent, with or without arthrography</w:t>
            </w:r>
          </w:p>
        </w:tc>
      </w:tr>
    </w:tbl>
    <w:p w14:paraId="6B872D36"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0ECC6E1F" w14:textId="77777777" w:rsidTr="00D362D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2" w:name="Revision_Log"/>
            <w:r w:rsidRPr="00B777AF">
              <w:rPr>
                <w:bCs w:val="0"/>
              </w:rPr>
              <w:t>Reviews</w:t>
            </w:r>
            <w:r>
              <w:rPr>
                <w:bCs w:val="0"/>
              </w:rPr>
              <w:t>, Revisions, and Approvals</w:t>
            </w:r>
            <w:bookmarkEnd w:id="2"/>
          </w:p>
        </w:tc>
        <w:tc>
          <w:tcPr>
            <w:tcW w:w="1198" w:type="dxa"/>
            <w:shd w:val="clear" w:color="auto" w:fill="00548C"/>
          </w:tcPr>
          <w:p w14:paraId="5AE0D08E" w14:textId="035167AB" w:rsidR="00B777AF" w:rsidRPr="00B777AF" w:rsidRDefault="00D362DF"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AEAC84" w14:textId="77777777" w:rsidTr="00D36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none" w:sz="0" w:space="0" w:color="auto"/>
              <w:left w:val="none" w:sz="0" w:space="0" w:color="auto"/>
              <w:bottom w:val="none" w:sz="0" w:space="0" w:color="auto"/>
              <w:right w:val="none" w:sz="0" w:space="0" w:color="auto"/>
            </w:tcBorders>
          </w:tcPr>
          <w:p w14:paraId="53A95A47" w14:textId="697C8CC0" w:rsidR="00B777AF" w:rsidRDefault="000613C1" w:rsidP="00103475">
            <w:pPr>
              <w:tabs>
                <w:tab w:val="num" w:pos="720"/>
              </w:tabs>
            </w:pPr>
            <w:r>
              <w:t>Policy split from CP.MP.118 Injections for Pain Management</w:t>
            </w:r>
            <w:r w:rsidR="0097108A">
              <w:t>. Minor rewording for clarity.</w:t>
            </w:r>
            <w:r w:rsidR="009665D8">
              <w:t xml:space="preserve"> </w:t>
            </w:r>
            <w:r w:rsidR="00103475">
              <w:t xml:space="preserve">Clarified II. by adding </w:t>
            </w:r>
            <w:r w:rsidR="007913AB">
              <w:t>“≥</w:t>
            </w:r>
            <w:r w:rsidR="00103475" w:rsidRPr="00103475">
              <w:t xml:space="preserve"> 50%</w:t>
            </w:r>
            <w:r w:rsidR="00103475">
              <w:t>”</w:t>
            </w:r>
            <w:r w:rsidR="00103475" w:rsidRPr="00103475">
              <w:t xml:space="preserve"> </w:t>
            </w:r>
            <w:r w:rsidR="00103475">
              <w:t xml:space="preserve">to the statement. </w:t>
            </w:r>
            <w:r w:rsidR="009665D8">
              <w:t>Background updated.</w:t>
            </w:r>
          </w:p>
        </w:tc>
        <w:tc>
          <w:tcPr>
            <w:tcW w:w="1198" w:type="dxa"/>
            <w:tcBorders>
              <w:top w:val="none" w:sz="0" w:space="0" w:color="auto"/>
              <w:bottom w:val="none" w:sz="0" w:space="0" w:color="auto"/>
            </w:tcBorders>
          </w:tcPr>
          <w:p w14:paraId="22F9266B" w14:textId="28EA839A" w:rsidR="00B777AF" w:rsidRDefault="000613C1" w:rsidP="005776FD">
            <w:pPr>
              <w:jc w:val="center"/>
              <w:cnfStyle w:val="000000100000" w:firstRow="0" w:lastRow="0" w:firstColumn="0" w:lastColumn="0" w:oddVBand="0" w:evenVBand="0" w:oddHBand="1" w:evenHBand="0" w:firstRowFirstColumn="0" w:firstRowLastColumn="0" w:lastRowFirstColumn="0" w:lastRowLastColumn="0"/>
            </w:pPr>
            <w:r>
              <w:t>08/18</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B439B6E" w14:textId="1B34A667" w:rsidR="00B777AF" w:rsidRDefault="00103475" w:rsidP="00857C10">
            <w:pPr>
              <w:jc w:val="center"/>
            </w:pPr>
            <w:r>
              <w:t>08/18</w:t>
            </w:r>
          </w:p>
        </w:tc>
      </w:tr>
      <w:tr w:rsidR="00C06EC5" w14:paraId="40E1C068" w14:textId="77777777" w:rsidTr="00D362DF">
        <w:tc>
          <w:tcPr>
            <w:cnfStyle w:val="000010000000" w:firstRow="0" w:lastRow="0" w:firstColumn="0" w:lastColumn="0" w:oddVBand="1" w:evenVBand="0" w:oddHBand="0" w:evenHBand="0" w:firstRowFirstColumn="0" w:firstRowLastColumn="0" w:lastRowFirstColumn="0" w:lastRowLastColumn="0"/>
            <w:tcW w:w="7190" w:type="dxa"/>
          </w:tcPr>
          <w:p w14:paraId="78C500B7" w14:textId="26391D6E" w:rsidR="00C06EC5" w:rsidRDefault="00317A7B" w:rsidP="007616F3">
            <w:r>
              <w:t xml:space="preserve">Updated I.A. to specify that the criteria </w:t>
            </w:r>
            <w:r w:rsidR="00B01AF8">
              <w:t>apply</w:t>
            </w:r>
            <w:r>
              <w:t xml:space="preserve"> to therapeutic injections as well as diagnostic. </w:t>
            </w:r>
            <w:r w:rsidR="000B480F">
              <w:t xml:space="preserve">Updated I.B. to state </w:t>
            </w:r>
            <w:r w:rsidR="000B480F" w:rsidRPr="000B480F">
              <w:rPr>
                <w:bCs/>
              </w:rPr>
              <w:t>“</w:t>
            </w:r>
            <w:r w:rsidR="000B480F" w:rsidRPr="00487E6B">
              <w:rPr>
                <w:bCs/>
              </w:rPr>
              <w:t xml:space="preserve">A second diagnostic or </w:t>
            </w:r>
            <w:r w:rsidR="000B480F" w:rsidRPr="00487E6B">
              <w:rPr>
                <w:bCs/>
              </w:rPr>
              <w:lastRenderedPageBreak/>
              <w:t xml:space="preserve">confirmatory </w:t>
            </w:r>
            <w:r w:rsidR="000B480F" w:rsidRPr="00DB1032">
              <w:rPr>
                <w:bCs/>
              </w:rPr>
              <w:t xml:space="preserve">sacroiliac joint injection </w:t>
            </w:r>
            <w:r w:rsidR="000B480F">
              <w:rPr>
                <w:bCs/>
              </w:rPr>
              <w:t>when pain</w:t>
            </w:r>
            <w:r w:rsidR="000B480F" w:rsidRPr="00DB1032">
              <w:rPr>
                <w:bCs/>
              </w:rPr>
              <w:t xml:space="preserve"> </w:t>
            </w:r>
            <w:r w:rsidR="000B480F" w:rsidRPr="00487E6B">
              <w:rPr>
                <w:bCs/>
              </w:rPr>
              <w:t xml:space="preserve">was improved by at least 75% </w:t>
            </w:r>
            <w:r w:rsidR="000B480F">
              <w:rPr>
                <w:bCs/>
              </w:rPr>
              <w:t xml:space="preserve">after the first diagnostic </w:t>
            </w:r>
            <w:r w:rsidR="000B480F" w:rsidRPr="00DB1032">
              <w:rPr>
                <w:bCs/>
              </w:rPr>
              <w:t>SIJ injection</w:t>
            </w:r>
            <w:r w:rsidR="000B480F">
              <w:rPr>
                <w:bCs/>
              </w:rPr>
              <w:t>”</w:t>
            </w:r>
            <w:r>
              <w:rPr>
                <w:bCs/>
              </w:rPr>
              <w:t>, rather than that pain did not improve</w:t>
            </w:r>
            <w:r w:rsidR="000B480F">
              <w:rPr>
                <w:bCs/>
              </w:rPr>
              <w:t xml:space="preserve">. I.C. updated to specify “therapeutic” SIJ injection. II was changed from 50% to 75%. </w:t>
            </w:r>
            <w:r w:rsidR="00977533">
              <w:rPr>
                <w:bCs/>
              </w:rPr>
              <w:t xml:space="preserve">Updated background. </w:t>
            </w:r>
            <w:r w:rsidR="008445B6">
              <w:rPr>
                <w:bCs/>
              </w:rPr>
              <w:t>Replaced member with member/enrollee in all instances.</w:t>
            </w:r>
            <w:r w:rsidR="00D362DF">
              <w:rPr>
                <w:bCs/>
              </w:rPr>
              <w:t xml:space="preserve">  </w:t>
            </w:r>
            <w:r w:rsidR="00D362DF" w:rsidRPr="00B53F17">
              <w:t>Changed “review date” in the header to “date of last revision” and “date” in the revision log header to “revision date.”</w:t>
            </w:r>
            <w:r w:rsidR="00D362DF">
              <w:t xml:space="preserve"> </w:t>
            </w:r>
          </w:p>
        </w:tc>
        <w:tc>
          <w:tcPr>
            <w:tcW w:w="1198" w:type="dxa"/>
          </w:tcPr>
          <w:p w14:paraId="38B955FB" w14:textId="00ADDD73" w:rsidR="00C06EC5" w:rsidRDefault="00C06EC5" w:rsidP="005776FD">
            <w:pPr>
              <w:jc w:val="center"/>
              <w:cnfStyle w:val="000000000000" w:firstRow="0" w:lastRow="0" w:firstColumn="0" w:lastColumn="0" w:oddVBand="0" w:evenVBand="0" w:oddHBand="0" w:evenHBand="0" w:firstRowFirstColumn="0" w:firstRowLastColumn="0" w:lastRowFirstColumn="0" w:lastRowLastColumn="0"/>
            </w:pPr>
            <w:r>
              <w:lastRenderedPageBreak/>
              <w:t>06/21</w:t>
            </w:r>
          </w:p>
        </w:tc>
        <w:tc>
          <w:tcPr>
            <w:cnfStyle w:val="000010000000" w:firstRow="0" w:lastRow="0" w:firstColumn="0" w:lastColumn="0" w:oddVBand="1" w:evenVBand="0" w:oddHBand="0" w:evenHBand="0" w:firstRowFirstColumn="0" w:firstRowLastColumn="0" w:lastRowFirstColumn="0" w:lastRowLastColumn="0"/>
            <w:tcW w:w="1260" w:type="dxa"/>
          </w:tcPr>
          <w:p w14:paraId="39244E6F" w14:textId="56118355" w:rsidR="00C06EC5" w:rsidRDefault="00B14345" w:rsidP="00857C10">
            <w:pPr>
              <w:jc w:val="center"/>
            </w:pPr>
            <w:r>
              <w:t>06/21</w:t>
            </w:r>
          </w:p>
        </w:tc>
      </w:tr>
      <w:tr w:rsidR="00895AF4" w14:paraId="12E4762F" w14:textId="77777777" w:rsidTr="00584879">
        <w:trPr>
          <w:cnfStyle w:val="000000100000" w:firstRow="0" w:lastRow="0" w:firstColumn="0" w:lastColumn="0" w:oddVBand="0" w:evenVBand="0" w:oddHBand="1" w:evenHBand="0" w:firstRowFirstColumn="0" w:firstRowLastColumn="0" w:lastRowFirstColumn="0" w:lastRowLastColumn="0"/>
          <w:trHeight w:val="574"/>
        </w:trPr>
        <w:tc>
          <w:tcPr>
            <w:cnfStyle w:val="000010000000" w:firstRow="0" w:lastRow="0" w:firstColumn="0" w:lastColumn="0" w:oddVBand="1" w:evenVBand="0" w:oddHBand="0" w:evenHBand="0" w:firstRowFirstColumn="0" w:firstRowLastColumn="0" w:lastRowFirstColumn="0" w:lastRowLastColumn="0"/>
            <w:tcW w:w="7190" w:type="dxa"/>
          </w:tcPr>
          <w:p w14:paraId="74C73042" w14:textId="7AB3069D" w:rsidR="00895AF4" w:rsidRDefault="00895AF4" w:rsidP="001260DF">
            <w:r>
              <w:t>Annual review complete</w:t>
            </w:r>
            <w:r w:rsidR="001260DF">
              <w:t>d</w:t>
            </w:r>
            <w:r>
              <w:t xml:space="preserve">. </w:t>
            </w:r>
            <w:r w:rsidR="00271447">
              <w:t xml:space="preserve">References reviewed, updated, and reformatted. </w:t>
            </w:r>
          </w:p>
        </w:tc>
        <w:tc>
          <w:tcPr>
            <w:tcW w:w="1198" w:type="dxa"/>
          </w:tcPr>
          <w:p w14:paraId="18935CE0" w14:textId="152288BF" w:rsidR="00895AF4" w:rsidRDefault="00C72B03" w:rsidP="005776FD">
            <w:pPr>
              <w:jc w:val="center"/>
              <w:cnfStyle w:val="000000100000" w:firstRow="0" w:lastRow="0" w:firstColumn="0" w:lastColumn="0" w:oddVBand="0" w:evenVBand="0" w:oddHBand="1" w:evenHBand="0" w:firstRowFirstColumn="0" w:firstRowLastColumn="0" w:lastRowFirstColumn="0" w:lastRowLastColumn="0"/>
            </w:pPr>
            <w:r>
              <w:t>08/21</w:t>
            </w:r>
          </w:p>
        </w:tc>
        <w:tc>
          <w:tcPr>
            <w:cnfStyle w:val="000010000000" w:firstRow="0" w:lastRow="0" w:firstColumn="0" w:lastColumn="0" w:oddVBand="1" w:evenVBand="0" w:oddHBand="0" w:evenHBand="0" w:firstRowFirstColumn="0" w:firstRowLastColumn="0" w:lastRowFirstColumn="0" w:lastRowLastColumn="0"/>
            <w:tcW w:w="1260" w:type="dxa"/>
          </w:tcPr>
          <w:p w14:paraId="685EAB74" w14:textId="2B16027E" w:rsidR="00895AF4" w:rsidRDefault="008A75E1" w:rsidP="00857C10">
            <w:pPr>
              <w:jc w:val="center"/>
            </w:pPr>
            <w:r>
              <w:t>08/21</w:t>
            </w:r>
          </w:p>
        </w:tc>
      </w:tr>
      <w:tr w:rsidR="00EB6A06" w14:paraId="0FBB579D" w14:textId="77777777" w:rsidTr="00584879">
        <w:trPr>
          <w:trHeight w:val="574"/>
        </w:trPr>
        <w:tc>
          <w:tcPr>
            <w:cnfStyle w:val="000010000000" w:firstRow="0" w:lastRow="0" w:firstColumn="0" w:lastColumn="0" w:oddVBand="1" w:evenVBand="0" w:oddHBand="0" w:evenHBand="0" w:firstRowFirstColumn="0" w:firstRowLastColumn="0" w:lastRowFirstColumn="0" w:lastRowLastColumn="0"/>
            <w:tcW w:w="7190" w:type="dxa"/>
          </w:tcPr>
          <w:p w14:paraId="78804EBD" w14:textId="0B4CEDEB" w:rsidR="00EB6A06" w:rsidRDefault="00EB6A06" w:rsidP="001260DF">
            <w:r>
              <w:t>Annual review completed.</w:t>
            </w:r>
            <w:r w:rsidR="00E44991">
              <w:t xml:space="preserve"> Background updated with no impact to criteria. References reviewed and updated.</w:t>
            </w:r>
            <w:r w:rsidR="00751195">
              <w:t xml:space="preserve"> Specialist reviewed.</w:t>
            </w:r>
          </w:p>
        </w:tc>
        <w:tc>
          <w:tcPr>
            <w:tcW w:w="1198" w:type="dxa"/>
          </w:tcPr>
          <w:p w14:paraId="6D59983A" w14:textId="7CD00868" w:rsidR="00EB6A06" w:rsidRDefault="00EB6A06" w:rsidP="005776FD">
            <w:pPr>
              <w:jc w:val="center"/>
              <w:cnfStyle w:val="000000000000" w:firstRow="0" w:lastRow="0" w:firstColumn="0" w:lastColumn="0" w:oddVBand="0" w:evenVBand="0" w:oddHBand="0" w:evenHBand="0" w:firstRowFirstColumn="0" w:firstRowLastColumn="0" w:lastRowFirstColumn="0" w:lastRowLastColumn="0"/>
            </w:pPr>
            <w:r>
              <w:t>08/22</w:t>
            </w:r>
          </w:p>
        </w:tc>
        <w:tc>
          <w:tcPr>
            <w:cnfStyle w:val="000010000000" w:firstRow="0" w:lastRow="0" w:firstColumn="0" w:lastColumn="0" w:oddVBand="1" w:evenVBand="0" w:oddHBand="0" w:evenHBand="0" w:firstRowFirstColumn="0" w:firstRowLastColumn="0" w:lastRowFirstColumn="0" w:lastRowLastColumn="0"/>
            <w:tcW w:w="1260" w:type="dxa"/>
          </w:tcPr>
          <w:p w14:paraId="2131D4BF" w14:textId="27532DA0" w:rsidR="00EB6A06" w:rsidRDefault="006B1374" w:rsidP="00857C10">
            <w:pPr>
              <w:jc w:val="center"/>
            </w:pPr>
            <w:r>
              <w:t>08/22</w:t>
            </w:r>
          </w:p>
        </w:tc>
      </w:tr>
      <w:tr w:rsidR="00A500F1" w14:paraId="682AC4DB" w14:textId="77777777" w:rsidTr="00584879">
        <w:trPr>
          <w:cnfStyle w:val="000000100000" w:firstRow="0" w:lastRow="0" w:firstColumn="0" w:lastColumn="0" w:oddVBand="0" w:evenVBand="0" w:oddHBand="1" w:evenHBand="0" w:firstRowFirstColumn="0" w:firstRowLastColumn="0" w:lastRowFirstColumn="0" w:lastRowLastColumn="0"/>
          <w:trHeight w:val="574"/>
        </w:trPr>
        <w:tc>
          <w:tcPr>
            <w:cnfStyle w:val="000010000000" w:firstRow="0" w:lastRow="0" w:firstColumn="0" w:lastColumn="0" w:oddVBand="1" w:evenVBand="0" w:oddHBand="0" w:evenHBand="0" w:firstRowFirstColumn="0" w:firstRowLastColumn="0" w:lastRowFirstColumn="0" w:lastRowLastColumn="0"/>
            <w:tcW w:w="7190" w:type="dxa"/>
          </w:tcPr>
          <w:p w14:paraId="3780B034" w14:textId="6BA2C703" w:rsidR="00A500F1" w:rsidRDefault="00F5636A" w:rsidP="001260DF">
            <w:r>
              <w:t>Annual review completed.</w:t>
            </w:r>
            <w:r w:rsidR="00534EBF">
              <w:t xml:space="preserve"> </w:t>
            </w:r>
            <w:r w:rsidR="006642F8">
              <w:t>Added</w:t>
            </w:r>
            <w:r w:rsidR="00293AFE">
              <w:t xml:space="preserve"> </w:t>
            </w:r>
            <w:r w:rsidR="006578BA" w:rsidRPr="006578BA">
              <w:t>[thrust tests may not be recommended in pregnant members/enrollees or those with connective tissue disorders</w:t>
            </w:r>
            <w:r w:rsidR="006578BA">
              <w:t>]</w:t>
            </w:r>
            <w:r w:rsidR="00293AFE">
              <w:t xml:space="preserve"> to I.A.1.c. for clarity.</w:t>
            </w:r>
            <w:r w:rsidR="006642F8">
              <w:t xml:space="preserve"> </w:t>
            </w:r>
            <w:r w:rsidR="002404AB" w:rsidRPr="00C03304">
              <w:t>Updated time requirements in I.A.1.d.i. and iii. to reflect 4 weeks.</w:t>
            </w:r>
            <w:r w:rsidR="00FE5B51">
              <w:t xml:space="preserve"> </w:t>
            </w:r>
            <w:r w:rsidR="00534EBF">
              <w:t xml:space="preserve">Minor rewording with no clinical significance. Background updated. </w:t>
            </w:r>
            <w:r w:rsidR="00B14ED0">
              <w:t>ICD-10 Diagnosis</w:t>
            </w:r>
            <w:r w:rsidR="00885B6C">
              <w:t xml:space="preserve"> Code</w:t>
            </w:r>
            <w:r w:rsidR="00B14ED0">
              <w:t xml:space="preserve"> table removed. </w:t>
            </w:r>
            <w:r w:rsidR="00534EBF">
              <w:t xml:space="preserve">References reviewed and updated. Internal specialist reviewed. </w:t>
            </w:r>
          </w:p>
        </w:tc>
        <w:tc>
          <w:tcPr>
            <w:tcW w:w="1198" w:type="dxa"/>
          </w:tcPr>
          <w:p w14:paraId="5EF49D0C" w14:textId="527D15B2" w:rsidR="00A500F1" w:rsidRDefault="00A500F1" w:rsidP="005776FD">
            <w:pPr>
              <w:jc w:val="center"/>
              <w:cnfStyle w:val="000000100000" w:firstRow="0" w:lastRow="0" w:firstColumn="0" w:lastColumn="0" w:oddVBand="0" w:evenVBand="0" w:oddHBand="1" w:evenHBand="0" w:firstRowFirstColumn="0" w:firstRowLastColumn="0" w:lastRowFirstColumn="0" w:lastRowLastColumn="0"/>
            </w:pPr>
            <w:r>
              <w:t>08/</w:t>
            </w:r>
            <w:r w:rsidR="001F7CA3">
              <w:t>23</w:t>
            </w:r>
          </w:p>
        </w:tc>
        <w:tc>
          <w:tcPr>
            <w:cnfStyle w:val="000010000000" w:firstRow="0" w:lastRow="0" w:firstColumn="0" w:lastColumn="0" w:oddVBand="1" w:evenVBand="0" w:oddHBand="0" w:evenHBand="0" w:firstRowFirstColumn="0" w:firstRowLastColumn="0" w:lastRowFirstColumn="0" w:lastRowLastColumn="0"/>
            <w:tcW w:w="1260" w:type="dxa"/>
          </w:tcPr>
          <w:p w14:paraId="6939C440" w14:textId="6396335F" w:rsidR="00A500F1" w:rsidRDefault="00FC6242" w:rsidP="00857C10">
            <w:pPr>
              <w:jc w:val="center"/>
            </w:pPr>
            <w:r>
              <w:t>08/23</w:t>
            </w:r>
          </w:p>
        </w:tc>
      </w:tr>
      <w:tr w:rsidR="00C64FF0" w14:paraId="73C3A8F7" w14:textId="77777777" w:rsidTr="00584879">
        <w:trPr>
          <w:trHeight w:val="574"/>
        </w:trPr>
        <w:tc>
          <w:tcPr>
            <w:cnfStyle w:val="000010000000" w:firstRow="0" w:lastRow="0" w:firstColumn="0" w:lastColumn="0" w:oddVBand="1" w:evenVBand="0" w:oddHBand="0" w:evenHBand="0" w:firstRowFirstColumn="0" w:firstRowLastColumn="0" w:lastRowFirstColumn="0" w:lastRowLastColumn="0"/>
            <w:tcW w:w="7190" w:type="dxa"/>
          </w:tcPr>
          <w:p w14:paraId="45E39FCD" w14:textId="0AF1B583" w:rsidR="00C64FF0" w:rsidRDefault="00C64FF0" w:rsidP="001260DF">
            <w:r>
              <w:t>Annual review.</w:t>
            </w:r>
            <w:r w:rsidR="00D303FC">
              <w:t xml:space="preserve"> References reviewed and updated. Reviewed by external specialist.</w:t>
            </w:r>
          </w:p>
        </w:tc>
        <w:tc>
          <w:tcPr>
            <w:tcW w:w="1198" w:type="dxa"/>
          </w:tcPr>
          <w:p w14:paraId="487657DC" w14:textId="08BE830A" w:rsidR="00C64FF0" w:rsidRDefault="00C64FF0" w:rsidP="005776FD">
            <w:pPr>
              <w:jc w:val="center"/>
              <w:cnfStyle w:val="000000000000" w:firstRow="0" w:lastRow="0" w:firstColumn="0" w:lastColumn="0" w:oddVBand="0" w:evenVBand="0" w:oddHBand="0" w:evenHBand="0" w:firstRowFirstColumn="0" w:firstRowLastColumn="0" w:lastRowFirstColumn="0" w:lastRowLastColumn="0"/>
            </w:pPr>
            <w:r>
              <w:t>07/24</w:t>
            </w:r>
          </w:p>
        </w:tc>
        <w:tc>
          <w:tcPr>
            <w:cnfStyle w:val="000010000000" w:firstRow="0" w:lastRow="0" w:firstColumn="0" w:lastColumn="0" w:oddVBand="1" w:evenVBand="0" w:oddHBand="0" w:evenHBand="0" w:firstRowFirstColumn="0" w:firstRowLastColumn="0" w:lastRowFirstColumn="0" w:lastRowLastColumn="0"/>
            <w:tcW w:w="1260" w:type="dxa"/>
          </w:tcPr>
          <w:p w14:paraId="7F156B55" w14:textId="214606B3" w:rsidR="00C64FF0" w:rsidRDefault="008C0A70" w:rsidP="00857C10">
            <w:pPr>
              <w:jc w:val="center"/>
            </w:pPr>
            <w:r>
              <w:t>07/24</w:t>
            </w:r>
          </w:p>
        </w:tc>
      </w:tr>
      <w:tr w:rsidR="00F5654B" w14:paraId="150534C5" w14:textId="77777777" w:rsidTr="00584879">
        <w:trPr>
          <w:cnfStyle w:val="000000100000" w:firstRow="0" w:lastRow="0" w:firstColumn="0" w:lastColumn="0" w:oddVBand="0" w:evenVBand="0" w:oddHBand="1" w:evenHBand="0" w:firstRowFirstColumn="0" w:firstRowLastColumn="0" w:lastRowFirstColumn="0" w:lastRowLastColumn="0"/>
          <w:trHeight w:val="574"/>
        </w:trPr>
        <w:tc>
          <w:tcPr>
            <w:cnfStyle w:val="000010000000" w:firstRow="0" w:lastRow="0" w:firstColumn="0" w:lastColumn="0" w:oddVBand="1" w:evenVBand="0" w:oddHBand="0" w:evenHBand="0" w:firstRowFirstColumn="0" w:firstRowLastColumn="0" w:lastRowFirstColumn="0" w:lastRowLastColumn="0"/>
            <w:tcW w:w="7190" w:type="dxa"/>
          </w:tcPr>
          <w:p w14:paraId="0B382CB0" w14:textId="25B6CE9D" w:rsidR="00F5654B" w:rsidRDefault="00F5654B" w:rsidP="001260DF">
            <w:bookmarkStart w:id="3" w:name="_Hlk172796151"/>
            <w:r>
              <w:t>Annual re</w:t>
            </w:r>
            <w:r w:rsidR="00622DD8">
              <w:t>view.</w:t>
            </w:r>
            <w:r w:rsidR="00F03D79">
              <w:t xml:space="preserve"> </w:t>
            </w:r>
            <w:r w:rsidR="009D7241">
              <w:t xml:space="preserve">Description and background updated with no clinical significance. </w:t>
            </w:r>
            <w:r w:rsidR="00031F4C">
              <w:t xml:space="preserve">Added note regarding criteria applicable to Medicare plans. </w:t>
            </w:r>
            <w:r w:rsidR="00B418D4">
              <w:t xml:space="preserve">Updated I. to specify </w:t>
            </w:r>
            <w:r w:rsidR="00E24FC4">
              <w:t xml:space="preserve">that imaging guidance must be </w:t>
            </w:r>
            <w:r w:rsidR="00B418D4" w:rsidRPr="00B418D4">
              <w:t>fluoroscopic or computed tomograph</w:t>
            </w:r>
            <w:r w:rsidR="00566253">
              <w:t>y</w:t>
            </w:r>
            <w:r w:rsidR="00B418D4">
              <w:t>.</w:t>
            </w:r>
            <w:r w:rsidR="00B418D4" w:rsidRPr="00B418D4">
              <w:t xml:space="preserve"> </w:t>
            </w:r>
            <w:r w:rsidR="000F6457" w:rsidRPr="00965F51">
              <w:t>Added “</w:t>
            </w:r>
            <w:r w:rsidR="000F6457" w:rsidRPr="00BE641A">
              <w:t>posterior pelvic pain provocation test”</w:t>
            </w:r>
            <w:r w:rsidR="000F6457" w:rsidRPr="00965F51">
              <w:t xml:space="preserve"> to </w:t>
            </w:r>
            <w:r w:rsidR="0034662C" w:rsidRPr="00965F51">
              <w:t>I.A.1.c.</w:t>
            </w:r>
            <w:r w:rsidR="00603EB4" w:rsidRPr="00965F51">
              <w:t xml:space="preserve"> </w:t>
            </w:r>
            <w:r w:rsidR="000F6457" w:rsidRPr="00965F51">
              <w:t>for clarit</w:t>
            </w:r>
            <w:r w:rsidR="000F6457">
              <w:t xml:space="preserve">y. </w:t>
            </w:r>
            <w:r w:rsidR="009E66AA">
              <w:t xml:space="preserve">Coding reviewed. </w:t>
            </w:r>
            <w:r w:rsidR="00F03D79">
              <w:t>References reviewed and updated.</w:t>
            </w:r>
          </w:p>
        </w:tc>
        <w:tc>
          <w:tcPr>
            <w:tcW w:w="1198" w:type="dxa"/>
          </w:tcPr>
          <w:p w14:paraId="0517060D" w14:textId="0625BE6B" w:rsidR="00F5654B" w:rsidRDefault="00745229" w:rsidP="005776FD">
            <w:pPr>
              <w:jc w:val="center"/>
              <w:cnfStyle w:val="000000100000" w:firstRow="0" w:lastRow="0" w:firstColumn="0" w:lastColumn="0" w:oddVBand="0" w:evenVBand="0" w:oddHBand="1" w:evenHBand="0" w:firstRowFirstColumn="0" w:firstRowLastColumn="0" w:lastRowFirstColumn="0" w:lastRowLastColumn="0"/>
            </w:pPr>
            <w:r>
              <w:t>07/25</w:t>
            </w:r>
          </w:p>
        </w:tc>
        <w:tc>
          <w:tcPr>
            <w:cnfStyle w:val="000010000000" w:firstRow="0" w:lastRow="0" w:firstColumn="0" w:lastColumn="0" w:oddVBand="1" w:evenVBand="0" w:oddHBand="0" w:evenHBand="0" w:firstRowFirstColumn="0" w:firstRowLastColumn="0" w:lastRowFirstColumn="0" w:lastRowLastColumn="0"/>
            <w:tcW w:w="1260" w:type="dxa"/>
          </w:tcPr>
          <w:p w14:paraId="5F4FD758" w14:textId="0739FC00" w:rsidR="00F5654B" w:rsidRDefault="00456129" w:rsidP="00857C10">
            <w:pPr>
              <w:jc w:val="center"/>
            </w:pPr>
            <w:r>
              <w:t>07/25</w:t>
            </w:r>
          </w:p>
        </w:tc>
      </w:tr>
    </w:tbl>
    <w:p w14:paraId="57885E68" w14:textId="77777777" w:rsidR="0010059F" w:rsidRDefault="0010059F" w:rsidP="00963062">
      <w:pPr>
        <w:pStyle w:val="Heading3"/>
        <w:sectPr w:rsidR="0010059F" w:rsidSect="00CB63DD">
          <w:type w:val="continuous"/>
          <w:pgSz w:w="12240" w:h="15840" w:code="1"/>
          <w:pgMar w:top="1440" w:right="1440" w:bottom="1440" w:left="1440" w:header="576" w:footer="288" w:gutter="0"/>
          <w:cols w:space="720"/>
          <w:titlePg/>
          <w:docGrid w:linePitch="360"/>
        </w:sectPr>
      </w:pPr>
    </w:p>
    <w:p w14:paraId="35E6E5A5" w14:textId="354C9F4F" w:rsidR="00963062" w:rsidRPr="00B777AF" w:rsidRDefault="003F3D44" w:rsidP="00963062">
      <w:pPr>
        <w:pStyle w:val="Heading3"/>
      </w:pPr>
      <w:r>
        <w:t>References</w:t>
      </w:r>
    </w:p>
    <w:p w14:paraId="52E1CD62" w14:textId="6F664716" w:rsidR="004B508F" w:rsidRPr="00B443D6" w:rsidRDefault="00F47DA5">
      <w:pPr>
        <w:pStyle w:val="ListParagraph"/>
        <w:numPr>
          <w:ilvl w:val="0"/>
          <w:numId w:val="21"/>
        </w:numPr>
        <w:ind w:left="360"/>
      </w:pPr>
      <w:r w:rsidRPr="00B443D6">
        <w:t>Visser LH, Woudenberg NP, de Bont J, et al. Treatment of the sacroiliac joint in patients with leg pain: a randomized-controlled trial. </w:t>
      </w:r>
      <w:r w:rsidRPr="00B443D6">
        <w:rPr>
          <w:i/>
        </w:rPr>
        <w:t>Eur Spine J</w:t>
      </w:r>
      <w:r w:rsidRPr="00B443D6">
        <w:t>. 2013;22(10):2310</w:t>
      </w:r>
      <w:r w:rsidR="00E91901" w:rsidRPr="00B443D6">
        <w:t xml:space="preserve"> to </w:t>
      </w:r>
      <w:r w:rsidRPr="00B443D6">
        <w:t>2317. doi:10.1007/s00586-013-2833-2</w:t>
      </w:r>
    </w:p>
    <w:p w14:paraId="36F6386E" w14:textId="41C20849" w:rsidR="00561BB4" w:rsidRPr="00B443D6" w:rsidRDefault="00F47DA5" w:rsidP="009665D8">
      <w:pPr>
        <w:pStyle w:val="ListParagraph"/>
        <w:numPr>
          <w:ilvl w:val="0"/>
          <w:numId w:val="21"/>
        </w:numPr>
        <w:ind w:left="360"/>
      </w:pPr>
      <w:r w:rsidRPr="00B443D6">
        <w:t>van Tilburg CW, Schuurmans FA, Stronks DL, Groeneweg JG, Huygen FJ. Randomized Sham-controlled Double-Blind Multicenter Clinical Trial to Ascertain the Effect of Percutaneous Radiofrequency Treatment for Sacroiliac Joint Pain: Three-month Results. </w:t>
      </w:r>
      <w:r w:rsidRPr="00B443D6">
        <w:rPr>
          <w:i/>
        </w:rPr>
        <w:t>Clin J Pain.</w:t>
      </w:r>
      <w:r w:rsidRPr="00B443D6">
        <w:t xml:space="preserve"> 2016;32(11):921</w:t>
      </w:r>
      <w:r w:rsidR="00E91901" w:rsidRPr="00B443D6">
        <w:t xml:space="preserve"> to </w:t>
      </w:r>
      <w:r w:rsidRPr="00B443D6">
        <w:t>926. doi:10.1097/AJP.0000000000000351</w:t>
      </w:r>
    </w:p>
    <w:p w14:paraId="49453E8E" w14:textId="4BC4A492" w:rsidR="006C460B" w:rsidRPr="00B443D6" w:rsidRDefault="00F47DA5" w:rsidP="006C460B">
      <w:pPr>
        <w:pStyle w:val="ListParagraph"/>
        <w:numPr>
          <w:ilvl w:val="0"/>
          <w:numId w:val="21"/>
        </w:numPr>
        <w:ind w:left="360"/>
      </w:pPr>
      <w:r w:rsidRPr="00B443D6">
        <w:t>Juch JNS, Maas ET, Ostelo RWJG, et al. Effect of Radiofrequency Denervation on Pain Intensity Among Patients With Chronic Low Back Pain: The Mint Randomized Clinical Trials [published correction appears in JAMA. 2017 Sep 26;318(12 ):1188]. </w:t>
      </w:r>
      <w:r w:rsidRPr="00B443D6">
        <w:rPr>
          <w:i/>
        </w:rPr>
        <w:t>JAMA</w:t>
      </w:r>
      <w:r w:rsidRPr="00B443D6">
        <w:t>. 2017;318(1):68</w:t>
      </w:r>
      <w:r w:rsidR="00E91901" w:rsidRPr="00B443D6">
        <w:t xml:space="preserve"> to </w:t>
      </w:r>
      <w:r w:rsidRPr="00B443D6">
        <w:t>81. doi:10.1001/jama.2017.7918</w:t>
      </w:r>
    </w:p>
    <w:p w14:paraId="6A765DF6" w14:textId="51EA5CE4" w:rsidR="00561BB4" w:rsidRPr="00B443D6" w:rsidRDefault="00F47DA5" w:rsidP="00561BB4">
      <w:pPr>
        <w:pStyle w:val="ListParagraph"/>
        <w:numPr>
          <w:ilvl w:val="0"/>
          <w:numId w:val="21"/>
        </w:numPr>
        <w:ind w:left="360"/>
      </w:pPr>
      <w:r w:rsidRPr="00B443D6">
        <w:t>Manchikanti L, Abdi S, Atluri S, et al. An update of comprehensive evidence-based guidelines for interventional techniques in chronic spinal pain. Part II: guidance and recommendations. </w:t>
      </w:r>
      <w:r w:rsidRPr="00B443D6">
        <w:rPr>
          <w:i/>
          <w:iCs/>
        </w:rPr>
        <w:t>Pain Physician</w:t>
      </w:r>
      <w:r w:rsidRPr="00B443D6">
        <w:t>. 2013;16(2 Suppl):S49</w:t>
      </w:r>
      <w:r w:rsidR="00E91901" w:rsidRPr="00B443D6">
        <w:t xml:space="preserve"> to </w:t>
      </w:r>
      <w:r w:rsidRPr="00B443D6">
        <w:t>S283.</w:t>
      </w:r>
    </w:p>
    <w:p w14:paraId="1F2AA767" w14:textId="51BDDE9D" w:rsidR="008B2C07" w:rsidRPr="00B443D6" w:rsidRDefault="0030253E">
      <w:pPr>
        <w:pStyle w:val="ListParagraph"/>
        <w:numPr>
          <w:ilvl w:val="0"/>
          <w:numId w:val="21"/>
        </w:numPr>
        <w:ind w:left="360"/>
      </w:pPr>
      <w:r w:rsidRPr="00B443D6">
        <w:lastRenderedPageBreak/>
        <w:t>Health Technology Assessment</w:t>
      </w:r>
      <w:r w:rsidR="00BC5734" w:rsidRPr="00B443D6">
        <w:t xml:space="preserve">. </w:t>
      </w:r>
      <w:r w:rsidR="000F5AD9" w:rsidRPr="00B443D6">
        <w:t>Conventional r</w:t>
      </w:r>
      <w:r w:rsidR="008B2C07" w:rsidRPr="00B443D6">
        <w:t xml:space="preserve">adiofrequency ablation for sacroiliac joint denervation for chronic low back pain. </w:t>
      </w:r>
      <w:r w:rsidR="00F61892" w:rsidRPr="00B443D6">
        <w:t>Hayes</w:t>
      </w:r>
      <w:r w:rsidR="00F61892">
        <w:t>.</w:t>
      </w:r>
      <w:r w:rsidR="00BC5734">
        <w:t xml:space="preserve"> </w:t>
      </w:r>
      <w:hyperlink r:id="rId15" w:history="1">
        <w:r w:rsidR="00BC5734" w:rsidRPr="00F30733">
          <w:rPr>
            <w:rStyle w:val="Hyperlink"/>
          </w:rPr>
          <w:t>www.hayesinc.com</w:t>
        </w:r>
      </w:hyperlink>
      <w:r w:rsidR="00BC5734">
        <w:t xml:space="preserve">. </w:t>
      </w:r>
      <w:r w:rsidR="00F61892" w:rsidRPr="00B443D6">
        <w:t xml:space="preserve">Published </w:t>
      </w:r>
      <w:r w:rsidR="00261081">
        <w:t xml:space="preserve">August 21, 2012. Updated </w:t>
      </w:r>
      <w:r w:rsidR="00B40C17" w:rsidRPr="00B443D6">
        <w:t>December</w:t>
      </w:r>
      <w:r w:rsidR="00F56C9E" w:rsidRPr="00B443D6">
        <w:t xml:space="preserve"> 6, 2022.</w:t>
      </w:r>
      <w:r w:rsidR="00F61892" w:rsidRPr="00B443D6">
        <w:t xml:space="preserve"> </w:t>
      </w:r>
      <w:r w:rsidR="00842676" w:rsidRPr="00B443D6">
        <w:t>Accessed</w:t>
      </w:r>
      <w:r w:rsidR="00F61892" w:rsidRPr="00B443D6">
        <w:t xml:space="preserve"> </w:t>
      </w:r>
      <w:r w:rsidR="00261081">
        <w:t>June 18, 2025</w:t>
      </w:r>
      <w:r w:rsidR="00F61892" w:rsidRPr="00B443D6">
        <w:t xml:space="preserve">. </w:t>
      </w:r>
    </w:p>
    <w:p w14:paraId="4E3281ED" w14:textId="02788D78" w:rsidR="006744F1" w:rsidRPr="00B443D6" w:rsidRDefault="00173DED" w:rsidP="006744F1">
      <w:pPr>
        <w:pStyle w:val="ListParagraph"/>
        <w:numPr>
          <w:ilvl w:val="0"/>
          <w:numId w:val="21"/>
        </w:numPr>
        <w:ind w:left="360"/>
      </w:pPr>
      <w:r w:rsidRPr="00B443D6">
        <w:t>MacVicar J, Kreiner DS, Duszynski B, Kennedy DJ. Appropriate Use Criteria for Fluoroscopically Guided Diagnostic and Therapeutic Sacroiliac Interventions: Results from the Spine Intervention Society Convened Multispecialty Collaborative. </w:t>
      </w:r>
      <w:r w:rsidRPr="00B443D6">
        <w:rPr>
          <w:i/>
          <w:iCs/>
        </w:rPr>
        <w:t>Pain Med</w:t>
      </w:r>
      <w:r w:rsidRPr="00B443D6">
        <w:t>. 2017;18(11):2081</w:t>
      </w:r>
      <w:r w:rsidR="00E91901" w:rsidRPr="00B443D6">
        <w:t xml:space="preserve"> to </w:t>
      </w:r>
      <w:r w:rsidRPr="00B443D6">
        <w:t>2095. doi:10.1093/pm/pnx253</w:t>
      </w:r>
    </w:p>
    <w:p w14:paraId="208C0CEF" w14:textId="2EC04BBB" w:rsidR="004B508F" w:rsidRPr="00B443D6" w:rsidRDefault="00173DED">
      <w:pPr>
        <w:pStyle w:val="ListParagraph"/>
        <w:numPr>
          <w:ilvl w:val="0"/>
          <w:numId w:val="21"/>
        </w:numPr>
        <w:ind w:left="360"/>
      </w:pPr>
      <w:r w:rsidRPr="00B443D6">
        <w:t>Chou R, Hashimoto R, Friedly J, et al. </w:t>
      </w:r>
      <w:r w:rsidRPr="00B443D6">
        <w:rPr>
          <w:i/>
          <w:iCs/>
        </w:rPr>
        <w:t>Pain Management Injection Therapies for Low Back Pain</w:t>
      </w:r>
      <w:r w:rsidRPr="00B443D6">
        <w:t>. Rockville (MD): Agency for Healthcare Research and Quality (US); 2015.</w:t>
      </w:r>
    </w:p>
    <w:p w14:paraId="0A2D03B7" w14:textId="5B5F2861" w:rsidR="004B508F" w:rsidRPr="00B443D6" w:rsidRDefault="0007420A" w:rsidP="0007420A">
      <w:pPr>
        <w:pStyle w:val="ListParagraph"/>
        <w:numPr>
          <w:ilvl w:val="0"/>
          <w:numId w:val="21"/>
        </w:numPr>
        <w:ind w:left="360"/>
      </w:pPr>
      <w:r w:rsidRPr="00B443D6">
        <w:t>Chou R.</w:t>
      </w:r>
      <w:r w:rsidR="0063752F" w:rsidRPr="00B443D6">
        <w:t xml:space="preserve"> </w:t>
      </w:r>
      <w:r w:rsidRPr="00B443D6">
        <w:t xml:space="preserve">Subacute and chronic low back pain: </w:t>
      </w:r>
      <w:r w:rsidR="0063752F" w:rsidRPr="00B443D6">
        <w:t>n</w:t>
      </w:r>
      <w:r w:rsidRPr="00B443D6">
        <w:t>onsurgical interventional treatment</w:t>
      </w:r>
      <w:r w:rsidR="0063752F" w:rsidRPr="00B443D6">
        <w:t xml:space="preserve">. UpToDate. </w:t>
      </w:r>
      <w:hyperlink r:id="rId16" w:history="1">
        <w:r w:rsidR="0063752F" w:rsidRPr="00263556">
          <w:rPr>
            <w:rStyle w:val="Hyperlink"/>
            <w:shd w:val="clear" w:color="auto" w:fill="FFFFFF"/>
          </w:rPr>
          <w:t>www.uptodate.com</w:t>
        </w:r>
      </w:hyperlink>
      <w:r w:rsidR="0063752F">
        <w:rPr>
          <w:color w:val="000000" w:themeColor="text1"/>
          <w:shd w:val="clear" w:color="auto" w:fill="FFFFFF"/>
        </w:rPr>
        <w:t>.</w:t>
      </w:r>
      <w:r w:rsidR="0063752F" w:rsidRPr="00A9724E">
        <w:rPr>
          <w:shd w:val="clear" w:color="auto" w:fill="FFFFFF"/>
        </w:rPr>
        <w:t xml:space="preserve"> Updated </w:t>
      </w:r>
      <w:r w:rsidR="00486687">
        <w:rPr>
          <w:shd w:val="clear" w:color="auto" w:fill="FFFFFF"/>
        </w:rPr>
        <w:t>April 29, 2025</w:t>
      </w:r>
      <w:r w:rsidR="0063752F" w:rsidRPr="00A9724E">
        <w:rPr>
          <w:shd w:val="clear" w:color="auto" w:fill="FFFFFF"/>
        </w:rPr>
        <w:t xml:space="preserve">. </w:t>
      </w:r>
      <w:r w:rsidRPr="00B443D6">
        <w:t xml:space="preserve">Accessed </w:t>
      </w:r>
      <w:r w:rsidR="00486687">
        <w:t>June 18, 2025</w:t>
      </w:r>
      <w:r w:rsidR="0063752F" w:rsidRPr="00B443D6">
        <w:t xml:space="preserve">. </w:t>
      </w:r>
    </w:p>
    <w:p w14:paraId="631F3D22" w14:textId="292232DE" w:rsidR="0007420A" w:rsidRPr="00B443D6" w:rsidRDefault="00173DED" w:rsidP="0007420A">
      <w:pPr>
        <w:pStyle w:val="ListParagraph"/>
        <w:numPr>
          <w:ilvl w:val="0"/>
          <w:numId w:val="21"/>
        </w:numPr>
        <w:ind w:left="360"/>
      </w:pPr>
      <w:r w:rsidRPr="00B443D6">
        <w:t>Chou R, Qaseem A, Snow V, et al. Diagnosis and treatment of low back pain: a joint clinical practice guideline from the American College of Physicians and the American Pain Society [published correction appears in Ann Intern Med. 2008 Feb 5;148(3):247-8]. </w:t>
      </w:r>
      <w:r w:rsidRPr="00B443D6">
        <w:rPr>
          <w:i/>
          <w:iCs/>
        </w:rPr>
        <w:t>Ann Intern Med</w:t>
      </w:r>
      <w:r w:rsidRPr="00B443D6">
        <w:t>. 2007;147(7):47</w:t>
      </w:r>
      <w:r w:rsidR="00E91901" w:rsidRPr="00B443D6">
        <w:t xml:space="preserve"> to </w:t>
      </w:r>
      <w:r w:rsidRPr="00B443D6">
        <w:t>491. doi:10.7326/0003-4819-147-7-200710020-00006</w:t>
      </w:r>
    </w:p>
    <w:p w14:paraId="4079345E" w14:textId="20063695" w:rsidR="0007420A" w:rsidRPr="00B443D6" w:rsidRDefault="00173DED" w:rsidP="0007420A">
      <w:pPr>
        <w:pStyle w:val="ListParagraph"/>
        <w:numPr>
          <w:ilvl w:val="0"/>
          <w:numId w:val="21"/>
        </w:numPr>
        <w:ind w:left="360"/>
      </w:pPr>
      <w:r w:rsidRPr="00B443D6">
        <w:t>Chou R, Qaseem A, Owens DK, Shekelle P; Clinical Guidelines Committee of the American College of Physicians. Diagnostic imaging for low back pain: advice for high-value health care from the American College of Physicians [published correction appears in Ann Intern Med. 2012 Jan 3;156(1 Pt 1):71]. </w:t>
      </w:r>
      <w:r w:rsidRPr="00B443D6">
        <w:rPr>
          <w:i/>
          <w:iCs/>
        </w:rPr>
        <w:t>Ann Intern Med</w:t>
      </w:r>
      <w:r w:rsidRPr="00B443D6">
        <w:t>. 2011;154(3):181</w:t>
      </w:r>
      <w:r w:rsidR="00E91901" w:rsidRPr="00B443D6">
        <w:t xml:space="preserve"> to </w:t>
      </w:r>
      <w:r w:rsidRPr="00B443D6">
        <w:t>189. doi:10.7326/0003-4819-154-3-201102010-00008</w:t>
      </w:r>
    </w:p>
    <w:p w14:paraId="04DACD06" w14:textId="2968B3FE" w:rsidR="0007420A" w:rsidRPr="00B443D6" w:rsidRDefault="00173DED" w:rsidP="0007420A">
      <w:pPr>
        <w:pStyle w:val="ListParagraph"/>
        <w:numPr>
          <w:ilvl w:val="0"/>
          <w:numId w:val="21"/>
        </w:numPr>
        <w:ind w:left="360"/>
      </w:pPr>
      <w:r w:rsidRPr="00B443D6">
        <w:t>Chou R, Loeser JD, Owens DK, et al. Interventional therapies, surgery, and interdisciplinary rehabilitation for low back pain: an evidence-based clinical practice guideline from the American Pain Society. </w:t>
      </w:r>
      <w:r w:rsidRPr="00B443D6">
        <w:rPr>
          <w:i/>
          <w:iCs/>
        </w:rPr>
        <w:t>Spine (Phila Pa 1976)</w:t>
      </w:r>
      <w:r w:rsidRPr="00B443D6">
        <w:t>. 2009;34(10):1066</w:t>
      </w:r>
      <w:r w:rsidR="00E91901" w:rsidRPr="00B443D6">
        <w:t xml:space="preserve"> to </w:t>
      </w:r>
      <w:r w:rsidRPr="00B443D6">
        <w:t>1077. doi:10.1097/BRS.0b013e3181a1390d</w:t>
      </w:r>
    </w:p>
    <w:p w14:paraId="02C4EB1F" w14:textId="6C9D097F" w:rsidR="0007420A" w:rsidRPr="00B443D6" w:rsidRDefault="0007420A" w:rsidP="00584879">
      <w:pPr>
        <w:pStyle w:val="ListParagraph"/>
        <w:numPr>
          <w:ilvl w:val="0"/>
          <w:numId w:val="21"/>
        </w:numPr>
        <w:ind w:left="360"/>
      </w:pPr>
      <w:r w:rsidRPr="00B443D6">
        <w:t xml:space="preserve">Heggeness MH. AAOS endorses back pain guidelines. </w:t>
      </w:r>
      <w:r w:rsidRPr="00B443D6">
        <w:rPr>
          <w:i/>
        </w:rPr>
        <w:t>AAOS Now</w:t>
      </w:r>
      <w:r w:rsidRPr="00B443D6">
        <w:t xml:space="preserve">. </w:t>
      </w:r>
      <w:hyperlink r:id="rId17" w:history="1">
        <w:r w:rsidR="0063752F" w:rsidRPr="00AC7F39">
          <w:rPr>
            <w:rStyle w:val="Hyperlink"/>
          </w:rPr>
          <w:t>https://www.mainegeneral.org/app/files/public/6460f387-09dc-4968-b162-eee6121a1497/aaosbackpainguidelines.pdf</w:t>
        </w:r>
      </w:hyperlink>
      <w:r w:rsidR="0063752F">
        <w:t xml:space="preserve">. </w:t>
      </w:r>
      <w:r w:rsidR="0063752F" w:rsidRPr="00B443D6">
        <w:t xml:space="preserve">Published </w:t>
      </w:r>
      <w:r w:rsidRPr="00B443D6">
        <w:t>Sept</w:t>
      </w:r>
      <w:r w:rsidR="0063752F" w:rsidRPr="00B443D6">
        <w:t>ember</w:t>
      </w:r>
      <w:r w:rsidRPr="00B443D6">
        <w:t xml:space="preserve"> 2010</w:t>
      </w:r>
      <w:r w:rsidR="0063752F" w:rsidRPr="00B443D6">
        <w:t xml:space="preserve">. Accessed </w:t>
      </w:r>
      <w:r w:rsidR="00280277">
        <w:t>June 18, 2025</w:t>
      </w:r>
      <w:r w:rsidR="00AA08DF" w:rsidRPr="00B443D6">
        <w:t>.</w:t>
      </w:r>
    </w:p>
    <w:p w14:paraId="2791E0FA" w14:textId="2C487021" w:rsidR="0007420A" w:rsidRPr="00B443D6" w:rsidRDefault="00173DED" w:rsidP="0007420A">
      <w:pPr>
        <w:pStyle w:val="ListParagraph"/>
        <w:numPr>
          <w:ilvl w:val="0"/>
          <w:numId w:val="21"/>
        </w:numPr>
        <w:ind w:left="360"/>
      </w:pPr>
      <w:r w:rsidRPr="00B443D6">
        <w:t>Laslett M. Evidence-based diagnosis and treatment of the painful sacroiliac joint. </w:t>
      </w:r>
      <w:r w:rsidRPr="00B443D6">
        <w:rPr>
          <w:i/>
          <w:iCs/>
        </w:rPr>
        <w:t>J Man Manip Ther</w:t>
      </w:r>
      <w:r w:rsidRPr="00B443D6">
        <w:t>. 2008;16(3):142</w:t>
      </w:r>
      <w:r w:rsidR="0094601B" w:rsidRPr="00B443D6">
        <w:t xml:space="preserve"> to </w:t>
      </w:r>
      <w:r w:rsidRPr="00B443D6">
        <w:t>152. doi:10.1179/jmt.2008.16.3.142</w:t>
      </w:r>
    </w:p>
    <w:p w14:paraId="227099CF" w14:textId="78120E24" w:rsidR="0007420A" w:rsidRPr="00B443D6" w:rsidRDefault="00173DED" w:rsidP="0007420A">
      <w:pPr>
        <w:pStyle w:val="ListParagraph"/>
        <w:numPr>
          <w:ilvl w:val="0"/>
          <w:numId w:val="21"/>
        </w:numPr>
        <w:ind w:left="360"/>
      </w:pPr>
      <w:r w:rsidRPr="00B443D6">
        <w:t>Maas ET, Ostelo RW, Niemisto L, et al. Radiofrequency denervation for chronic low back pain. </w:t>
      </w:r>
      <w:r w:rsidRPr="00B443D6">
        <w:rPr>
          <w:i/>
          <w:iCs/>
        </w:rPr>
        <w:t>Cochrane Database Syst Rev</w:t>
      </w:r>
      <w:r w:rsidRPr="00B443D6">
        <w:t xml:space="preserve">. 2015;(10):CD008572. Published 2015 Oct 23. doi:10.1002/14651858.CD008572.pub2. </w:t>
      </w:r>
    </w:p>
    <w:p w14:paraId="1DCE256D" w14:textId="17B3335B" w:rsidR="0007420A" w:rsidRPr="00B443D6" w:rsidRDefault="00173DED" w:rsidP="0007420A">
      <w:pPr>
        <w:pStyle w:val="ListParagraph"/>
        <w:numPr>
          <w:ilvl w:val="0"/>
          <w:numId w:val="21"/>
        </w:numPr>
        <w:ind w:left="360"/>
      </w:pPr>
      <w:r w:rsidRPr="00B443D6">
        <w:t>Manchikanti L, Datta S, Derby R, et al. A critical review of the American Pain Society clinical practice guidelines for interventional techniques: part 1. Diagnostic interventions. </w:t>
      </w:r>
      <w:r w:rsidRPr="00B443D6">
        <w:rPr>
          <w:i/>
          <w:iCs/>
        </w:rPr>
        <w:t>Pain Physician</w:t>
      </w:r>
      <w:r w:rsidRPr="00B443D6">
        <w:t>. 2010;13(3):E141</w:t>
      </w:r>
      <w:r w:rsidR="001E010A" w:rsidRPr="00B443D6">
        <w:t xml:space="preserve"> to </w:t>
      </w:r>
      <w:r w:rsidRPr="00B443D6">
        <w:t>E174.</w:t>
      </w:r>
    </w:p>
    <w:p w14:paraId="087E8DC9" w14:textId="50C5E15B" w:rsidR="0007420A" w:rsidRPr="00B443D6" w:rsidRDefault="00173DED" w:rsidP="0007420A">
      <w:pPr>
        <w:pStyle w:val="ListParagraph"/>
        <w:numPr>
          <w:ilvl w:val="0"/>
          <w:numId w:val="21"/>
        </w:numPr>
        <w:ind w:left="360"/>
      </w:pPr>
      <w:r w:rsidRPr="00B443D6">
        <w:t>Manchikanti L, Datta S, Gupta S, et al. A critical review of the American Pain Society clinical practice guidelines for interventional techniques: part 2. Therapeutic interventions. </w:t>
      </w:r>
      <w:r w:rsidRPr="00B443D6">
        <w:rPr>
          <w:i/>
          <w:iCs/>
        </w:rPr>
        <w:t>Pain Physician</w:t>
      </w:r>
      <w:r w:rsidRPr="00B443D6">
        <w:t>. 2010;13(4):E215</w:t>
      </w:r>
      <w:r w:rsidR="001E010A" w:rsidRPr="00B443D6">
        <w:t xml:space="preserve"> to </w:t>
      </w:r>
      <w:r w:rsidRPr="00B443D6">
        <w:t>E264.</w:t>
      </w:r>
    </w:p>
    <w:p w14:paraId="00B386A7" w14:textId="5F823B6E" w:rsidR="0007420A" w:rsidRPr="00B443D6" w:rsidRDefault="0007420A" w:rsidP="0007420A">
      <w:pPr>
        <w:pStyle w:val="ListParagraph"/>
        <w:numPr>
          <w:ilvl w:val="0"/>
          <w:numId w:val="21"/>
        </w:numPr>
        <w:ind w:left="360"/>
      </w:pPr>
      <w:r w:rsidRPr="00B443D6">
        <w:t xml:space="preserve"> </w:t>
      </w:r>
      <w:r w:rsidR="00173DED" w:rsidRPr="00B443D6">
        <w:t>Simopoulos TT, Manchikanti L, Gupta S, et al. Systematic Review of the Diagnostic Accuracy and Therapeutic Effectiveness of Sacroiliac Joint Interventions. </w:t>
      </w:r>
      <w:r w:rsidR="00173DED" w:rsidRPr="00B443D6">
        <w:rPr>
          <w:i/>
          <w:iCs/>
        </w:rPr>
        <w:t>Pain Physician</w:t>
      </w:r>
      <w:r w:rsidR="00173DED" w:rsidRPr="00B443D6">
        <w:t>. 2015;18(5):E713</w:t>
      </w:r>
      <w:r w:rsidR="002C2E4A">
        <w:t xml:space="preserve"> to </w:t>
      </w:r>
      <w:r w:rsidR="00173DED" w:rsidRPr="00B443D6">
        <w:t>E756.</w:t>
      </w:r>
    </w:p>
    <w:p w14:paraId="02416407" w14:textId="42A31693" w:rsidR="0007420A" w:rsidRPr="00B443D6" w:rsidRDefault="0007420A" w:rsidP="0007420A">
      <w:pPr>
        <w:pStyle w:val="ListParagraph"/>
        <w:numPr>
          <w:ilvl w:val="0"/>
          <w:numId w:val="21"/>
        </w:numPr>
        <w:ind w:left="360"/>
      </w:pPr>
      <w:r w:rsidRPr="00B443D6">
        <w:t xml:space="preserve"> </w:t>
      </w:r>
      <w:r w:rsidR="00173DED" w:rsidRPr="00B443D6">
        <w:t>Soloman M, Mekhail MN, Mekhail N. Radiofrequency treatment in chronic pain. </w:t>
      </w:r>
      <w:r w:rsidR="00173DED" w:rsidRPr="00B443D6">
        <w:rPr>
          <w:i/>
          <w:iCs/>
        </w:rPr>
        <w:t>Expert Rev Neurother</w:t>
      </w:r>
      <w:r w:rsidR="00173DED" w:rsidRPr="00B443D6">
        <w:t>. 2010;10(3):469</w:t>
      </w:r>
      <w:r w:rsidR="00F6144C" w:rsidRPr="00B443D6">
        <w:t xml:space="preserve"> to </w:t>
      </w:r>
      <w:r w:rsidR="00173DED" w:rsidRPr="00B443D6">
        <w:t>474. doi:10.1586/ern.09.153</w:t>
      </w:r>
    </w:p>
    <w:p w14:paraId="21A70C3B" w14:textId="33B089B6" w:rsidR="0007420A" w:rsidRPr="00B443D6" w:rsidRDefault="00173DED" w:rsidP="0007420A">
      <w:pPr>
        <w:pStyle w:val="ListParagraph"/>
        <w:numPr>
          <w:ilvl w:val="0"/>
          <w:numId w:val="21"/>
        </w:numPr>
        <w:ind w:left="360"/>
      </w:pPr>
      <w:r w:rsidRPr="00B443D6">
        <w:lastRenderedPageBreak/>
        <w:t>Staal JB, de Bie R, de Vet HC, Hildebrandt J, Nelemans P. Injection therapy for subacute and chronic low-back pain. </w:t>
      </w:r>
      <w:r w:rsidRPr="00B443D6">
        <w:rPr>
          <w:i/>
          <w:iCs/>
        </w:rPr>
        <w:t>Cochrane Database Syst Rev</w:t>
      </w:r>
      <w:r w:rsidRPr="00B443D6">
        <w:t>. 2008;2008(3):CD001824. Published 2008 Jul 16. doi:10.1002/14651858.CD001824.pub3</w:t>
      </w:r>
    </w:p>
    <w:p w14:paraId="0CFD1579" w14:textId="65B66D94" w:rsidR="003760F4" w:rsidRPr="00B443D6" w:rsidRDefault="00672C9F" w:rsidP="00FD540B">
      <w:pPr>
        <w:pStyle w:val="ListParagraph"/>
        <w:numPr>
          <w:ilvl w:val="0"/>
          <w:numId w:val="21"/>
        </w:numPr>
        <w:ind w:left="360"/>
      </w:pPr>
      <w:r w:rsidRPr="00B443D6">
        <w:t>Qaseem A, Wilt TJ, McLean RM, et al. Noninvasive Treatments for Acute, Subacute, and Chronic Low Back Pain: A Clinical Practice Guideline From the American College of Physicians. </w:t>
      </w:r>
      <w:r w:rsidRPr="00B443D6">
        <w:rPr>
          <w:i/>
          <w:iCs/>
        </w:rPr>
        <w:t>Ann Intern Med</w:t>
      </w:r>
      <w:r w:rsidRPr="00B443D6">
        <w:t>. 2017;166(7):514</w:t>
      </w:r>
      <w:r w:rsidR="00D77564" w:rsidRPr="00B443D6">
        <w:t xml:space="preserve"> to </w:t>
      </w:r>
      <w:r w:rsidRPr="00B443D6">
        <w:t>530. doi:10.7326/M16-2367</w:t>
      </w:r>
    </w:p>
    <w:p w14:paraId="0598A515" w14:textId="27C14B5E" w:rsidR="003267A6" w:rsidRPr="00B443D6" w:rsidRDefault="00173DED" w:rsidP="00FD540B">
      <w:pPr>
        <w:pStyle w:val="ListParagraph"/>
        <w:numPr>
          <w:ilvl w:val="0"/>
          <w:numId w:val="21"/>
        </w:numPr>
        <w:ind w:left="360"/>
      </w:pPr>
      <w:r w:rsidRPr="00B443D6">
        <w:t>Chen CH, Weng PW, Wu LC, Chiang YF, Chiang CJ. Radiofrequency neurotomy in chronic lumbar and sacroiliac joint pain: A meta-analysis. </w:t>
      </w:r>
      <w:r w:rsidRPr="00B443D6">
        <w:rPr>
          <w:i/>
          <w:iCs/>
        </w:rPr>
        <w:t>Medicine (Baltimore)</w:t>
      </w:r>
      <w:r w:rsidRPr="00B443D6">
        <w:t>. 2019;98(26):e16230. doi:10.1097/MD.0000000000016230</w:t>
      </w:r>
    </w:p>
    <w:p w14:paraId="7AD7EE4A" w14:textId="222ED330" w:rsidR="003760F4" w:rsidRPr="00B443D6" w:rsidRDefault="00672C9F" w:rsidP="00584879">
      <w:pPr>
        <w:pStyle w:val="ListParagraph"/>
        <w:numPr>
          <w:ilvl w:val="0"/>
          <w:numId w:val="21"/>
        </w:numPr>
        <w:ind w:left="360"/>
      </w:pPr>
      <w:r w:rsidRPr="00B443D6">
        <w:t xml:space="preserve">North American Spine Society. </w:t>
      </w:r>
      <w:r w:rsidR="003267A6" w:rsidRPr="00B443D6">
        <w:t>Evidence-</w:t>
      </w:r>
      <w:r w:rsidR="006B5F3E" w:rsidRPr="00B443D6">
        <w:t>b</w:t>
      </w:r>
      <w:r w:rsidR="003267A6" w:rsidRPr="00B443D6">
        <w:t xml:space="preserve">ased </w:t>
      </w:r>
      <w:r w:rsidR="006B5F3E" w:rsidRPr="00B443D6">
        <w:t>c</w:t>
      </w:r>
      <w:r w:rsidR="003267A6" w:rsidRPr="00B443D6">
        <w:t xml:space="preserve">linical </w:t>
      </w:r>
      <w:r w:rsidR="006B5F3E" w:rsidRPr="00B443D6">
        <w:t>g</w:t>
      </w:r>
      <w:r w:rsidR="003267A6" w:rsidRPr="00B443D6">
        <w:t xml:space="preserve">uidelines for </w:t>
      </w:r>
      <w:r w:rsidR="006B5F3E" w:rsidRPr="00B443D6">
        <w:t>m</w:t>
      </w:r>
      <w:r w:rsidR="003267A6" w:rsidRPr="00B443D6">
        <w:t xml:space="preserve">ultidisciplinary </w:t>
      </w:r>
      <w:r w:rsidR="006B5F3E" w:rsidRPr="00B443D6">
        <w:t>s</w:t>
      </w:r>
      <w:r w:rsidR="003267A6" w:rsidRPr="00B443D6">
        <w:t xml:space="preserve">pine </w:t>
      </w:r>
      <w:r w:rsidR="006B5F3E" w:rsidRPr="00B443D6">
        <w:t>c</w:t>
      </w:r>
      <w:r w:rsidR="003267A6" w:rsidRPr="00B443D6">
        <w:t>are:</w:t>
      </w:r>
      <w:r w:rsidR="006B5F3E" w:rsidRPr="00B443D6">
        <w:t xml:space="preserve"> d</w:t>
      </w:r>
      <w:r w:rsidR="003267A6" w:rsidRPr="00B443D6">
        <w:t xml:space="preserve">iagnosis and </w:t>
      </w:r>
      <w:r w:rsidR="006B5F3E" w:rsidRPr="00B443D6">
        <w:t>t</w:t>
      </w:r>
      <w:r w:rsidR="003267A6" w:rsidRPr="00B443D6">
        <w:t xml:space="preserve">reatment of </w:t>
      </w:r>
      <w:r w:rsidR="006B5F3E" w:rsidRPr="00B443D6">
        <w:t>l</w:t>
      </w:r>
      <w:r w:rsidR="003267A6" w:rsidRPr="00B443D6">
        <w:t xml:space="preserve">ow </w:t>
      </w:r>
      <w:r w:rsidR="006B5F3E" w:rsidRPr="00B443D6">
        <w:t>b</w:t>
      </w:r>
      <w:r w:rsidR="003267A6" w:rsidRPr="00B443D6">
        <w:t xml:space="preserve">ack </w:t>
      </w:r>
      <w:r w:rsidR="006B5F3E" w:rsidRPr="00B443D6">
        <w:t>p</w:t>
      </w:r>
      <w:r w:rsidR="003267A6" w:rsidRPr="00B443D6">
        <w:t>ain</w:t>
      </w:r>
      <w:r w:rsidR="006B5F3E" w:rsidRPr="00B443D6">
        <w:t xml:space="preserve">. </w:t>
      </w:r>
      <w:hyperlink r:id="rId18" w:history="1">
        <w:r w:rsidR="006B5F3E" w:rsidRPr="00AC7F39">
          <w:rPr>
            <w:rStyle w:val="Hyperlink"/>
          </w:rPr>
          <w:t>https://www.spine.org/Portals/0/assets/downloads/ResearchClinicalCare/Guidelines/LowBackPain.pdf</w:t>
        </w:r>
      </w:hyperlink>
      <w:r w:rsidR="006B5F3E">
        <w:t xml:space="preserve">. </w:t>
      </w:r>
      <w:r w:rsidR="00B56C24" w:rsidRPr="00B443D6">
        <w:t xml:space="preserve">Published </w:t>
      </w:r>
      <w:r w:rsidR="006B5F3E" w:rsidRPr="00B443D6">
        <w:t>2020</w:t>
      </w:r>
      <w:r w:rsidR="00B56C24" w:rsidRPr="00B443D6">
        <w:t>.</w:t>
      </w:r>
      <w:r w:rsidR="006B5F3E" w:rsidRPr="00B443D6">
        <w:t xml:space="preserve"> </w:t>
      </w:r>
      <w:r w:rsidR="003267A6" w:rsidRPr="00B443D6">
        <w:t xml:space="preserve">Accessed </w:t>
      </w:r>
      <w:r w:rsidR="005803C4">
        <w:t>June 18, 2025</w:t>
      </w:r>
      <w:r w:rsidR="006B5F3E" w:rsidRPr="00B443D6">
        <w:t xml:space="preserve">. </w:t>
      </w:r>
    </w:p>
    <w:p w14:paraId="474F305F" w14:textId="1746D3D1" w:rsidR="00283029" w:rsidRPr="00B443D6" w:rsidRDefault="00283029" w:rsidP="009702E4">
      <w:pPr>
        <w:pStyle w:val="ListParagraph"/>
        <w:numPr>
          <w:ilvl w:val="0"/>
          <w:numId w:val="21"/>
        </w:numPr>
        <w:ind w:left="360"/>
      </w:pPr>
      <w:r w:rsidRPr="00B443D6">
        <w:t xml:space="preserve">Janapala RN, Manchikanti L, Sanapati MR, et al. Efficacy of radiofrequency neurotomy in chronic low back pain: a systematic review and meta-analysis. </w:t>
      </w:r>
      <w:r w:rsidRPr="00B443D6">
        <w:rPr>
          <w:i/>
          <w:iCs/>
        </w:rPr>
        <w:t>J Pain Res</w:t>
      </w:r>
      <w:r w:rsidRPr="00B443D6">
        <w:t>. 2021;14:2859</w:t>
      </w:r>
      <w:r w:rsidR="00D77564" w:rsidRPr="00B443D6">
        <w:t xml:space="preserve"> to </w:t>
      </w:r>
      <w:r w:rsidRPr="00B443D6">
        <w:t>2891. Published 2021 Sep 10. doi:10.2147/JPR.S323362</w:t>
      </w:r>
    </w:p>
    <w:p w14:paraId="607A0DDB" w14:textId="21FDD249" w:rsidR="002212D6" w:rsidRPr="00B443D6" w:rsidRDefault="002212D6" w:rsidP="002212D6">
      <w:pPr>
        <w:pStyle w:val="ListParagraph"/>
        <w:numPr>
          <w:ilvl w:val="0"/>
          <w:numId w:val="21"/>
        </w:numPr>
        <w:ind w:left="360"/>
      </w:pPr>
      <w:r w:rsidRPr="00B443D6">
        <w:t>Ho KY, Hadi MA, Pasutharnchat K, Tan KH. Cooled radiofrequency denervation for treatment of sacroiliac joint pain: two-year results from 20 cases. </w:t>
      </w:r>
      <w:r w:rsidRPr="00B443D6">
        <w:rPr>
          <w:i/>
          <w:iCs/>
        </w:rPr>
        <w:t>J Pain Res</w:t>
      </w:r>
      <w:r w:rsidRPr="00B443D6">
        <w:t>. 2013;6:505</w:t>
      </w:r>
      <w:r w:rsidR="00D77564" w:rsidRPr="00B443D6">
        <w:t xml:space="preserve"> to </w:t>
      </w:r>
      <w:r w:rsidRPr="00B443D6">
        <w:t>511. Published 2013 Jul 4. doi:10.2147/JPR.S46827</w:t>
      </w:r>
    </w:p>
    <w:p w14:paraId="473AA69A" w14:textId="7968A550" w:rsidR="00830C23" w:rsidRPr="00B443D6" w:rsidRDefault="00554EE7" w:rsidP="002212D6">
      <w:pPr>
        <w:pStyle w:val="ListParagraph"/>
        <w:numPr>
          <w:ilvl w:val="0"/>
          <w:numId w:val="21"/>
        </w:numPr>
        <w:ind w:left="360"/>
      </w:pPr>
      <w:r w:rsidRPr="00B443D6">
        <w:t xml:space="preserve">Chou R, Fu R, Dana T, Pappas M, Hart E, Mauer KM. Interventional Treatments for Acute and Chronic Pain: Systematic Review. Comparative Effectiveness Review No. 247. (Prepared by the Pacific Northwest Evidence-based Practice Center under Contract No. 75Q80120D00006.) AHRQ Publication No. 21-EHC030. Rockville, MD: Agency for Healthcare Research and Quality; September 2021. </w:t>
      </w:r>
      <w:r w:rsidR="00600534">
        <w:t>doi</w:t>
      </w:r>
      <w:r w:rsidRPr="00B443D6">
        <w:t>: 10.23970/AHRQEPCCER247</w:t>
      </w:r>
    </w:p>
    <w:p w14:paraId="0FEC1D38" w14:textId="550A629C" w:rsidR="006B4665" w:rsidRPr="00B443D6" w:rsidRDefault="006B4665" w:rsidP="002212D6">
      <w:pPr>
        <w:pStyle w:val="ListParagraph"/>
        <w:numPr>
          <w:ilvl w:val="0"/>
          <w:numId w:val="21"/>
        </w:numPr>
        <w:ind w:left="360"/>
      </w:pPr>
      <w:r w:rsidRPr="00B443D6">
        <w:t>Local Coverage Determination</w:t>
      </w:r>
      <w:r w:rsidR="00870597" w:rsidRPr="00B443D6">
        <w:t xml:space="preserve">: </w:t>
      </w:r>
      <w:r w:rsidR="00EE0672" w:rsidRPr="00B443D6">
        <w:t>sacroiliac joint</w:t>
      </w:r>
      <w:r w:rsidR="003706EF" w:rsidRPr="00B443D6">
        <w:t xml:space="preserve"> injections and procedures</w:t>
      </w:r>
      <w:r w:rsidR="003462FB" w:rsidRPr="00B443D6">
        <w:t xml:space="preserve"> (L39383). Centers for Medic</w:t>
      </w:r>
      <w:r w:rsidR="009E70AC" w:rsidRPr="00B443D6">
        <w:t>are and Medicaid Services Web site</w:t>
      </w:r>
      <w:r w:rsidR="009E70AC">
        <w:t>.</w:t>
      </w:r>
      <w:r w:rsidR="00D848CC">
        <w:t xml:space="preserve"> </w:t>
      </w:r>
      <w:r w:rsidR="00F775B8" w:rsidRPr="00F775B8">
        <w:t>https://www.cms.gov/medicare-coverage-database/search.aspx</w:t>
      </w:r>
      <w:r w:rsidR="00D848CC" w:rsidRPr="00D848CC">
        <w:t>.</w:t>
      </w:r>
      <w:r w:rsidR="007001A5">
        <w:t xml:space="preserve"> </w:t>
      </w:r>
      <w:r w:rsidR="00C11C3A" w:rsidRPr="00B443D6">
        <w:t>Published</w:t>
      </w:r>
      <w:r w:rsidR="00214401" w:rsidRPr="00B443D6">
        <w:t xml:space="preserve"> March 19, 2023. </w:t>
      </w:r>
      <w:r w:rsidR="005E1BC4">
        <w:t xml:space="preserve">Updated March 27, 2025. </w:t>
      </w:r>
      <w:r w:rsidR="00214401" w:rsidRPr="00B443D6">
        <w:t xml:space="preserve">Accessed </w:t>
      </w:r>
      <w:r w:rsidR="005E1BC4">
        <w:t xml:space="preserve">June </w:t>
      </w:r>
      <w:r w:rsidR="00FC73A2">
        <w:t>2</w:t>
      </w:r>
      <w:r w:rsidR="00F775B8">
        <w:t>6</w:t>
      </w:r>
      <w:r w:rsidR="005E1BC4">
        <w:t>, 2025</w:t>
      </w:r>
      <w:r w:rsidR="00214401" w:rsidRPr="00B443D6">
        <w:t xml:space="preserve">. </w:t>
      </w:r>
    </w:p>
    <w:p w14:paraId="2BCA2D25" w14:textId="0A75DBC8" w:rsidR="00F77E1F" w:rsidRDefault="006D12FE" w:rsidP="002212D6">
      <w:pPr>
        <w:pStyle w:val="ListParagraph"/>
        <w:numPr>
          <w:ilvl w:val="0"/>
          <w:numId w:val="21"/>
        </w:numPr>
        <w:ind w:left="360"/>
      </w:pPr>
      <w:r w:rsidRPr="00B443D6">
        <w:t xml:space="preserve">North American Spine Society. </w:t>
      </w:r>
      <w:r w:rsidR="00C552D7" w:rsidRPr="00B443D6">
        <w:t xml:space="preserve">Coverage </w:t>
      </w:r>
      <w:r w:rsidR="00C84BA7" w:rsidRPr="00B443D6">
        <w:t>p</w:t>
      </w:r>
      <w:r w:rsidR="00C552D7" w:rsidRPr="00B443D6">
        <w:t xml:space="preserve">olicy </w:t>
      </w:r>
      <w:r w:rsidR="00C84BA7" w:rsidRPr="00B443D6">
        <w:t>r</w:t>
      </w:r>
      <w:r w:rsidR="00C552D7" w:rsidRPr="00B443D6">
        <w:t>ecommendations</w:t>
      </w:r>
      <w:r w:rsidR="00C84BA7" w:rsidRPr="00B443D6">
        <w:t>: sacroiliac joint injections and radiofrequency ablation</w:t>
      </w:r>
      <w:r w:rsidR="00D24A9F" w:rsidRPr="00B443D6">
        <w:t>.</w:t>
      </w:r>
      <w:r w:rsidR="00B774C7" w:rsidRPr="00B443D6">
        <w:t xml:space="preserve"> </w:t>
      </w:r>
      <w:hyperlink r:id="rId19" w:history="1">
        <w:r w:rsidR="007316BD" w:rsidRPr="007316BD">
          <w:rPr>
            <w:rStyle w:val="Hyperlink"/>
          </w:rPr>
          <w:t>https://www.spine.org/Coverage</w:t>
        </w:r>
      </w:hyperlink>
      <w:r w:rsidR="00537913">
        <w:t>.</w:t>
      </w:r>
      <w:r w:rsidR="007316BD">
        <w:t xml:space="preserve"> </w:t>
      </w:r>
      <w:r w:rsidR="00E648AB" w:rsidRPr="00B443D6">
        <w:t xml:space="preserve">Published October 2020. Accessed </w:t>
      </w:r>
      <w:r w:rsidR="00DD1CC8">
        <w:t xml:space="preserve">June </w:t>
      </w:r>
      <w:r w:rsidR="00FC73A2">
        <w:t>2</w:t>
      </w:r>
      <w:r w:rsidR="00DF31C8">
        <w:t>6</w:t>
      </w:r>
      <w:r w:rsidR="00DD1CC8">
        <w:t>, 2025</w:t>
      </w:r>
      <w:r w:rsidR="00E648AB" w:rsidRPr="00B443D6">
        <w:t>.</w:t>
      </w:r>
    </w:p>
    <w:p w14:paraId="37D9AE57" w14:textId="6FA83E1F" w:rsidR="00237514" w:rsidRDefault="00CB339E" w:rsidP="002212D6">
      <w:pPr>
        <w:pStyle w:val="ListParagraph"/>
        <w:numPr>
          <w:ilvl w:val="0"/>
          <w:numId w:val="21"/>
        </w:numPr>
        <w:ind w:left="360"/>
      </w:pPr>
      <w:r>
        <w:t>Kishner S</w:t>
      </w:r>
      <w:r w:rsidR="008D2ED9">
        <w:t>, Faciane JL</w:t>
      </w:r>
      <w:r w:rsidR="00996B79">
        <w:t>.</w:t>
      </w:r>
      <w:r>
        <w:t xml:space="preserve"> Sacroiliac joint injection periprocedural care. </w:t>
      </w:r>
      <w:r w:rsidR="00F536E7">
        <w:t>Medscape.</w:t>
      </w:r>
      <w:r w:rsidR="00EB1A61">
        <w:t xml:space="preserve"> </w:t>
      </w:r>
      <w:r w:rsidR="00F536E7">
        <w:t xml:space="preserve"> </w:t>
      </w:r>
      <w:hyperlink r:id="rId20" w:history="1">
        <w:r w:rsidR="007316BD" w:rsidRPr="008F159C">
          <w:rPr>
            <w:rStyle w:val="Hyperlink"/>
          </w:rPr>
          <w:t>https://emedicine.medscape.com/article/103399-periprocedure</w:t>
        </w:r>
      </w:hyperlink>
      <w:r w:rsidR="00F279AB">
        <w:t xml:space="preserve">. </w:t>
      </w:r>
      <w:r w:rsidR="00996B79">
        <w:t xml:space="preserve">Updated </w:t>
      </w:r>
      <w:r w:rsidR="00B27019">
        <w:t>September 30, 2024</w:t>
      </w:r>
      <w:r w:rsidR="00996B79">
        <w:t xml:space="preserve">. Accessed </w:t>
      </w:r>
      <w:r w:rsidR="00F32E87">
        <w:t>June 18, 2025</w:t>
      </w:r>
      <w:r w:rsidR="00996B79">
        <w:t>.</w:t>
      </w:r>
    </w:p>
    <w:p w14:paraId="263F190E" w14:textId="2FD91D84" w:rsidR="00332AE3" w:rsidRPr="00360F31" w:rsidRDefault="00332AE3" w:rsidP="002212D6">
      <w:pPr>
        <w:pStyle w:val="ListParagraph"/>
        <w:numPr>
          <w:ilvl w:val="0"/>
          <w:numId w:val="21"/>
        </w:numPr>
        <w:ind w:left="360"/>
      </w:pPr>
      <w:r w:rsidRPr="00360F31">
        <w:t>Wu L, Tafti D, Varacallo M</w:t>
      </w:r>
      <w:r w:rsidR="0046307E">
        <w:t>A</w:t>
      </w:r>
      <w:r w:rsidRPr="00360F31">
        <w:t xml:space="preserve">. </w:t>
      </w:r>
      <w:r w:rsidR="009B1B01" w:rsidRPr="00360F31">
        <w:t xml:space="preserve">Sacroiliac Joint Injection. </w:t>
      </w:r>
      <w:r w:rsidR="00BE0E51" w:rsidRPr="00406FCE">
        <w:t>In: </w:t>
      </w:r>
      <w:r w:rsidR="00BE0E51" w:rsidRPr="00406FCE">
        <w:rPr>
          <w:i/>
          <w:iCs/>
        </w:rPr>
        <w:t>StatPearls</w:t>
      </w:r>
      <w:r w:rsidR="00BE0E51" w:rsidRPr="00406FCE">
        <w:t>. Treasure Island (FL): StatPearls Publishing; August 4, 2023.</w:t>
      </w:r>
    </w:p>
    <w:bookmarkEnd w:id="3"/>
    <w:p w14:paraId="54EF6C9B" w14:textId="33E19F8D" w:rsidR="0007420A" w:rsidRPr="0007420A" w:rsidRDefault="0007420A" w:rsidP="00DB1032">
      <w:pPr>
        <w:ind w:left="360"/>
      </w:pPr>
    </w:p>
    <w:p w14:paraId="21F4A294" w14:textId="77777777" w:rsidR="00DD6ADB" w:rsidRPr="00146C6E" w:rsidRDefault="00C06257" w:rsidP="00146C6E">
      <w:pPr>
        <w:rPr>
          <w:rFonts w:eastAsiaTheme="minorHAnsi"/>
          <w:b/>
          <w:u w:val="single"/>
        </w:rPr>
      </w:pPr>
      <w:bookmarkStart w:id="4" w:name="Important_Reminder"/>
      <w:r w:rsidRPr="00146C6E">
        <w:rPr>
          <w:rFonts w:eastAsiaTheme="minorHAnsi"/>
          <w:b/>
          <w:bCs/>
          <w:u w:val="single"/>
        </w:rPr>
        <w:t>Important R</w:t>
      </w:r>
      <w:r w:rsidR="005D7B81" w:rsidRPr="00146C6E">
        <w:rPr>
          <w:rFonts w:eastAsiaTheme="minorHAnsi"/>
          <w:b/>
          <w:bCs/>
          <w:u w:val="single"/>
        </w:rPr>
        <w:t>eminder</w:t>
      </w:r>
      <w:bookmarkEnd w:id="4"/>
    </w:p>
    <w:p w14:paraId="410DD996"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w:t>
      </w:r>
      <w:r w:rsidRPr="00146C6E">
        <w:rPr>
          <w:rFonts w:eastAsiaTheme="minorHAnsi"/>
        </w:rPr>
        <w:lastRenderedPageBreak/>
        <w:t>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1A3425F3"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w:t>
      </w:r>
      <w:r w:rsidR="00FC1B44" w:rsidRPr="00146C6E">
        <w:rPr>
          <w:rFonts w:eastAsiaTheme="minorHAnsi"/>
        </w:rPr>
        <w:t>exclusions,</w:t>
      </w:r>
      <w:r w:rsidRPr="00146C6E">
        <w:rPr>
          <w:rFonts w:eastAsiaTheme="minorHAnsi"/>
        </w:rPr>
        <w:t xml:space="preserve">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6126A58C" w:rsidR="00DD6ADB" w:rsidRPr="00146C6E" w:rsidRDefault="00DD6ADB" w:rsidP="00146C6E">
      <w:pPr>
        <w:rPr>
          <w:rFonts w:eastAsiaTheme="minorHAnsi"/>
        </w:rPr>
      </w:pPr>
      <w:r w:rsidRPr="00146C6E">
        <w:rPr>
          <w:rFonts w:eastAsiaTheme="minorHAnsi"/>
        </w:rPr>
        <w:t xml:space="preserve">This clinical policy does not constitute medical advice, medical </w:t>
      </w:r>
      <w:r w:rsidR="008B7AA3" w:rsidRPr="00146C6E">
        <w:rPr>
          <w:rFonts w:eastAsiaTheme="minorHAnsi"/>
        </w:rPr>
        <w:t>treatment,</w:t>
      </w:r>
      <w:r w:rsidRPr="00146C6E">
        <w:rPr>
          <w:rFonts w:eastAsiaTheme="minorHAnsi"/>
        </w:rPr>
        <w:t xml:space="preserve"> or medical care</w:t>
      </w:r>
      <w:r w:rsidR="00790612" w:rsidRPr="00146C6E">
        <w:rPr>
          <w:rFonts w:eastAsiaTheme="minorHAnsi"/>
        </w:rPr>
        <w:t xml:space="preserve">. </w:t>
      </w:r>
      <w:r w:rsidRPr="00146C6E">
        <w:rPr>
          <w:rFonts w:eastAsiaTheme="minorHAnsi"/>
        </w:rPr>
        <w:t xml:space="preserve">It is not intended to dictate to providers how to practice medicine. Providers are expected to exercise professional medical judgment in providing the most appropriate </w:t>
      </w:r>
      <w:r w:rsidR="008B7AA3" w:rsidRPr="00146C6E">
        <w:rPr>
          <w:rFonts w:eastAsiaTheme="minorHAnsi"/>
        </w:rPr>
        <w:t>care and</w:t>
      </w:r>
      <w:r w:rsidRPr="00146C6E">
        <w:rPr>
          <w:rFonts w:eastAsiaTheme="minorHAnsi"/>
        </w:rPr>
        <w:t xml:space="preserve"> are solely responsible for the medical advice and treatment of </w:t>
      </w:r>
      <w:r w:rsidR="008445B6">
        <w:rPr>
          <w:rFonts w:eastAsiaTheme="minorHAnsi"/>
        </w:rPr>
        <w:t>member/enrollee</w:t>
      </w:r>
      <w:r w:rsidRPr="00146C6E">
        <w:rPr>
          <w:rFonts w:eastAsiaTheme="minorHAnsi"/>
        </w:rPr>
        <w:t xml:space="preserve">s. This clinical policy is not intended to recommend treatment for </w:t>
      </w:r>
      <w:r w:rsidR="008445B6">
        <w:rPr>
          <w:rFonts w:eastAsiaTheme="minorHAnsi"/>
        </w:rPr>
        <w:t>member/enrollee</w:t>
      </w:r>
      <w:r w:rsidRPr="00146C6E">
        <w:rPr>
          <w:rFonts w:eastAsiaTheme="minorHAnsi"/>
        </w:rPr>
        <w:t xml:space="preserve">s. </w:t>
      </w:r>
      <w:r w:rsidR="008445B6">
        <w:rPr>
          <w:rFonts w:eastAsiaTheme="minorHAnsi"/>
        </w:rPr>
        <w:t>Member/enrollee</w:t>
      </w:r>
      <w:r w:rsidRPr="00146C6E">
        <w:rPr>
          <w:rFonts w:eastAsiaTheme="minorHAnsi"/>
        </w:rPr>
        <w:t xml:space="preserve">s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22A9CDA5"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50C5752F"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8445B6">
        <w:rPr>
          <w:rFonts w:eastAsiaTheme="minorHAnsi"/>
        </w:rPr>
        <w:t>member/</w:t>
      </w:r>
      <w:r w:rsidR="008B7AA3">
        <w:rPr>
          <w:rFonts w:eastAsiaTheme="minorHAnsi"/>
        </w:rPr>
        <w:t>enrollee</w:t>
      </w:r>
      <w:r w:rsidR="008B7AA3" w:rsidRPr="00146C6E">
        <w:rPr>
          <w:rFonts w:eastAsiaTheme="minorHAnsi"/>
        </w:rPr>
        <w:t>s,</w:t>
      </w:r>
      <w:r w:rsidRPr="00146C6E">
        <w:rPr>
          <w:rFonts w:eastAsiaTheme="minorHAnsi"/>
        </w:rPr>
        <w:t xml:space="preserve"> and their representatives are bound to the terms and conditions expressed herein through the terms of their contracts.</w:t>
      </w:r>
      <w:r w:rsidR="00790612">
        <w:rPr>
          <w:rFonts w:eastAsiaTheme="minorHAnsi"/>
        </w:rPr>
        <w:t xml:space="preserve"> </w:t>
      </w:r>
      <w:r w:rsidRPr="00146C6E">
        <w:rPr>
          <w:rFonts w:eastAsiaTheme="minorHAnsi"/>
        </w:rPr>
        <w:t xml:space="preserve">Where no such contract exists, providers, </w:t>
      </w:r>
      <w:r w:rsidR="008445B6">
        <w:rPr>
          <w:rFonts w:eastAsiaTheme="minorHAnsi"/>
        </w:rPr>
        <w:t>member/enrollee</w:t>
      </w:r>
      <w:r w:rsidRPr="00146C6E">
        <w:rPr>
          <w:rFonts w:eastAsiaTheme="minorHAnsi"/>
        </w:rPr>
        <w:t xml:space="preserve">s and their representatives agree to be bound by such terms and conditions by providing services to </w:t>
      </w:r>
      <w:r w:rsidR="008445B6">
        <w:rPr>
          <w:rFonts w:eastAsiaTheme="minorHAnsi"/>
        </w:rPr>
        <w:t>member/enrollee</w:t>
      </w:r>
      <w:r w:rsidRPr="00146C6E">
        <w:rPr>
          <w:rFonts w:eastAsiaTheme="minorHAnsi"/>
        </w:rPr>
        <w:t xml:space="preserve">s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2F615AD3"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8445B6">
        <w:rPr>
          <w:rFonts w:eastAsiaTheme="minorHAnsi"/>
          <w:b/>
          <w:color w:val="000000"/>
        </w:rPr>
        <w:t>member/enrollee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4BDC6240"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8445B6">
        <w:rPr>
          <w:rFonts w:eastAsiaTheme="minorHAnsi"/>
          <w:b/>
          <w:bCs/>
          <w:color w:val="000000"/>
        </w:rPr>
        <w:t>member/enrollee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w:t>
      </w:r>
      <w:r w:rsidRPr="00146C6E">
        <w:rPr>
          <w:rFonts w:eastAsiaTheme="minorHAnsi"/>
          <w:color w:val="000000"/>
        </w:rPr>
        <w:lastRenderedPageBreak/>
        <w:t xml:space="preserve">set forth in this clinical policy. Refer to the CMS website at </w:t>
      </w:r>
      <w:hyperlink r:id="rId21"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4BC706B8" w14:textId="05867AAF"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w:t>
      </w:r>
      <w:r w:rsidR="00D825ED">
        <w:rPr>
          <w:iCs/>
        </w:rPr>
        <w:t xml:space="preserve"> </w:t>
      </w:r>
      <w:r w:rsidR="00C75BD4" w:rsidRPr="00146C6E">
        <w:rPr>
          <w:iCs/>
        </w:rPr>
        <w:t>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2D598D9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21DE" w14:textId="77777777" w:rsidR="00C300BC" w:rsidRDefault="00C300BC">
      <w:r>
        <w:separator/>
      </w:r>
    </w:p>
  </w:endnote>
  <w:endnote w:type="continuationSeparator" w:id="0">
    <w:p w14:paraId="7F5F16B4" w14:textId="77777777" w:rsidR="00C300BC" w:rsidRDefault="00C3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7E57F3F1" w:rsidR="003760F4" w:rsidRPr="00D574CA" w:rsidRDefault="003760F4" w:rsidP="00D574CA">
    <w:pPr>
      <w:pStyle w:val="Footer"/>
      <w:jc w:val="center"/>
    </w:pPr>
    <w:r>
      <w:t xml:space="preserve">Page </w:t>
    </w:r>
    <w:r>
      <w:rPr>
        <w:b/>
        <w:bCs/>
      </w:rPr>
      <w:fldChar w:fldCharType="begin"/>
    </w:r>
    <w:r>
      <w:rPr>
        <w:b/>
        <w:bCs/>
      </w:rPr>
      <w:instrText xml:space="preserve"> PAGE </w:instrText>
    </w:r>
    <w:r>
      <w:rPr>
        <w:b/>
        <w:bCs/>
      </w:rPr>
      <w:fldChar w:fldCharType="separate"/>
    </w:r>
    <w:r w:rsidR="007616F3">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7616F3">
      <w:rPr>
        <w:b/>
        <w:bCs/>
        <w:noProof/>
      </w:rPr>
      <w:t>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0433F083" w:rsidR="003760F4" w:rsidRDefault="003760F4" w:rsidP="002C6AAB">
    <w:pPr>
      <w:pStyle w:val="Footer"/>
      <w:jc w:val="center"/>
    </w:pPr>
    <w:r>
      <w:t xml:space="preserve">Page </w:t>
    </w:r>
    <w:r>
      <w:fldChar w:fldCharType="begin"/>
    </w:r>
    <w:r>
      <w:instrText xml:space="preserve"> PAGE   \* MERGEFORMAT </w:instrText>
    </w:r>
    <w:r>
      <w:fldChar w:fldCharType="separate"/>
    </w:r>
    <w:r w:rsidR="007616F3">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7616F3">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F8AF" w14:textId="77777777" w:rsidR="00C300BC" w:rsidRDefault="00C300BC">
      <w:r>
        <w:separator/>
      </w:r>
    </w:p>
  </w:footnote>
  <w:footnote w:type="continuationSeparator" w:id="0">
    <w:p w14:paraId="6F83FC2F" w14:textId="77777777" w:rsidR="00C300BC" w:rsidRDefault="00C30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77777777" w:rsidR="003760F4" w:rsidRPr="00B777AF" w:rsidRDefault="003760F4"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56C8B077" w:rsidR="003760F4" w:rsidRPr="00B777AF" w:rsidRDefault="003760F4" w:rsidP="00B777AF">
    <w:pPr>
      <w:rPr>
        <w:color w:val="00548C"/>
      </w:rPr>
    </w:pPr>
    <w:r>
      <w:rPr>
        <w:rFonts w:ascii="Times New Roman Bold" w:hAnsi="Times New Roman Bold"/>
        <w:b/>
        <w:bCs/>
        <w:color w:val="00548C"/>
      </w:rPr>
      <w:t>Sacroiliac Joint Interventions</w:t>
    </w:r>
    <w:r w:rsidR="00CF085A">
      <w:rPr>
        <w:rFonts w:ascii="Times New Roman Bold" w:hAnsi="Times New Roman Bold"/>
        <w:b/>
        <w:bCs/>
        <w:color w:val="00548C"/>
      </w:rPr>
      <w:t xml:space="preserve"> for Pain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77777777" w:rsidR="003760F4" w:rsidRDefault="003760F4"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E73F5E"/>
    <w:multiLevelType w:val="hybridMultilevel"/>
    <w:tmpl w:val="2CE46AB2"/>
    <w:lvl w:ilvl="0" w:tplc="796EF4DC">
      <w:start w:val="2"/>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046A"/>
    <w:multiLevelType w:val="hybridMultilevel"/>
    <w:tmpl w:val="EAE874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A5F07"/>
    <w:multiLevelType w:val="hybridMultilevel"/>
    <w:tmpl w:val="C9647EEE"/>
    <w:lvl w:ilvl="0" w:tplc="97D07328">
      <w:start w:val="1"/>
      <w:numFmt w:val="decimal"/>
      <w:lvlText w:val="%1."/>
      <w:lvlJc w:val="left"/>
      <w:pPr>
        <w:ind w:left="1170" w:hanging="360"/>
      </w:pPr>
      <w:rPr>
        <w:rFonts w:hint="default"/>
        <w:i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C6C5F"/>
    <w:multiLevelType w:val="hybridMultilevel"/>
    <w:tmpl w:val="7702E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BA0CE9"/>
    <w:multiLevelType w:val="hybridMultilevel"/>
    <w:tmpl w:val="7F789224"/>
    <w:lvl w:ilvl="0" w:tplc="04090001">
      <w:start w:val="1"/>
      <w:numFmt w:val="bullet"/>
      <w:lvlText w:val=""/>
      <w:lvlJc w:val="left"/>
      <w:pPr>
        <w:ind w:left="720" w:hanging="360"/>
      </w:pPr>
      <w:rPr>
        <w:rFonts w:ascii="Symbol" w:hAnsi="Symbol" w:hint="default"/>
        <w:b/>
        <w:i w:val="0"/>
      </w:rPr>
    </w:lvl>
    <w:lvl w:ilvl="1" w:tplc="FFFFFFFF">
      <w:start w:val="1"/>
      <w:numFmt w:val="bullet"/>
      <w:lvlText w:val=""/>
      <w:lvlJc w:val="left"/>
      <w:pPr>
        <w:ind w:left="1440" w:hanging="360"/>
      </w:pPr>
      <w:rPr>
        <w:rFonts w:ascii="Symbol" w:hAnsi="Symbol" w:hint="default"/>
        <w:sz w:val="20"/>
      </w:r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FFFFFFFF">
      <w:start w:val="1"/>
      <w:numFmt w:val="lowerRoman"/>
      <w:lvlText w:val="%5."/>
      <w:lvlJc w:val="left"/>
      <w:pPr>
        <w:ind w:left="3600" w:hanging="360"/>
      </w:pPr>
      <w:rPr>
        <w:rFonts w:hint="default"/>
        <w:sz w:val="20"/>
      </w:rPr>
    </w:lvl>
    <w:lvl w:ilvl="5" w:tplc="FFFFFFFF">
      <w:start w:val="1"/>
      <w:numFmt w:val="lowerLetter"/>
      <w:lvlText w:val="%6)"/>
      <w:lvlJc w:val="lef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4B1AE0"/>
    <w:multiLevelType w:val="hybridMultilevel"/>
    <w:tmpl w:val="D226AFF8"/>
    <w:lvl w:ilvl="0" w:tplc="FFFFFFFF">
      <w:start w:val="1"/>
      <w:numFmt w:val="upperRoman"/>
      <w:lvlText w:val="%1."/>
      <w:lvlJc w:val="left"/>
      <w:pPr>
        <w:ind w:left="360" w:hanging="360"/>
      </w:pPr>
      <w:rPr>
        <w:rFonts w:hint="default"/>
        <w:b/>
        <w:i w:val="0"/>
      </w:rPr>
    </w:lvl>
    <w:lvl w:ilvl="1" w:tplc="FFFFFFFF">
      <w:start w:val="1"/>
      <w:numFmt w:val="upperLetter"/>
      <w:lvlText w:val="%2."/>
      <w:lvlJc w:val="left"/>
      <w:pPr>
        <w:ind w:left="108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7E2F6D"/>
    <w:multiLevelType w:val="hybridMultilevel"/>
    <w:tmpl w:val="33C8FE78"/>
    <w:lvl w:ilvl="0" w:tplc="EDF8F4FE">
      <w:start w:val="1"/>
      <w:numFmt w:val="upperLetter"/>
      <w:lvlText w:val="%1."/>
      <w:lvlJc w:val="left"/>
      <w:pPr>
        <w:ind w:left="1080" w:hanging="360"/>
      </w:pPr>
      <w:rPr>
        <w:b w:val="0"/>
        <w:bCs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D20E30"/>
    <w:multiLevelType w:val="hybridMultilevel"/>
    <w:tmpl w:val="3C82D898"/>
    <w:lvl w:ilvl="0" w:tplc="FFFFFFFF">
      <w:start w:val="1"/>
      <w:numFmt w:val="upperRoman"/>
      <w:lvlText w:val="%1."/>
      <w:lvlJc w:val="left"/>
      <w:pPr>
        <w:ind w:left="720" w:hanging="360"/>
      </w:pPr>
      <w:rPr>
        <w:rFonts w:hint="default"/>
        <w:b/>
        <w:i w:val="0"/>
      </w:rPr>
    </w:lvl>
    <w:lvl w:ilvl="1" w:tplc="41745BB8">
      <w:start w:val="1"/>
      <w:numFmt w:val="bullet"/>
      <w:lvlText w:val=""/>
      <w:lvlJc w:val="left"/>
      <w:pPr>
        <w:ind w:left="1440" w:hanging="360"/>
      </w:pPr>
      <w:rPr>
        <w:rFonts w:ascii="Symbol" w:hAnsi="Symbol" w:hint="default"/>
        <w:sz w:val="20"/>
      </w:r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FFFFFFFF">
      <w:start w:val="1"/>
      <w:numFmt w:val="lowerRoman"/>
      <w:lvlText w:val="%5."/>
      <w:lvlJc w:val="left"/>
      <w:pPr>
        <w:ind w:left="3600" w:hanging="360"/>
      </w:pPr>
      <w:rPr>
        <w:rFonts w:hint="default"/>
        <w:sz w:val="20"/>
      </w:rPr>
    </w:lvl>
    <w:lvl w:ilvl="5" w:tplc="FFFFFFFF">
      <w:start w:val="1"/>
      <w:numFmt w:val="lowerLetter"/>
      <w:lvlText w:val="%6)"/>
      <w:lvlJc w:val="lef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E95B3E"/>
    <w:multiLevelType w:val="hybridMultilevel"/>
    <w:tmpl w:val="97DC46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C843C7"/>
    <w:multiLevelType w:val="hybridMultilevel"/>
    <w:tmpl w:val="F16081A8"/>
    <w:lvl w:ilvl="0" w:tplc="97D07328">
      <w:start w:val="1"/>
      <w:numFmt w:val="decimal"/>
      <w:lvlText w:val="%1."/>
      <w:lvlJc w:val="left"/>
      <w:pPr>
        <w:ind w:left="1170" w:hanging="360"/>
      </w:pPr>
      <w:rPr>
        <w:rFonts w:hint="default"/>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109818741">
    <w:abstractNumId w:val="30"/>
  </w:num>
  <w:num w:numId="2" w16cid:durableId="21590922">
    <w:abstractNumId w:val="0"/>
  </w:num>
  <w:num w:numId="3" w16cid:durableId="1891377581">
    <w:abstractNumId w:val="9"/>
  </w:num>
  <w:num w:numId="4" w16cid:durableId="1936016375">
    <w:abstractNumId w:val="13"/>
  </w:num>
  <w:num w:numId="5" w16cid:durableId="1124933045">
    <w:abstractNumId w:val="14"/>
  </w:num>
  <w:num w:numId="6" w16cid:durableId="23333996">
    <w:abstractNumId w:val="25"/>
  </w:num>
  <w:num w:numId="7" w16cid:durableId="1829586869">
    <w:abstractNumId w:val="26"/>
  </w:num>
  <w:num w:numId="8" w16cid:durableId="1436752769">
    <w:abstractNumId w:val="1"/>
  </w:num>
  <w:num w:numId="9" w16cid:durableId="1082802184">
    <w:abstractNumId w:val="20"/>
  </w:num>
  <w:num w:numId="10" w16cid:durableId="756907830">
    <w:abstractNumId w:val="7"/>
  </w:num>
  <w:num w:numId="11" w16cid:durableId="355155476">
    <w:abstractNumId w:val="29"/>
  </w:num>
  <w:num w:numId="12" w16cid:durableId="1520317259">
    <w:abstractNumId w:val="12"/>
  </w:num>
  <w:num w:numId="13" w16cid:durableId="243421395">
    <w:abstractNumId w:val="11"/>
  </w:num>
  <w:num w:numId="14" w16cid:durableId="792333116">
    <w:abstractNumId w:val="5"/>
  </w:num>
  <w:num w:numId="15" w16cid:durableId="2041200141">
    <w:abstractNumId w:val="8"/>
  </w:num>
  <w:num w:numId="16" w16cid:durableId="236938894">
    <w:abstractNumId w:val="27"/>
  </w:num>
  <w:num w:numId="17" w16cid:durableId="1026715672">
    <w:abstractNumId w:val="21"/>
  </w:num>
  <w:num w:numId="18" w16cid:durableId="909003021">
    <w:abstractNumId w:val="15"/>
  </w:num>
  <w:num w:numId="19" w16cid:durableId="405223751">
    <w:abstractNumId w:val="6"/>
  </w:num>
  <w:num w:numId="20" w16cid:durableId="163207613">
    <w:abstractNumId w:val="2"/>
  </w:num>
  <w:num w:numId="21" w16cid:durableId="1831098659">
    <w:abstractNumId w:val="24"/>
  </w:num>
  <w:num w:numId="22" w16cid:durableId="48920768">
    <w:abstractNumId w:val="19"/>
  </w:num>
  <w:num w:numId="23" w16cid:durableId="1818834885">
    <w:abstractNumId w:val="28"/>
  </w:num>
  <w:num w:numId="24" w16cid:durableId="2055151871">
    <w:abstractNumId w:val="10"/>
  </w:num>
  <w:num w:numId="25" w16cid:durableId="1631786212">
    <w:abstractNumId w:val="23"/>
  </w:num>
  <w:num w:numId="26" w16cid:durableId="1767996754">
    <w:abstractNumId w:val="3"/>
  </w:num>
  <w:num w:numId="27" w16cid:durableId="649672485">
    <w:abstractNumId w:val="18"/>
  </w:num>
  <w:num w:numId="28" w16cid:durableId="1691908385">
    <w:abstractNumId w:val="16"/>
  </w:num>
  <w:num w:numId="29" w16cid:durableId="1381514107">
    <w:abstractNumId w:val="4"/>
  </w:num>
  <w:num w:numId="30" w16cid:durableId="1899245861">
    <w:abstractNumId w:val="22"/>
  </w:num>
  <w:num w:numId="31" w16cid:durableId="599129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114D7"/>
    <w:rsid w:val="000157E6"/>
    <w:rsid w:val="00021077"/>
    <w:rsid w:val="000318A6"/>
    <w:rsid w:val="00031F4C"/>
    <w:rsid w:val="00032D3F"/>
    <w:rsid w:val="00033FF7"/>
    <w:rsid w:val="0003758F"/>
    <w:rsid w:val="00041A87"/>
    <w:rsid w:val="0004260F"/>
    <w:rsid w:val="00045030"/>
    <w:rsid w:val="000465DE"/>
    <w:rsid w:val="0004675F"/>
    <w:rsid w:val="000470E9"/>
    <w:rsid w:val="0004733E"/>
    <w:rsid w:val="00060003"/>
    <w:rsid w:val="00060509"/>
    <w:rsid w:val="000613C1"/>
    <w:rsid w:val="00061889"/>
    <w:rsid w:val="0006785C"/>
    <w:rsid w:val="0007420A"/>
    <w:rsid w:val="00075537"/>
    <w:rsid w:val="000818E5"/>
    <w:rsid w:val="00082C8F"/>
    <w:rsid w:val="00083740"/>
    <w:rsid w:val="000928D7"/>
    <w:rsid w:val="00094136"/>
    <w:rsid w:val="00094965"/>
    <w:rsid w:val="00094A19"/>
    <w:rsid w:val="000A14D2"/>
    <w:rsid w:val="000A14E0"/>
    <w:rsid w:val="000A65C9"/>
    <w:rsid w:val="000B0698"/>
    <w:rsid w:val="000B0B4C"/>
    <w:rsid w:val="000B480F"/>
    <w:rsid w:val="000B756C"/>
    <w:rsid w:val="000C043C"/>
    <w:rsid w:val="000C0740"/>
    <w:rsid w:val="000D0C96"/>
    <w:rsid w:val="000D2CE6"/>
    <w:rsid w:val="000E51D6"/>
    <w:rsid w:val="000F10C2"/>
    <w:rsid w:val="000F4177"/>
    <w:rsid w:val="000F43B4"/>
    <w:rsid w:val="000F5AD9"/>
    <w:rsid w:val="000F6457"/>
    <w:rsid w:val="0010048C"/>
    <w:rsid w:val="0010059F"/>
    <w:rsid w:val="00103475"/>
    <w:rsid w:val="00103968"/>
    <w:rsid w:val="00105B2C"/>
    <w:rsid w:val="0011397E"/>
    <w:rsid w:val="001148A8"/>
    <w:rsid w:val="00115DC8"/>
    <w:rsid w:val="00116B6B"/>
    <w:rsid w:val="001260DF"/>
    <w:rsid w:val="001270EA"/>
    <w:rsid w:val="00127896"/>
    <w:rsid w:val="0013337A"/>
    <w:rsid w:val="00134459"/>
    <w:rsid w:val="001353B7"/>
    <w:rsid w:val="0014316D"/>
    <w:rsid w:val="00145BFF"/>
    <w:rsid w:val="00145C81"/>
    <w:rsid w:val="00146C6E"/>
    <w:rsid w:val="00152CFB"/>
    <w:rsid w:val="00155045"/>
    <w:rsid w:val="00155D22"/>
    <w:rsid w:val="00157354"/>
    <w:rsid w:val="00160093"/>
    <w:rsid w:val="00160D8F"/>
    <w:rsid w:val="00167230"/>
    <w:rsid w:val="00170234"/>
    <w:rsid w:val="00170B14"/>
    <w:rsid w:val="00172CD7"/>
    <w:rsid w:val="00173DED"/>
    <w:rsid w:val="001818D7"/>
    <w:rsid w:val="00185104"/>
    <w:rsid w:val="00191CB8"/>
    <w:rsid w:val="00192B51"/>
    <w:rsid w:val="00194A6A"/>
    <w:rsid w:val="001962BE"/>
    <w:rsid w:val="00196689"/>
    <w:rsid w:val="00196935"/>
    <w:rsid w:val="0019746F"/>
    <w:rsid w:val="001A1AFB"/>
    <w:rsid w:val="001A444E"/>
    <w:rsid w:val="001A4606"/>
    <w:rsid w:val="001C2191"/>
    <w:rsid w:val="001D0D34"/>
    <w:rsid w:val="001D19F7"/>
    <w:rsid w:val="001D70D4"/>
    <w:rsid w:val="001E010A"/>
    <w:rsid w:val="001E54FE"/>
    <w:rsid w:val="001E7D12"/>
    <w:rsid w:val="001F1717"/>
    <w:rsid w:val="001F3557"/>
    <w:rsid w:val="001F683F"/>
    <w:rsid w:val="001F7C3D"/>
    <w:rsid w:val="001F7CA3"/>
    <w:rsid w:val="002004A8"/>
    <w:rsid w:val="0020379E"/>
    <w:rsid w:val="002051A6"/>
    <w:rsid w:val="0020675F"/>
    <w:rsid w:val="00214401"/>
    <w:rsid w:val="00215B1D"/>
    <w:rsid w:val="00220736"/>
    <w:rsid w:val="002212D6"/>
    <w:rsid w:val="0022240C"/>
    <w:rsid w:val="00227C25"/>
    <w:rsid w:val="002304C3"/>
    <w:rsid w:val="00230FE4"/>
    <w:rsid w:val="002335D3"/>
    <w:rsid w:val="00233651"/>
    <w:rsid w:val="00237514"/>
    <w:rsid w:val="002404AB"/>
    <w:rsid w:val="00240BCA"/>
    <w:rsid w:val="00250035"/>
    <w:rsid w:val="00254020"/>
    <w:rsid w:val="0025452A"/>
    <w:rsid w:val="002565B4"/>
    <w:rsid w:val="00261081"/>
    <w:rsid w:val="00262717"/>
    <w:rsid w:val="00271447"/>
    <w:rsid w:val="00271C35"/>
    <w:rsid w:val="00274B03"/>
    <w:rsid w:val="0027545E"/>
    <w:rsid w:val="002765DE"/>
    <w:rsid w:val="0027664F"/>
    <w:rsid w:val="00280277"/>
    <w:rsid w:val="00283029"/>
    <w:rsid w:val="00285997"/>
    <w:rsid w:val="00293AFE"/>
    <w:rsid w:val="002A0980"/>
    <w:rsid w:val="002A308B"/>
    <w:rsid w:val="002A39EE"/>
    <w:rsid w:val="002B0582"/>
    <w:rsid w:val="002B103F"/>
    <w:rsid w:val="002C2E4A"/>
    <w:rsid w:val="002C339D"/>
    <w:rsid w:val="002C3754"/>
    <w:rsid w:val="002C3F43"/>
    <w:rsid w:val="002C5885"/>
    <w:rsid w:val="002C6859"/>
    <w:rsid w:val="002C6AAB"/>
    <w:rsid w:val="002C7A30"/>
    <w:rsid w:val="002D019A"/>
    <w:rsid w:val="002D02D4"/>
    <w:rsid w:val="002D3551"/>
    <w:rsid w:val="002D58E3"/>
    <w:rsid w:val="002D74A5"/>
    <w:rsid w:val="002E28A7"/>
    <w:rsid w:val="002E48E7"/>
    <w:rsid w:val="002E515D"/>
    <w:rsid w:val="002E5306"/>
    <w:rsid w:val="0030253E"/>
    <w:rsid w:val="00302C04"/>
    <w:rsid w:val="0030761B"/>
    <w:rsid w:val="00307A29"/>
    <w:rsid w:val="003140D6"/>
    <w:rsid w:val="003144E9"/>
    <w:rsid w:val="003156DC"/>
    <w:rsid w:val="0031711D"/>
    <w:rsid w:val="00317A7B"/>
    <w:rsid w:val="00321945"/>
    <w:rsid w:val="003238D4"/>
    <w:rsid w:val="00324596"/>
    <w:rsid w:val="00325CD5"/>
    <w:rsid w:val="003267A6"/>
    <w:rsid w:val="00331329"/>
    <w:rsid w:val="00332AE3"/>
    <w:rsid w:val="00332ECE"/>
    <w:rsid w:val="003344ED"/>
    <w:rsid w:val="00334696"/>
    <w:rsid w:val="00336E37"/>
    <w:rsid w:val="00343B56"/>
    <w:rsid w:val="00345E7D"/>
    <w:rsid w:val="003461A7"/>
    <w:rsid w:val="003462FB"/>
    <w:rsid w:val="0034662C"/>
    <w:rsid w:val="0035035B"/>
    <w:rsid w:val="00350F22"/>
    <w:rsid w:val="00354029"/>
    <w:rsid w:val="00355081"/>
    <w:rsid w:val="00355C6A"/>
    <w:rsid w:val="00356E96"/>
    <w:rsid w:val="00357E1E"/>
    <w:rsid w:val="00360F31"/>
    <w:rsid w:val="00363A71"/>
    <w:rsid w:val="0036446F"/>
    <w:rsid w:val="00365342"/>
    <w:rsid w:val="003706EF"/>
    <w:rsid w:val="00371EA3"/>
    <w:rsid w:val="00374A2F"/>
    <w:rsid w:val="003760F4"/>
    <w:rsid w:val="00381359"/>
    <w:rsid w:val="0038242B"/>
    <w:rsid w:val="00382658"/>
    <w:rsid w:val="003840CC"/>
    <w:rsid w:val="00390D48"/>
    <w:rsid w:val="00391479"/>
    <w:rsid w:val="0039203F"/>
    <w:rsid w:val="00393015"/>
    <w:rsid w:val="003A2B30"/>
    <w:rsid w:val="003A2EC6"/>
    <w:rsid w:val="003A2FF2"/>
    <w:rsid w:val="003A35AF"/>
    <w:rsid w:val="003A4DAD"/>
    <w:rsid w:val="003A54C8"/>
    <w:rsid w:val="003B6BA5"/>
    <w:rsid w:val="003B6CEF"/>
    <w:rsid w:val="003B7EF4"/>
    <w:rsid w:val="003C1E17"/>
    <w:rsid w:val="003C1E2D"/>
    <w:rsid w:val="003C37CD"/>
    <w:rsid w:val="003C6140"/>
    <w:rsid w:val="003C7871"/>
    <w:rsid w:val="003D0635"/>
    <w:rsid w:val="003D520B"/>
    <w:rsid w:val="003D7BE7"/>
    <w:rsid w:val="003E0F2D"/>
    <w:rsid w:val="003E41B1"/>
    <w:rsid w:val="003E727A"/>
    <w:rsid w:val="003E7B3C"/>
    <w:rsid w:val="003F1040"/>
    <w:rsid w:val="003F3D44"/>
    <w:rsid w:val="003F5A14"/>
    <w:rsid w:val="004027AB"/>
    <w:rsid w:val="00402B29"/>
    <w:rsid w:val="00407645"/>
    <w:rsid w:val="00413F42"/>
    <w:rsid w:val="00414407"/>
    <w:rsid w:val="004202D3"/>
    <w:rsid w:val="00431B81"/>
    <w:rsid w:val="00435713"/>
    <w:rsid w:val="00436752"/>
    <w:rsid w:val="00443332"/>
    <w:rsid w:val="004436A4"/>
    <w:rsid w:val="004444D4"/>
    <w:rsid w:val="004455CD"/>
    <w:rsid w:val="00446784"/>
    <w:rsid w:val="0045035F"/>
    <w:rsid w:val="00456129"/>
    <w:rsid w:val="00456F81"/>
    <w:rsid w:val="0046167C"/>
    <w:rsid w:val="0046307E"/>
    <w:rsid w:val="00466DD8"/>
    <w:rsid w:val="00472C6C"/>
    <w:rsid w:val="00474D05"/>
    <w:rsid w:val="00475E5A"/>
    <w:rsid w:val="0047680A"/>
    <w:rsid w:val="00480C09"/>
    <w:rsid w:val="00480E08"/>
    <w:rsid w:val="0048271E"/>
    <w:rsid w:val="00483B6C"/>
    <w:rsid w:val="00486687"/>
    <w:rsid w:val="00487E6B"/>
    <w:rsid w:val="00487FDB"/>
    <w:rsid w:val="00492335"/>
    <w:rsid w:val="00493710"/>
    <w:rsid w:val="00494B59"/>
    <w:rsid w:val="00496BCF"/>
    <w:rsid w:val="00497AED"/>
    <w:rsid w:val="004A3DB7"/>
    <w:rsid w:val="004A7752"/>
    <w:rsid w:val="004B0F06"/>
    <w:rsid w:val="004B4EED"/>
    <w:rsid w:val="004B508F"/>
    <w:rsid w:val="004B6A52"/>
    <w:rsid w:val="004C4032"/>
    <w:rsid w:val="004C7108"/>
    <w:rsid w:val="004D1742"/>
    <w:rsid w:val="004D249E"/>
    <w:rsid w:val="004D4266"/>
    <w:rsid w:val="004D4557"/>
    <w:rsid w:val="004D736E"/>
    <w:rsid w:val="004E0B99"/>
    <w:rsid w:val="004E65C1"/>
    <w:rsid w:val="004E6994"/>
    <w:rsid w:val="004F2EE7"/>
    <w:rsid w:val="004F497A"/>
    <w:rsid w:val="004F6394"/>
    <w:rsid w:val="004F7A11"/>
    <w:rsid w:val="00501942"/>
    <w:rsid w:val="00505830"/>
    <w:rsid w:val="00507D39"/>
    <w:rsid w:val="005103B8"/>
    <w:rsid w:val="005138F5"/>
    <w:rsid w:val="005225C1"/>
    <w:rsid w:val="0053216F"/>
    <w:rsid w:val="00534409"/>
    <w:rsid w:val="00534EBF"/>
    <w:rsid w:val="005354F5"/>
    <w:rsid w:val="00535613"/>
    <w:rsid w:val="00535C60"/>
    <w:rsid w:val="00537913"/>
    <w:rsid w:val="00540816"/>
    <w:rsid w:val="005423D4"/>
    <w:rsid w:val="00545AC3"/>
    <w:rsid w:val="00547812"/>
    <w:rsid w:val="00550035"/>
    <w:rsid w:val="005537B0"/>
    <w:rsid w:val="00554EE7"/>
    <w:rsid w:val="00557A38"/>
    <w:rsid w:val="00560FCF"/>
    <w:rsid w:val="00561BB4"/>
    <w:rsid w:val="00564122"/>
    <w:rsid w:val="0056492B"/>
    <w:rsid w:val="00566253"/>
    <w:rsid w:val="0056763F"/>
    <w:rsid w:val="00571CBA"/>
    <w:rsid w:val="00572C78"/>
    <w:rsid w:val="005739D3"/>
    <w:rsid w:val="00573E0A"/>
    <w:rsid w:val="00576231"/>
    <w:rsid w:val="005776FD"/>
    <w:rsid w:val="005803C4"/>
    <w:rsid w:val="00583376"/>
    <w:rsid w:val="00583B55"/>
    <w:rsid w:val="0058449B"/>
    <w:rsid w:val="00584879"/>
    <w:rsid w:val="00592179"/>
    <w:rsid w:val="005928B8"/>
    <w:rsid w:val="00592A34"/>
    <w:rsid w:val="00597264"/>
    <w:rsid w:val="005A07A1"/>
    <w:rsid w:val="005A1D15"/>
    <w:rsid w:val="005A4BAC"/>
    <w:rsid w:val="005A74FA"/>
    <w:rsid w:val="005B18CA"/>
    <w:rsid w:val="005B1E38"/>
    <w:rsid w:val="005B4181"/>
    <w:rsid w:val="005B6F05"/>
    <w:rsid w:val="005C17DF"/>
    <w:rsid w:val="005C1E77"/>
    <w:rsid w:val="005C2138"/>
    <w:rsid w:val="005C3607"/>
    <w:rsid w:val="005C5C1E"/>
    <w:rsid w:val="005C7C24"/>
    <w:rsid w:val="005D009F"/>
    <w:rsid w:val="005D412A"/>
    <w:rsid w:val="005D5146"/>
    <w:rsid w:val="005D7745"/>
    <w:rsid w:val="005D7B81"/>
    <w:rsid w:val="005E1BC4"/>
    <w:rsid w:val="005E411E"/>
    <w:rsid w:val="005E423D"/>
    <w:rsid w:val="005E5D24"/>
    <w:rsid w:val="005F051C"/>
    <w:rsid w:val="005F2E44"/>
    <w:rsid w:val="005F55B0"/>
    <w:rsid w:val="00600534"/>
    <w:rsid w:val="00603EB4"/>
    <w:rsid w:val="0060495A"/>
    <w:rsid w:val="0060605E"/>
    <w:rsid w:val="006060ED"/>
    <w:rsid w:val="00610611"/>
    <w:rsid w:val="00611926"/>
    <w:rsid w:val="00612546"/>
    <w:rsid w:val="006126B6"/>
    <w:rsid w:val="006175A6"/>
    <w:rsid w:val="00622DD8"/>
    <w:rsid w:val="00627635"/>
    <w:rsid w:val="006359FE"/>
    <w:rsid w:val="0063752F"/>
    <w:rsid w:val="00641C28"/>
    <w:rsid w:val="00646CF1"/>
    <w:rsid w:val="006474BB"/>
    <w:rsid w:val="00651977"/>
    <w:rsid w:val="006578BA"/>
    <w:rsid w:val="00657C45"/>
    <w:rsid w:val="006642F8"/>
    <w:rsid w:val="006664E9"/>
    <w:rsid w:val="006678F2"/>
    <w:rsid w:val="006719D6"/>
    <w:rsid w:val="00672C9F"/>
    <w:rsid w:val="006744F1"/>
    <w:rsid w:val="006773A2"/>
    <w:rsid w:val="00680571"/>
    <w:rsid w:val="00685074"/>
    <w:rsid w:val="00690AA5"/>
    <w:rsid w:val="006969B2"/>
    <w:rsid w:val="00697AEF"/>
    <w:rsid w:val="006B1374"/>
    <w:rsid w:val="006B4665"/>
    <w:rsid w:val="006B5679"/>
    <w:rsid w:val="006B5F3E"/>
    <w:rsid w:val="006C460B"/>
    <w:rsid w:val="006C4B02"/>
    <w:rsid w:val="006C721C"/>
    <w:rsid w:val="006C74DF"/>
    <w:rsid w:val="006D0A6E"/>
    <w:rsid w:val="006D12FE"/>
    <w:rsid w:val="006D16B5"/>
    <w:rsid w:val="006D535C"/>
    <w:rsid w:val="006E40CC"/>
    <w:rsid w:val="006E4CB7"/>
    <w:rsid w:val="006E6D24"/>
    <w:rsid w:val="006F3FBE"/>
    <w:rsid w:val="006F4D70"/>
    <w:rsid w:val="007001A5"/>
    <w:rsid w:val="00701AF9"/>
    <w:rsid w:val="00705460"/>
    <w:rsid w:val="00711B7D"/>
    <w:rsid w:val="0071338A"/>
    <w:rsid w:val="007163E2"/>
    <w:rsid w:val="007220A4"/>
    <w:rsid w:val="0073139F"/>
    <w:rsid w:val="007316BD"/>
    <w:rsid w:val="007324AC"/>
    <w:rsid w:val="00733BCF"/>
    <w:rsid w:val="00734599"/>
    <w:rsid w:val="007407A2"/>
    <w:rsid w:val="00740CB7"/>
    <w:rsid w:val="00741FC6"/>
    <w:rsid w:val="0074267C"/>
    <w:rsid w:val="00742D0B"/>
    <w:rsid w:val="00743990"/>
    <w:rsid w:val="00744250"/>
    <w:rsid w:val="00745229"/>
    <w:rsid w:val="00747472"/>
    <w:rsid w:val="00751195"/>
    <w:rsid w:val="007575AD"/>
    <w:rsid w:val="007616F3"/>
    <w:rsid w:val="0076190C"/>
    <w:rsid w:val="00771829"/>
    <w:rsid w:val="00774CFE"/>
    <w:rsid w:val="00775D44"/>
    <w:rsid w:val="007764CE"/>
    <w:rsid w:val="007825EA"/>
    <w:rsid w:val="00790612"/>
    <w:rsid w:val="00790FCD"/>
    <w:rsid w:val="007913AB"/>
    <w:rsid w:val="00793547"/>
    <w:rsid w:val="00793ED2"/>
    <w:rsid w:val="00795E49"/>
    <w:rsid w:val="00796101"/>
    <w:rsid w:val="007967E1"/>
    <w:rsid w:val="0079744D"/>
    <w:rsid w:val="007A0BCC"/>
    <w:rsid w:val="007A3710"/>
    <w:rsid w:val="007A66C6"/>
    <w:rsid w:val="007B07AE"/>
    <w:rsid w:val="007B2B4E"/>
    <w:rsid w:val="007B50D0"/>
    <w:rsid w:val="007B580A"/>
    <w:rsid w:val="007C310D"/>
    <w:rsid w:val="007D1D9C"/>
    <w:rsid w:val="007D310E"/>
    <w:rsid w:val="007D4801"/>
    <w:rsid w:val="007D5603"/>
    <w:rsid w:val="007D56F5"/>
    <w:rsid w:val="007D7AAF"/>
    <w:rsid w:val="007F1CAD"/>
    <w:rsid w:val="007F1F19"/>
    <w:rsid w:val="007F3D1F"/>
    <w:rsid w:val="00802A0E"/>
    <w:rsid w:val="00802D3B"/>
    <w:rsid w:val="008032E6"/>
    <w:rsid w:val="008052E9"/>
    <w:rsid w:val="00822226"/>
    <w:rsid w:val="00823B1E"/>
    <w:rsid w:val="00825229"/>
    <w:rsid w:val="00827B37"/>
    <w:rsid w:val="00830C23"/>
    <w:rsid w:val="0083190A"/>
    <w:rsid w:val="00834616"/>
    <w:rsid w:val="00834999"/>
    <w:rsid w:val="00841104"/>
    <w:rsid w:val="00842676"/>
    <w:rsid w:val="00842737"/>
    <w:rsid w:val="00843691"/>
    <w:rsid w:val="008438CB"/>
    <w:rsid w:val="008445B6"/>
    <w:rsid w:val="00844710"/>
    <w:rsid w:val="00853026"/>
    <w:rsid w:val="00857C10"/>
    <w:rsid w:val="008651D8"/>
    <w:rsid w:val="0086565B"/>
    <w:rsid w:val="00870597"/>
    <w:rsid w:val="00875924"/>
    <w:rsid w:val="008760A9"/>
    <w:rsid w:val="00877EC7"/>
    <w:rsid w:val="00880FA8"/>
    <w:rsid w:val="00882137"/>
    <w:rsid w:val="00885B6C"/>
    <w:rsid w:val="00886437"/>
    <w:rsid w:val="00886990"/>
    <w:rsid w:val="00892C37"/>
    <w:rsid w:val="00895AF4"/>
    <w:rsid w:val="00896E94"/>
    <w:rsid w:val="008A2F5B"/>
    <w:rsid w:val="008A75E1"/>
    <w:rsid w:val="008B037C"/>
    <w:rsid w:val="008B0705"/>
    <w:rsid w:val="008B2C07"/>
    <w:rsid w:val="008B62C8"/>
    <w:rsid w:val="008B7972"/>
    <w:rsid w:val="008B7AA3"/>
    <w:rsid w:val="008C063E"/>
    <w:rsid w:val="008C0A70"/>
    <w:rsid w:val="008C15BF"/>
    <w:rsid w:val="008C22BA"/>
    <w:rsid w:val="008C5D54"/>
    <w:rsid w:val="008C6B3A"/>
    <w:rsid w:val="008C71B0"/>
    <w:rsid w:val="008C7A3E"/>
    <w:rsid w:val="008D1CB1"/>
    <w:rsid w:val="008D1ECD"/>
    <w:rsid w:val="008D2ED9"/>
    <w:rsid w:val="008E6388"/>
    <w:rsid w:val="008E7735"/>
    <w:rsid w:val="008F235B"/>
    <w:rsid w:val="008F415D"/>
    <w:rsid w:val="008F42C5"/>
    <w:rsid w:val="00902C9B"/>
    <w:rsid w:val="0090487E"/>
    <w:rsid w:val="00910A06"/>
    <w:rsid w:val="009135E0"/>
    <w:rsid w:val="00915CA4"/>
    <w:rsid w:val="0092130F"/>
    <w:rsid w:val="0092409B"/>
    <w:rsid w:val="00924B7F"/>
    <w:rsid w:val="00927118"/>
    <w:rsid w:val="009277A2"/>
    <w:rsid w:val="00927FB5"/>
    <w:rsid w:val="00930627"/>
    <w:rsid w:val="00933532"/>
    <w:rsid w:val="0094601B"/>
    <w:rsid w:val="009472FC"/>
    <w:rsid w:val="00950820"/>
    <w:rsid w:val="00950E52"/>
    <w:rsid w:val="0095548E"/>
    <w:rsid w:val="00961071"/>
    <w:rsid w:val="00962549"/>
    <w:rsid w:val="00963062"/>
    <w:rsid w:val="00965F51"/>
    <w:rsid w:val="009665D8"/>
    <w:rsid w:val="009702E4"/>
    <w:rsid w:val="0097108A"/>
    <w:rsid w:val="009735FA"/>
    <w:rsid w:val="00973DAB"/>
    <w:rsid w:val="0097417B"/>
    <w:rsid w:val="00977533"/>
    <w:rsid w:val="00977ECA"/>
    <w:rsid w:val="00980CA9"/>
    <w:rsid w:val="00982180"/>
    <w:rsid w:val="00984FDB"/>
    <w:rsid w:val="00985472"/>
    <w:rsid w:val="0098611B"/>
    <w:rsid w:val="009928B2"/>
    <w:rsid w:val="00996B79"/>
    <w:rsid w:val="009A23D6"/>
    <w:rsid w:val="009A3E28"/>
    <w:rsid w:val="009A3E97"/>
    <w:rsid w:val="009A7767"/>
    <w:rsid w:val="009B1B01"/>
    <w:rsid w:val="009B3E0D"/>
    <w:rsid w:val="009B49BF"/>
    <w:rsid w:val="009B7593"/>
    <w:rsid w:val="009C58EC"/>
    <w:rsid w:val="009C5C49"/>
    <w:rsid w:val="009C61B2"/>
    <w:rsid w:val="009D1FD9"/>
    <w:rsid w:val="009D41BD"/>
    <w:rsid w:val="009D5928"/>
    <w:rsid w:val="009D7241"/>
    <w:rsid w:val="009D77D1"/>
    <w:rsid w:val="009E0F8A"/>
    <w:rsid w:val="009E19A8"/>
    <w:rsid w:val="009E54B3"/>
    <w:rsid w:val="009E5FCB"/>
    <w:rsid w:val="009E66AA"/>
    <w:rsid w:val="009E6F29"/>
    <w:rsid w:val="009E70AC"/>
    <w:rsid w:val="009F4A99"/>
    <w:rsid w:val="009F65A6"/>
    <w:rsid w:val="00A05747"/>
    <w:rsid w:val="00A10C52"/>
    <w:rsid w:val="00A120EF"/>
    <w:rsid w:val="00A1321F"/>
    <w:rsid w:val="00A1409D"/>
    <w:rsid w:val="00A16557"/>
    <w:rsid w:val="00A16664"/>
    <w:rsid w:val="00A20F73"/>
    <w:rsid w:val="00A2305F"/>
    <w:rsid w:val="00A25232"/>
    <w:rsid w:val="00A26E90"/>
    <w:rsid w:val="00A35258"/>
    <w:rsid w:val="00A36197"/>
    <w:rsid w:val="00A41969"/>
    <w:rsid w:val="00A42A94"/>
    <w:rsid w:val="00A500F1"/>
    <w:rsid w:val="00A5516F"/>
    <w:rsid w:val="00A55907"/>
    <w:rsid w:val="00A573FE"/>
    <w:rsid w:val="00A60413"/>
    <w:rsid w:val="00A6284D"/>
    <w:rsid w:val="00A63BC7"/>
    <w:rsid w:val="00A63E27"/>
    <w:rsid w:val="00A67078"/>
    <w:rsid w:val="00A67610"/>
    <w:rsid w:val="00A75000"/>
    <w:rsid w:val="00A83658"/>
    <w:rsid w:val="00A85489"/>
    <w:rsid w:val="00A87B1F"/>
    <w:rsid w:val="00A9215E"/>
    <w:rsid w:val="00A93509"/>
    <w:rsid w:val="00A9687A"/>
    <w:rsid w:val="00A9724E"/>
    <w:rsid w:val="00AA08DF"/>
    <w:rsid w:val="00AA193F"/>
    <w:rsid w:val="00AA23B5"/>
    <w:rsid w:val="00AA336E"/>
    <w:rsid w:val="00AA428E"/>
    <w:rsid w:val="00AA52EE"/>
    <w:rsid w:val="00AB4820"/>
    <w:rsid w:val="00AC2F4D"/>
    <w:rsid w:val="00AC314C"/>
    <w:rsid w:val="00AC7891"/>
    <w:rsid w:val="00AD1AA6"/>
    <w:rsid w:val="00AE1FFB"/>
    <w:rsid w:val="00AE324B"/>
    <w:rsid w:val="00AE6012"/>
    <w:rsid w:val="00AE60A6"/>
    <w:rsid w:val="00AF1F2A"/>
    <w:rsid w:val="00AF30EF"/>
    <w:rsid w:val="00AF5490"/>
    <w:rsid w:val="00B00A41"/>
    <w:rsid w:val="00B015DF"/>
    <w:rsid w:val="00B01AF8"/>
    <w:rsid w:val="00B06991"/>
    <w:rsid w:val="00B1338B"/>
    <w:rsid w:val="00B139F2"/>
    <w:rsid w:val="00B140EA"/>
    <w:rsid w:val="00B14345"/>
    <w:rsid w:val="00B14ED0"/>
    <w:rsid w:val="00B165EE"/>
    <w:rsid w:val="00B27019"/>
    <w:rsid w:val="00B27512"/>
    <w:rsid w:val="00B330FF"/>
    <w:rsid w:val="00B332CD"/>
    <w:rsid w:val="00B36F8B"/>
    <w:rsid w:val="00B40C17"/>
    <w:rsid w:val="00B418D4"/>
    <w:rsid w:val="00B443D6"/>
    <w:rsid w:val="00B4633B"/>
    <w:rsid w:val="00B47993"/>
    <w:rsid w:val="00B50CCD"/>
    <w:rsid w:val="00B53E7D"/>
    <w:rsid w:val="00B56C24"/>
    <w:rsid w:val="00B7387D"/>
    <w:rsid w:val="00B7584F"/>
    <w:rsid w:val="00B774C7"/>
    <w:rsid w:val="00B777AF"/>
    <w:rsid w:val="00B8063A"/>
    <w:rsid w:val="00B81789"/>
    <w:rsid w:val="00B86845"/>
    <w:rsid w:val="00B91E3A"/>
    <w:rsid w:val="00B92DF1"/>
    <w:rsid w:val="00B96087"/>
    <w:rsid w:val="00BA5466"/>
    <w:rsid w:val="00BB2E74"/>
    <w:rsid w:val="00BB5BD2"/>
    <w:rsid w:val="00BC155E"/>
    <w:rsid w:val="00BC158E"/>
    <w:rsid w:val="00BC4B2C"/>
    <w:rsid w:val="00BC4F51"/>
    <w:rsid w:val="00BC5734"/>
    <w:rsid w:val="00BC6E39"/>
    <w:rsid w:val="00BD5468"/>
    <w:rsid w:val="00BD7285"/>
    <w:rsid w:val="00BE03A5"/>
    <w:rsid w:val="00BE0644"/>
    <w:rsid w:val="00BE0E51"/>
    <w:rsid w:val="00BE4044"/>
    <w:rsid w:val="00BE641A"/>
    <w:rsid w:val="00BE699E"/>
    <w:rsid w:val="00BF13AC"/>
    <w:rsid w:val="00BF1D74"/>
    <w:rsid w:val="00BF23F5"/>
    <w:rsid w:val="00BF4150"/>
    <w:rsid w:val="00BF5287"/>
    <w:rsid w:val="00BF58E3"/>
    <w:rsid w:val="00BF6210"/>
    <w:rsid w:val="00C01AA6"/>
    <w:rsid w:val="00C01AE0"/>
    <w:rsid w:val="00C0455D"/>
    <w:rsid w:val="00C06257"/>
    <w:rsid w:val="00C06EC5"/>
    <w:rsid w:val="00C079B0"/>
    <w:rsid w:val="00C07E43"/>
    <w:rsid w:val="00C11C3A"/>
    <w:rsid w:val="00C11D94"/>
    <w:rsid w:val="00C14250"/>
    <w:rsid w:val="00C160DD"/>
    <w:rsid w:val="00C20343"/>
    <w:rsid w:val="00C2297C"/>
    <w:rsid w:val="00C229A1"/>
    <w:rsid w:val="00C24E4E"/>
    <w:rsid w:val="00C300BC"/>
    <w:rsid w:val="00C32ED4"/>
    <w:rsid w:val="00C356AA"/>
    <w:rsid w:val="00C4167C"/>
    <w:rsid w:val="00C45663"/>
    <w:rsid w:val="00C47271"/>
    <w:rsid w:val="00C513BF"/>
    <w:rsid w:val="00C552D7"/>
    <w:rsid w:val="00C57E95"/>
    <w:rsid w:val="00C64BB4"/>
    <w:rsid w:val="00C64FF0"/>
    <w:rsid w:val="00C65740"/>
    <w:rsid w:val="00C71710"/>
    <w:rsid w:val="00C72B03"/>
    <w:rsid w:val="00C73CF5"/>
    <w:rsid w:val="00C75BD4"/>
    <w:rsid w:val="00C76607"/>
    <w:rsid w:val="00C82255"/>
    <w:rsid w:val="00C827B4"/>
    <w:rsid w:val="00C84BA7"/>
    <w:rsid w:val="00C865BE"/>
    <w:rsid w:val="00C86ED5"/>
    <w:rsid w:val="00C9017D"/>
    <w:rsid w:val="00C922D6"/>
    <w:rsid w:val="00C93894"/>
    <w:rsid w:val="00C96847"/>
    <w:rsid w:val="00CA51B5"/>
    <w:rsid w:val="00CA53B9"/>
    <w:rsid w:val="00CA5C08"/>
    <w:rsid w:val="00CB339E"/>
    <w:rsid w:val="00CB343F"/>
    <w:rsid w:val="00CB474E"/>
    <w:rsid w:val="00CB480D"/>
    <w:rsid w:val="00CB63DD"/>
    <w:rsid w:val="00CB7061"/>
    <w:rsid w:val="00CB7591"/>
    <w:rsid w:val="00CC7077"/>
    <w:rsid w:val="00CD0302"/>
    <w:rsid w:val="00CD14BA"/>
    <w:rsid w:val="00CF085A"/>
    <w:rsid w:val="00CF0957"/>
    <w:rsid w:val="00CF2624"/>
    <w:rsid w:val="00CF26B0"/>
    <w:rsid w:val="00CF2F47"/>
    <w:rsid w:val="00CF33D3"/>
    <w:rsid w:val="00CF60EB"/>
    <w:rsid w:val="00CF7041"/>
    <w:rsid w:val="00D0274C"/>
    <w:rsid w:val="00D03D62"/>
    <w:rsid w:val="00D047AD"/>
    <w:rsid w:val="00D10609"/>
    <w:rsid w:val="00D13111"/>
    <w:rsid w:val="00D161A3"/>
    <w:rsid w:val="00D22DA4"/>
    <w:rsid w:val="00D24A9F"/>
    <w:rsid w:val="00D26367"/>
    <w:rsid w:val="00D303FC"/>
    <w:rsid w:val="00D3558D"/>
    <w:rsid w:val="00D362DF"/>
    <w:rsid w:val="00D36448"/>
    <w:rsid w:val="00D47834"/>
    <w:rsid w:val="00D56F8B"/>
    <w:rsid w:val="00D574CA"/>
    <w:rsid w:val="00D63286"/>
    <w:rsid w:val="00D706EC"/>
    <w:rsid w:val="00D71BC4"/>
    <w:rsid w:val="00D754D5"/>
    <w:rsid w:val="00D77564"/>
    <w:rsid w:val="00D821D8"/>
    <w:rsid w:val="00D825ED"/>
    <w:rsid w:val="00D83F39"/>
    <w:rsid w:val="00D848CC"/>
    <w:rsid w:val="00D86C45"/>
    <w:rsid w:val="00D92CAE"/>
    <w:rsid w:val="00DA25F5"/>
    <w:rsid w:val="00DA3CE0"/>
    <w:rsid w:val="00DA6926"/>
    <w:rsid w:val="00DB0499"/>
    <w:rsid w:val="00DB1032"/>
    <w:rsid w:val="00DB1A75"/>
    <w:rsid w:val="00DB1A77"/>
    <w:rsid w:val="00DB1DE9"/>
    <w:rsid w:val="00DB5E3D"/>
    <w:rsid w:val="00DB7073"/>
    <w:rsid w:val="00DC2246"/>
    <w:rsid w:val="00DD025A"/>
    <w:rsid w:val="00DD1B55"/>
    <w:rsid w:val="00DD1CC8"/>
    <w:rsid w:val="00DD6ADB"/>
    <w:rsid w:val="00DD7967"/>
    <w:rsid w:val="00DD7D7A"/>
    <w:rsid w:val="00DE0645"/>
    <w:rsid w:val="00DE18E2"/>
    <w:rsid w:val="00DE3A7B"/>
    <w:rsid w:val="00DE56A2"/>
    <w:rsid w:val="00DE6339"/>
    <w:rsid w:val="00DE782A"/>
    <w:rsid w:val="00DF2704"/>
    <w:rsid w:val="00DF31C8"/>
    <w:rsid w:val="00E03AD5"/>
    <w:rsid w:val="00E05462"/>
    <w:rsid w:val="00E22D4E"/>
    <w:rsid w:val="00E24FC4"/>
    <w:rsid w:val="00E252E1"/>
    <w:rsid w:val="00E260B0"/>
    <w:rsid w:val="00E37776"/>
    <w:rsid w:val="00E43345"/>
    <w:rsid w:val="00E43E9E"/>
    <w:rsid w:val="00E44991"/>
    <w:rsid w:val="00E45CF1"/>
    <w:rsid w:val="00E500B9"/>
    <w:rsid w:val="00E554CD"/>
    <w:rsid w:val="00E5684D"/>
    <w:rsid w:val="00E611FD"/>
    <w:rsid w:val="00E61B11"/>
    <w:rsid w:val="00E636EB"/>
    <w:rsid w:val="00E648AB"/>
    <w:rsid w:val="00E669FA"/>
    <w:rsid w:val="00E6749A"/>
    <w:rsid w:val="00E67E46"/>
    <w:rsid w:val="00E70D15"/>
    <w:rsid w:val="00E72081"/>
    <w:rsid w:val="00E82D6F"/>
    <w:rsid w:val="00E85A20"/>
    <w:rsid w:val="00E91901"/>
    <w:rsid w:val="00E96011"/>
    <w:rsid w:val="00E97C17"/>
    <w:rsid w:val="00EA2C42"/>
    <w:rsid w:val="00EA3809"/>
    <w:rsid w:val="00EA62FC"/>
    <w:rsid w:val="00EA7470"/>
    <w:rsid w:val="00EB1A61"/>
    <w:rsid w:val="00EB58FE"/>
    <w:rsid w:val="00EB6A06"/>
    <w:rsid w:val="00EC3763"/>
    <w:rsid w:val="00EC4D3F"/>
    <w:rsid w:val="00EC4DF4"/>
    <w:rsid w:val="00EC6458"/>
    <w:rsid w:val="00ED0A0D"/>
    <w:rsid w:val="00ED7885"/>
    <w:rsid w:val="00EE0672"/>
    <w:rsid w:val="00EE34D3"/>
    <w:rsid w:val="00EE5081"/>
    <w:rsid w:val="00EE6DE0"/>
    <w:rsid w:val="00EF64F3"/>
    <w:rsid w:val="00EF737D"/>
    <w:rsid w:val="00EF748E"/>
    <w:rsid w:val="00F03D79"/>
    <w:rsid w:val="00F03DC0"/>
    <w:rsid w:val="00F04E7E"/>
    <w:rsid w:val="00F13D4B"/>
    <w:rsid w:val="00F14C92"/>
    <w:rsid w:val="00F17351"/>
    <w:rsid w:val="00F23AF1"/>
    <w:rsid w:val="00F2439E"/>
    <w:rsid w:val="00F24E1D"/>
    <w:rsid w:val="00F2705D"/>
    <w:rsid w:val="00F279AB"/>
    <w:rsid w:val="00F3224B"/>
    <w:rsid w:val="00F32E87"/>
    <w:rsid w:val="00F34EFC"/>
    <w:rsid w:val="00F37011"/>
    <w:rsid w:val="00F40368"/>
    <w:rsid w:val="00F41010"/>
    <w:rsid w:val="00F41DC8"/>
    <w:rsid w:val="00F422E1"/>
    <w:rsid w:val="00F47DA5"/>
    <w:rsid w:val="00F504A8"/>
    <w:rsid w:val="00F536E7"/>
    <w:rsid w:val="00F5636A"/>
    <w:rsid w:val="00F563C9"/>
    <w:rsid w:val="00F5654B"/>
    <w:rsid w:val="00F56C9E"/>
    <w:rsid w:val="00F57B69"/>
    <w:rsid w:val="00F6144C"/>
    <w:rsid w:val="00F61892"/>
    <w:rsid w:val="00F6239C"/>
    <w:rsid w:val="00F633B4"/>
    <w:rsid w:val="00F67BBD"/>
    <w:rsid w:val="00F71F8E"/>
    <w:rsid w:val="00F74762"/>
    <w:rsid w:val="00F75125"/>
    <w:rsid w:val="00F7638E"/>
    <w:rsid w:val="00F77553"/>
    <w:rsid w:val="00F775B8"/>
    <w:rsid w:val="00F77E1F"/>
    <w:rsid w:val="00F95133"/>
    <w:rsid w:val="00FA28D8"/>
    <w:rsid w:val="00FA5BF3"/>
    <w:rsid w:val="00FB0592"/>
    <w:rsid w:val="00FB139B"/>
    <w:rsid w:val="00FB4E1C"/>
    <w:rsid w:val="00FB6563"/>
    <w:rsid w:val="00FC1B44"/>
    <w:rsid w:val="00FC1F9A"/>
    <w:rsid w:val="00FC5E77"/>
    <w:rsid w:val="00FC60B5"/>
    <w:rsid w:val="00FC6242"/>
    <w:rsid w:val="00FC73A2"/>
    <w:rsid w:val="00FD540B"/>
    <w:rsid w:val="00FE290A"/>
    <w:rsid w:val="00FE5B51"/>
    <w:rsid w:val="00FF17D8"/>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43C"/>
    <w:rPr>
      <w:sz w:val="24"/>
      <w:szCs w:val="24"/>
    </w:rPr>
  </w:style>
  <w:style w:type="paragraph" w:styleId="Heading1">
    <w:name w:val="heading 1"/>
    <w:basedOn w:val="Normal"/>
    <w:next w:val="Normal"/>
    <w:link w:val="Heading1Char"/>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customStyle="1" w:styleId="Heading1Char">
    <w:name w:val="Heading 1 Char"/>
    <w:basedOn w:val="DefaultParagraphFont"/>
    <w:link w:val="Heading1"/>
    <w:rsid w:val="000613C1"/>
    <w:rPr>
      <w:rFonts w:eastAsia="Arial Unicode MS"/>
      <w:b/>
      <w:bCs/>
      <w:szCs w:val="12"/>
    </w:rPr>
  </w:style>
  <w:style w:type="character" w:customStyle="1" w:styleId="citation-volume-pages">
    <w:name w:val="citation-volume-pages"/>
    <w:basedOn w:val="DefaultParagraphFont"/>
    <w:rsid w:val="00AE60A6"/>
  </w:style>
  <w:style w:type="character" w:styleId="UnresolvedMention">
    <w:name w:val="Unresolved Mention"/>
    <w:basedOn w:val="DefaultParagraphFont"/>
    <w:uiPriority w:val="99"/>
    <w:semiHidden/>
    <w:unhideWhenUsed/>
    <w:rsid w:val="00B56C24"/>
    <w:rPr>
      <w:color w:val="605E5C"/>
      <w:shd w:val="clear" w:color="auto" w:fill="E1DFDD"/>
    </w:rPr>
  </w:style>
  <w:style w:type="paragraph" w:styleId="Revision">
    <w:name w:val="Revision"/>
    <w:hidden/>
    <w:uiPriority w:val="99"/>
    <w:semiHidden/>
    <w:rsid w:val="007D1D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416638056">
      <w:bodyDiv w:val="1"/>
      <w:marLeft w:val="0"/>
      <w:marRight w:val="0"/>
      <w:marTop w:val="0"/>
      <w:marBottom w:val="0"/>
      <w:divBdr>
        <w:top w:val="none" w:sz="0" w:space="0" w:color="auto"/>
        <w:left w:val="none" w:sz="0" w:space="0" w:color="auto"/>
        <w:bottom w:val="none" w:sz="0" w:space="0" w:color="auto"/>
        <w:right w:val="none" w:sz="0" w:space="0" w:color="auto"/>
      </w:divBdr>
      <w:divsChild>
        <w:div w:id="773213247">
          <w:marLeft w:val="0"/>
          <w:marRight w:val="0"/>
          <w:marTop w:val="0"/>
          <w:marBottom w:val="0"/>
          <w:divBdr>
            <w:top w:val="none" w:sz="0" w:space="0" w:color="auto"/>
            <w:left w:val="none" w:sz="0" w:space="0" w:color="auto"/>
            <w:bottom w:val="none" w:sz="0" w:space="0" w:color="auto"/>
            <w:right w:val="none" w:sz="0" w:space="0" w:color="auto"/>
          </w:divBdr>
        </w:div>
      </w:divsChild>
    </w:div>
    <w:div w:id="836923644">
      <w:bodyDiv w:val="1"/>
      <w:marLeft w:val="0"/>
      <w:marRight w:val="0"/>
      <w:marTop w:val="0"/>
      <w:marBottom w:val="0"/>
      <w:divBdr>
        <w:top w:val="none" w:sz="0" w:space="0" w:color="auto"/>
        <w:left w:val="none" w:sz="0" w:space="0" w:color="auto"/>
        <w:bottom w:val="none" w:sz="0" w:space="0" w:color="auto"/>
        <w:right w:val="none" w:sz="0" w:space="0" w:color="auto"/>
      </w:divBdr>
      <w:divsChild>
        <w:div w:id="493838054">
          <w:marLeft w:val="0"/>
          <w:marRight w:val="1"/>
          <w:marTop w:val="0"/>
          <w:marBottom w:val="0"/>
          <w:divBdr>
            <w:top w:val="none" w:sz="0" w:space="0" w:color="auto"/>
            <w:left w:val="none" w:sz="0" w:space="0" w:color="auto"/>
            <w:bottom w:val="none" w:sz="0" w:space="0" w:color="auto"/>
            <w:right w:val="none" w:sz="0" w:space="0" w:color="auto"/>
          </w:divBdr>
          <w:divsChild>
            <w:div w:id="874583045">
              <w:marLeft w:val="0"/>
              <w:marRight w:val="0"/>
              <w:marTop w:val="0"/>
              <w:marBottom w:val="0"/>
              <w:divBdr>
                <w:top w:val="none" w:sz="0" w:space="0" w:color="auto"/>
                <w:left w:val="none" w:sz="0" w:space="0" w:color="auto"/>
                <w:bottom w:val="none" w:sz="0" w:space="0" w:color="auto"/>
                <w:right w:val="none" w:sz="0" w:space="0" w:color="auto"/>
              </w:divBdr>
              <w:divsChild>
                <w:div w:id="1778866607">
                  <w:marLeft w:val="0"/>
                  <w:marRight w:val="1"/>
                  <w:marTop w:val="0"/>
                  <w:marBottom w:val="0"/>
                  <w:divBdr>
                    <w:top w:val="none" w:sz="0" w:space="0" w:color="auto"/>
                    <w:left w:val="none" w:sz="0" w:space="0" w:color="auto"/>
                    <w:bottom w:val="none" w:sz="0" w:space="0" w:color="auto"/>
                    <w:right w:val="none" w:sz="0" w:space="0" w:color="auto"/>
                  </w:divBdr>
                  <w:divsChild>
                    <w:div w:id="926963654">
                      <w:marLeft w:val="0"/>
                      <w:marRight w:val="0"/>
                      <w:marTop w:val="0"/>
                      <w:marBottom w:val="0"/>
                      <w:divBdr>
                        <w:top w:val="none" w:sz="0" w:space="0" w:color="auto"/>
                        <w:left w:val="none" w:sz="0" w:space="0" w:color="auto"/>
                        <w:bottom w:val="none" w:sz="0" w:space="0" w:color="auto"/>
                        <w:right w:val="none" w:sz="0" w:space="0" w:color="auto"/>
                      </w:divBdr>
                      <w:divsChild>
                        <w:div w:id="746532186">
                          <w:marLeft w:val="0"/>
                          <w:marRight w:val="0"/>
                          <w:marTop w:val="0"/>
                          <w:marBottom w:val="0"/>
                          <w:divBdr>
                            <w:top w:val="none" w:sz="0" w:space="0" w:color="auto"/>
                            <w:left w:val="none" w:sz="0" w:space="0" w:color="auto"/>
                            <w:bottom w:val="none" w:sz="0" w:space="0" w:color="auto"/>
                            <w:right w:val="none" w:sz="0" w:space="0" w:color="auto"/>
                          </w:divBdr>
                          <w:divsChild>
                            <w:div w:id="1893535589">
                              <w:marLeft w:val="0"/>
                              <w:marRight w:val="0"/>
                              <w:marTop w:val="0"/>
                              <w:marBottom w:val="0"/>
                              <w:divBdr>
                                <w:top w:val="none" w:sz="0" w:space="0" w:color="auto"/>
                                <w:left w:val="none" w:sz="0" w:space="0" w:color="auto"/>
                                <w:bottom w:val="none" w:sz="0" w:space="0" w:color="auto"/>
                                <w:right w:val="none" w:sz="0" w:space="0" w:color="auto"/>
                              </w:divBdr>
                            </w:div>
                          </w:divsChild>
                        </w:div>
                        <w:div w:id="1213151547">
                          <w:marLeft w:val="0"/>
                          <w:marRight w:val="0"/>
                          <w:marTop w:val="0"/>
                          <w:marBottom w:val="0"/>
                          <w:divBdr>
                            <w:top w:val="none" w:sz="0" w:space="0" w:color="auto"/>
                            <w:left w:val="none" w:sz="0" w:space="0" w:color="auto"/>
                            <w:bottom w:val="none" w:sz="0" w:space="0" w:color="auto"/>
                            <w:right w:val="none" w:sz="0" w:space="0" w:color="auto"/>
                          </w:divBdr>
                          <w:divsChild>
                            <w:div w:id="188185867">
                              <w:marLeft w:val="0"/>
                              <w:marRight w:val="0"/>
                              <w:marTop w:val="120"/>
                              <w:marBottom w:val="360"/>
                              <w:divBdr>
                                <w:top w:val="none" w:sz="0" w:space="0" w:color="auto"/>
                                <w:left w:val="none" w:sz="0" w:space="0" w:color="auto"/>
                                <w:bottom w:val="none" w:sz="0" w:space="0" w:color="auto"/>
                                <w:right w:val="none" w:sz="0" w:space="0" w:color="auto"/>
                              </w:divBdr>
                              <w:divsChild>
                                <w:div w:id="14941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030916">
      <w:bodyDiv w:val="1"/>
      <w:marLeft w:val="0"/>
      <w:marRight w:val="0"/>
      <w:marTop w:val="0"/>
      <w:marBottom w:val="0"/>
      <w:divBdr>
        <w:top w:val="none" w:sz="0" w:space="0" w:color="auto"/>
        <w:left w:val="none" w:sz="0" w:space="0" w:color="auto"/>
        <w:bottom w:val="none" w:sz="0" w:space="0" w:color="auto"/>
        <w:right w:val="none" w:sz="0" w:space="0" w:color="auto"/>
      </w:divBdr>
    </w:div>
    <w:div w:id="105493631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9629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pine.org/Portals/0/assets/downloads/ResearchClinicalCare/Guidelines/LowBackPain.pdf" TargetMode="External"/><Relationship Id="rId3" Type="http://schemas.openxmlformats.org/officeDocument/2006/relationships/customXml" Target="../customXml/item3.xml"/><Relationship Id="rId21" Type="http://schemas.openxmlformats.org/officeDocument/2006/relationships/hyperlink" Target="http://www.cms.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inegeneral.org/app/files/public/6460f387-09dc-4968-b162-eee6121a1497/aaosbackpainguidelines.pdf" TargetMode="External"/><Relationship Id="rId2" Type="http://schemas.openxmlformats.org/officeDocument/2006/relationships/customXml" Target="../customXml/item2.xml"/><Relationship Id="rId16" Type="http://schemas.openxmlformats.org/officeDocument/2006/relationships/hyperlink" Target="http://www.uptodate.com" TargetMode="External"/><Relationship Id="rId20" Type="http://schemas.openxmlformats.org/officeDocument/2006/relationships/hyperlink" Target="https://emedicine.medscape.com/article/103399-periproced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ayesin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ine.org/Cover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EFCB3-9B7B-49F9-8C96-903279084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86648-A756-45FA-BBED-EEDA5AB7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CBAA01-592F-4C2E-9A4D-9901261FA6C6}">
  <ds:schemaRefs>
    <ds:schemaRef ds:uri="http://schemas.openxmlformats.org/officeDocument/2006/bibliography"/>
  </ds:schemaRefs>
</ds:datastoreItem>
</file>

<file path=customXml/itemProps4.xml><?xml version="1.0" encoding="utf-8"?>
<ds:datastoreItem xmlns:ds="http://schemas.openxmlformats.org/officeDocument/2006/customXml" ds:itemID="{40A2C655-A85B-4F21-86A6-D4F53E3CF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3561</Words>
  <Characters>22262</Characters>
  <Application>Microsoft Office Word</Application>
  <DocSecurity>2</DocSecurity>
  <Lines>185</Lines>
  <Paragraphs>51</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3</cp:revision>
  <cp:lastPrinted>2019-07-29T19:17:00Z</cp:lastPrinted>
  <dcterms:created xsi:type="dcterms:W3CDTF">2025-07-25T13:48:00Z</dcterms:created>
  <dcterms:modified xsi:type="dcterms:W3CDTF">2025-07-25T13:48:00Z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2022-07-05T13:54:56Z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1e41ce35-079e-4212-a219-c135727bf0e3</vt:lpwstr>
  </property>
  <property fmtid="{D5CDD505-2E9C-101B-9397-08002B2CF9AE}" pid="8" name="MSIP_Label_5a776955-85f6-4fec-9553-96dd3e0373c4_ContentBits">
    <vt:lpwstr>0</vt:lpwstr>
  </property>
</Properties>
</file>