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5DE" w14:textId="59F86C66" w:rsidR="00D574CA" w:rsidRPr="00C432CB" w:rsidRDefault="00230FE4" w:rsidP="00AB417A">
      <w:pPr>
        <w:pStyle w:val="PolicyMainHead"/>
        <w:tabs>
          <w:tab w:val="left" w:pos="360"/>
        </w:tabs>
        <w:spacing w:after="0" w:line="240" w:lineRule="auto"/>
        <w:rPr>
          <w:rFonts w:ascii="Times New Roman" w:hAnsi="Times New Roman"/>
          <w:color w:val="00548C"/>
          <w:sz w:val="36"/>
          <w:szCs w:val="36"/>
        </w:rPr>
      </w:pPr>
      <w:r w:rsidRPr="00C432CB">
        <w:rPr>
          <w:rFonts w:ascii="Times New Roman" w:hAnsi="Times New Roman"/>
          <w:color w:val="00548C"/>
          <w:sz w:val="36"/>
          <w:szCs w:val="36"/>
        </w:rPr>
        <w:t xml:space="preserve">Clinical Policy: </w:t>
      </w:r>
      <w:bookmarkStart w:id="0" w:name="_Hlk202363656"/>
      <w:r w:rsidR="00C27D7D" w:rsidRPr="00C432CB">
        <w:rPr>
          <w:rFonts w:ascii="Times New Roman" w:hAnsi="Times New Roman"/>
          <w:color w:val="00548C"/>
          <w:sz w:val="36"/>
          <w:szCs w:val="36"/>
        </w:rPr>
        <w:t>Selective Nerve Root Blocks</w:t>
      </w:r>
      <w:r w:rsidR="00C16705" w:rsidRPr="00C432CB">
        <w:rPr>
          <w:rFonts w:ascii="Times New Roman" w:hAnsi="Times New Roman"/>
          <w:color w:val="00548C"/>
          <w:sz w:val="36"/>
          <w:szCs w:val="36"/>
        </w:rPr>
        <w:t xml:space="preserve"> and </w:t>
      </w:r>
      <w:r w:rsidR="00AB417A" w:rsidRPr="00C432CB">
        <w:rPr>
          <w:rFonts w:ascii="Times New Roman" w:hAnsi="Times New Roman"/>
          <w:color w:val="00548C"/>
          <w:sz w:val="36"/>
          <w:szCs w:val="36"/>
        </w:rPr>
        <w:t>Transforaminal Epidural Steroid Injections</w:t>
      </w:r>
      <w:bookmarkEnd w:id="0"/>
    </w:p>
    <w:p w14:paraId="6D1C8226" w14:textId="77777777" w:rsidR="00B777AF" w:rsidRDefault="00B777AF" w:rsidP="00D574CA">
      <w:pPr>
        <w:pStyle w:val="PolicyMainHead"/>
        <w:tabs>
          <w:tab w:val="left" w:pos="360"/>
        </w:tabs>
        <w:spacing w:after="0" w:line="240" w:lineRule="auto"/>
        <w:rPr>
          <w:color w:val="00548C"/>
          <w:sz w:val="24"/>
        </w:rPr>
        <w:sectPr w:rsidR="00B777AF" w:rsidSect="00CB63DD">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1CCCED07" w14:textId="6E100338"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C27D7D">
        <w:rPr>
          <w:rFonts w:ascii="Times New Roman" w:hAnsi="Times New Roman"/>
          <w:color w:val="00548C"/>
          <w:sz w:val="24"/>
          <w:szCs w:val="24"/>
        </w:rPr>
        <w:t>165</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1CDDCC8A" w:rsidR="00875924" w:rsidRDefault="00C91201"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2974AA">
        <w:rPr>
          <w:rFonts w:ascii="Times New Roman" w:hAnsi="Times New Roman"/>
          <w:color w:val="00548C"/>
          <w:sz w:val="24"/>
          <w:szCs w:val="24"/>
        </w:rPr>
        <w:t>07/2</w:t>
      </w:r>
      <w:r w:rsidR="005850A4">
        <w:rPr>
          <w:rFonts w:ascii="Times New Roman" w:hAnsi="Times New Roman"/>
          <w:color w:val="00548C"/>
          <w:sz w:val="24"/>
          <w:szCs w:val="24"/>
        </w:rPr>
        <w:t>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71F48100" w14:textId="77777777" w:rsidR="00C16705" w:rsidRDefault="00C16705">
      <w:pPr>
        <w:pStyle w:val="Heading2"/>
        <w:rPr>
          <w:rStyle w:val="Strong"/>
        </w:rPr>
      </w:pPr>
    </w:p>
    <w:p w14:paraId="16EE8073" w14:textId="77777777" w:rsidR="00583376" w:rsidRPr="00521D17" w:rsidRDefault="00583376" w:rsidP="00521D17">
      <w:pPr>
        <w:pStyle w:val="Heading1"/>
        <w:rPr>
          <w:sz w:val="24"/>
        </w:rPr>
      </w:pPr>
      <w:r w:rsidRPr="00521D17">
        <w:rPr>
          <w:sz w:val="24"/>
        </w:rPr>
        <w:t xml:space="preserve">Description </w:t>
      </w:r>
    </w:p>
    <w:p w14:paraId="402A9AED" w14:textId="6C6FA788" w:rsidR="00957578" w:rsidRDefault="00957578" w:rsidP="00196935">
      <w:pPr>
        <w:rPr>
          <w:vertAlign w:val="superscript"/>
        </w:rPr>
      </w:pPr>
      <w:r>
        <w:t xml:space="preserve">Transforaminal epidural steroid injections (TFESIs) and selective nerve </w:t>
      </w:r>
      <w:r w:rsidR="00931E1D">
        <w:t xml:space="preserve">root </w:t>
      </w:r>
      <w:r>
        <w:t xml:space="preserve">blocks (SNRBs) are </w:t>
      </w:r>
      <w:r w:rsidR="00983A30">
        <w:t xml:space="preserve">alternatives to interlaminar epidural steroid injections for the treatment of </w:t>
      </w:r>
      <w:r>
        <w:t>radicular pain</w:t>
      </w:r>
      <w:r w:rsidR="00983A30">
        <w:t>.</w:t>
      </w:r>
      <w:r>
        <w:t xml:space="preserve"> SNRBs consist of a</w:t>
      </w:r>
      <w:r w:rsidR="00B83DC3">
        <w:t xml:space="preserve"> small amount of</w:t>
      </w:r>
      <w:r>
        <w:t xml:space="preserve"> local anesthetic injected adjacent</w:t>
      </w:r>
      <w:r w:rsidR="00B83DC3">
        <w:t xml:space="preserve"> to</w:t>
      </w:r>
      <w:r>
        <w:t xml:space="preserve"> a spinal nerve root</w:t>
      </w:r>
      <w:r w:rsidR="00B83DC3">
        <w:t xml:space="preserve"> and are most often used to diagnose the source of pain</w:t>
      </w:r>
      <w:r>
        <w:t>.</w:t>
      </w:r>
      <w:r w:rsidR="00B83DC3">
        <w:rPr>
          <w:vertAlign w:val="superscript"/>
        </w:rPr>
        <w:t>1</w:t>
      </w:r>
      <w:r>
        <w:t xml:space="preserve"> During a TFESI, a </w:t>
      </w:r>
      <w:r w:rsidR="00B83DC3">
        <w:t xml:space="preserve">larger amount of </w:t>
      </w:r>
      <w:r>
        <w:t xml:space="preserve">local anesthetic or corticosteroid </w:t>
      </w:r>
      <w:r w:rsidR="00983A30">
        <w:t>is</w:t>
      </w:r>
      <w:r>
        <w:t xml:space="preserve"> injected into the intervertebral foramen, where the injectate spreads to target multiple nerves. SNRBs</w:t>
      </w:r>
      <w:r w:rsidR="00B83DC3">
        <w:t xml:space="preserve"> and TFESIs share similar safety considerations, procedural techniques, and anatomical benchmarks.</w:t>
      </w:r>
      <w:r w:rsidR="00B83DC3" w:rsidRPr="00AF51B8">
        <w:rPr>
          <w:vertAlign w:val="superscript"/>
        </w:rPr>
        <w:t>1</w:t>
      </w:r>
    </w:p>
    <w:p w14:paraId="696B08A2" w14:textId="77777777" w:rsidR="00FD5EFB" w:rsidRDefault="00FD5EFB" w:rsidP="00196935">
      <w:pPr>
        <w:rPr>
          <w:vertAlign w:val="superscript"/>
        </w:rPr>
      </w:pPr>
    </w:p>
    <w:p w14:paraId="21754537" w14:textId="7C76013C" w:rsidR="00FD5EFB" w:rsidRPr="00FD5EFB" w:rsidRDefault="00FD5EFB" w:rsidP="00FD5EFB">
      <w:pPr>
        <w:rPr>
          <w:bCs/>
          <w:i/>
        </w:rPr>
      </w:pPr>
      <w:r w:rsidRPr="00FD5EFB">
        <w:rPr>
          <w:bCs/>
          <w:i/>
        </w:rPr>
        <w:t xml:space="preserve">Note: </w:t>
      </w:r>
      <w:r w:rsidRPr="00FD5EFB">
        <w:rPr>
          <w:bCs/>
          <w:iCs/>
        </w:rPr>
        <w:t xml:space="preserve">For guidelines for </w:t>
      </w:r>
      <w:r w:rsidR="00E801DA">
        <w:rPr>
          <w:bCs/>
          <w:iCs/>
        </w:rPr>
        <w:t>caudal or interlaminar</w:t>
      </w:r>
      <w:r w:rsidR="00B008E5">
        <w:rPr>
          <w:bCs/>
          <w:iCs/>
        </w:rPr>
        <w:t xml:space="preserve"> </w:t>
      </w:r>
      <w:r w:rsidR="008E5538">
        <w:rPr>
          <w:bCs/>
          <w:iCs/>
        </w:rPr>
        <w:t>epidural steroid injections (</w:t>
      </w:r>
      <w:r w:rsidRPr="00FD5EFB">
        <w:rPr>
          <w:bCs/>
          <w:iCs/>
        </w:rPr>
        <w:t>ESIs</w:t>
      </w:r>
      <w:r w:rsidR="008E5538">
        <w:rPr>
          <w:bCs/>
          <w:iCs/>
        </w:rPr>
        <w:t>)</w:t>
      </w:r>
      <w:r w:rsidRPr="00FD5EFB">
        <w:rPr>
          <w:bCs/>
          <w:iCs/>
        </w:rPr>
        <w:t>, reference</w:t>
      </w:r>
      <w:r w:rsidRPr="00FD5EFB">
        <w:rPr>
          <w:bCs/>
          <w:i/>
        </w:rPr>
        <w:t xml:space="preserve"> CP.MP.16</w:t>
      </w:r>
      <w:r w:rsidR="009B4807">
        <w:rPr>
          <w:bCs/>
          <w:i/>
        </w:rPr>
        <w:t>4</w:t>
      </w:r>
      <w:r w:rsidRPr="00FD5EFB">
        <w:rPr>
          <w:bCs/>
          <w:i/>
        </w:rPr>
        <w:t xml:space="preserve"> </w:t>
      </w:r>
      <w:r w:rsidR="00E801DA" w:rsidRPr="00E801DA">
        <w:rPr>
          <w:bCs/>
          <w:i/>
        </w:rPr>
        <w:t>Caudal or Interlaminar Epidural Steroid Injections</w:t>
      </w:r>
      <w:r w:rsidRPr="00FD5EFB">
        <w:rPr>
          <w:bCs/>
          <w:i/>
        </w:rPr>
        <w:t>.</w:t>
      </w:r>
    </w:p>
    <w:p w14:paraId="4EFA0B15" w14:textId="77777777" w:rsidR="00FD5EFB" w:rsidRPr="00FD5EFB" w:rsidRDefault="00FD5EFB" w:rsidP="00196935"/>
    <w:p w14:paraId="7085F688" w14:textId="77777777" w:rsidR="00583376" w:rsidRPr="00B777AF" w:rsidRDefault="00583376">
      <w:pPr>
        <w:pStyle w:val="Heading2"/>
        <w:rPr>
          <w:u w:val="none"/>
        </w:rPr>
      </w:pPr>
      <w:r w:rsidRPr="00B777AF">
        <w:rPr>
          <w:u w:val="none"/>
        </w:rPr>
        <w:t>Policy/Criteria</w:t>
      </w:r>
    </w:p>
    <w:p w14:paraId="1FD27308" w14:textId="34F36048" w:rsidR="00814159" w:rsidRPr="004E0A21" w:rsidRDefault="00AB417A" w:rsidP="00AB417A">
      <w:pPr>
        <w:pStyle w:val="NormalWeb"/>
        <w:widowControl w:val="0"/>
        <w:spacing w:before="0" w:beforeAutospacing="0" w:after="0" w:afterAutospacing="0"/>
        <w:rPr>
          <w:rFonts w:ascii="Times New Roman" w:eastAsia="Times New Roman" w:hAnsi="Times New Roman" w:cs="Times New Roman"/>
          <w:i/>
        </w:rPr>
      </w:pPr>
      <w:r w:rsidRPr="00834BF0">
        <w:rPr>
          <w:rFonts w:ascii="Times New Roman" w:eastAsia="Times New Roman" w:hAnsi="Times New Roman" w:cs="Times New Roman"/>
        </w:rPr>
        <w:t>It is the policy of health plans affiliated with Centene Corporation</w:t>
      </w:r>
      <w:r w:rsidRPr="0067019C">
        <w:rPr>
          <w:rFonts w:ascii="Times New Roman" w:eastAsia="Times New Roman" w:hAnsi="Times New Roman" w:cs="Times New Roman"/>
          <w:vertAlign w:val="superscript"/>
        </w:rPr>
        <w:t>®</w:t>
      </w:r>
      <w:r w:rsidRPr="00834BF0">
        <w:rPr>
          <w:rFonts w:ascii="Times New Roman" w:eastAsia="Times New Roman" w:hAnsi="Times New Roman" w:cs="Times New Roman"/>
        </w:rPr>
        <w:t xml:space="preserve"> that invasive pain management procedures performed by a physician are </w:t>
      </w:r>
      <w:r w:rsidRPr="00E65EAA">
        <w:rPr>
          <w:rFonts w:ascii="Times New Roman" w:eastAsia="Times New Roman" w:hAnsi="Times New Roman" w:cs="Times New Roman"/>
          <w:b/>
        </w:rPr>
        <w:t>medically necessary</w:t>
      </w:r>
      <w:r w:rsidRPr="00834BF0">
        <w:rPr>
          <w:rFonts w:ascii="Times New Roman" w:eastAsia="Times New Roman" w:hAnsi="Times New Roman" w:cs="Times New Roman"/>
        </w:rPr>
        <w:t xml:space="preserve"> </w:t>
      </w:r>
      <w:r w:rsidRPr="00214A3F">
        <w:rPr>
          <w:rFonts w:ascii="Times New Roman" w:eastAsia="Times New Roman" w:hAnsi="Times New Roman" w:cs="Times New Roman"/>
        </w:rPr>
        <w:t xml:space="preserve">when </w:t>
      </w:r>
      <w:r w:rsidRPr="00224176">
        <w:rPr>
          <w:rFonts w:ascii="Times New Roman" w:eastAsia="Times New Roman" w:hAnsi="Times New Roman" w:cs="Times New Roman"/>
          <w:i/>
        </w:rPr>
        <w:t>the relevant criteria are me</w:t>
      </w:r>
      <w:r w:rsidR="004E0A21">
        <w:rPr>
          <w:rFonts w:ascii="Times New Roman" w:eastAsia="Times New Roman" w:hAnsi="Times New Roman" w:cs="Times New Roman"/>
          <w:i/>
        </w:rPr>
        <w:t>t</w:t>
      </w:r>
      <w:r w:rsidR="00EB5ED0">
        <w:rPr>
          <w:rFonts w:ascii="Times New Roman" w:eastAsia="Times New Roman" w:hAnsi="Times New Roman" w:cs="Times New Roman"/>
          <w:i/>
        </w:rPr>
        <w:t xml:space="preserve"> </w:t>
      </w:r>
      <w:r w:rsidR="00EB5ED0" w:rsidRPr="004E0A21">
        <w:rPr>
          <w:rFonts w:ascii="Times New Roman" w:eastAsia="Times New Roman" w:hAnsi="Times New Roman" w:cs="Times New Roman"/>
          <w:i/>
        </w:rPr>
        <w:t>and</w:t>
      </w:r>
      <w:r w:rsidRPr="004E0A21">
        <w:rPr>
          <w:rFonts w:ascii="Times New Roman" w:eastAsia="Times New Roman" w:hAnsi="Times New Roman" w:cs="Times New Roman"/>
          <w:i/>
        </w:rPr>
        <w:t xml:space="preserve"> </w:t>
      </w:r>
      <w:r w:rsidRPr="004E0A21">
        <w:rPr>
          <w:rFonts w:ascii="Times New Roman" w:eastAsia="Times New Roman" w:hAnsi="Times New Roman" w:cs="Times New Roman"/>
          <w:i/>
          <w:iCs/>
        </w:rPr>
        <w:t>only one</w:t>
      </w:r>
      <w:r w:rsidRPr="004E0A21">
        <w:rPr>
          <w:rFonts w:ascii="Times New Roman" w:eastAsia="Times New Roman" w:hAnsi="Times New Roman" w:cs="Times New Roman"/>
          <w:i/>
        </w:rPr>
        <w:t xml:space="preserve"> procedure</w:t>
      </w:r>
      <w:r w:rsidR="004304AB" w:rsidRPr="004E0A21">
        <w:rPr>
          <w:rFonts w:ascii="Times New Roman" w:eastAsia="Times New Roman" w:hAnsi="Times New Roman" w:cs="Times New Roman"/>
          <w:i/>
        </w:rPr>
        <w:t xml:space="preserve"> is performed</w:t>
      </w:r>
      <w:r w:rsidRPr="004E0A21">
        <w:rPr>
          <w:rFonts w:ascii="Times New Roman" w:eastAsia="Times New Roman" w:hAnsi="Times New Roman" w:cs="Times New Roman"/>
          <w:i/>
        </w:rPr>
        <w:t xml:space="preserve"> per visit</w:t>
      </w:r>
      <w:r w:rsidRPr="004E0A21">
        <w:rPr>
          <w:rFonts w:ascii="Times New Roman" w:eastAsia="Times New Roman" w:hAnsi="Times New Roman" w:cs="Times New Roman"/>
          <w:i/>
          <w:strike/>
        </w:rPr>
        <w:t>,</w:t>
      </w:r>
      <w:r w:rsidRPr="004E0A21">
        <w:rPr>
          <w:rFonts w:ascii="Times New Roman" w:eastAsia="Times New Roman" w:hAnsi="Times New Roman" w:cs="Times New Roman"/>
          <w:i/>
        </w:rPr>
        <w:t xml:space="preserve"> with radiographic guidance</w:t>
      </w:r>
      <w:r w:rsidR="004E0A21" w:rsidRPr="004E0A21">
        <w:rPr>
          <w:rFonts w:ascii="Times New Roman" w:eastAsia="Times New Roman" w:hAnsi="Times New Roman" w:cs="Times New Roman"/>
          <w:i/>
        </w:rPr>
        <w:t>.</w:t>
      </w:r>
    </w:p>
    <w:p w14:paraId="5F86BCF0" w14:textId="77777777" w:rsidR="00814159" w:rsidRPr="004E0A21" w:rsidRDefault="00814159" w:rsidP="00AB417A">
      <w:pPr>
        <w:pStyle w:val="NormalWeb"/>
        <w:widowControl w:val="0"/>
        <w:spacing w:before="0" w:beforeAutospacing="0" w:after="0" w:afterAutospacing="0"/>
        <w:rPr>
          <w:rFonts w:ascii="Times New Roman" w:eastAsia="Times New Roman" w:hAnsi="Times New Roman" w:cs="Times New Roman"/>
          <w:iCs/>
        </w:rPr>
      </w:pPr>
    </w:p>
    <w:p w14:paraId="2E24CBE8" w14:textId="7C2CD8D1" w:rsidR="00AB417A" w:rsidRPr="00D64976" w:rsidRDefault="00814159" w:rsidP="00AB417A">
      <w:pPr>
        <w:pStyle w:val="NormalWeb"/>
        <w:widowControl w:val="0"/>
        <w:spacing w:before="0" w:beforeAutospacing="0" w:after="0" w:afterAutospacing="0"/>
        <w:rPr>
          <w:rFonts w:ascii="Times New Roman" w:eastAsia="Times New Roman" w:hAnsi="Times New Roman" w:cs="Times New Roman"/>
        </w:rPr>
      </w:pPr>
      <w:r w:rsidRPr="004E0A21">
        <w:rPr>
          <w:rFonts w:ascii="Times New Roman" w:eastAsia="Times New Roman" w:hAnsi="Times New Roman" w:cs="Times New Roman"/>
          <w:iCs/>
        </w:rPr>
        <w:t xml:space="preserve">Note: </w:t>
      </w:r>
      <w:r w:rsidR="00C52B45" w:rsidRPr="004E0A21">
        <w:rPr>
          <w:rFonts w:ascii="Times New Roman" w:eastAsia="Times New Roman" w:hAnsi="Times New Roman" w:cs="Times New Roman"/>
        </w:rPr>
        <w:t xml:space="preserve">Discontinuing </w:t>
      </w:r>
      <w:r w:rsidR="002B3DA3" w:rsidRPr="004E0A21">
        <w:rPr>
          <w:rFonts w:ascii="Times New Roman" w:eastAsia="Times New Roman" w:hAnsi="Times New Roman" w:cs="Times New Roman"/>
        </w:rPr>
        <w:t xml:space="preserve">anticoagulation therapy or </w:t>
      </w:r>
      <w:r w:rsidR="00C52B45" w:rsidRPr="004E0A21">
        <w:rPr>
          <w:rFonts w:ascii="Times New Roman" w:eastAsia="Times New Roman" w:hAnsi="Times New Roman" w:cs="Times New Roman"/>
        </w:rPr>
        <w:t>anti-platelet therapy is a clinical decision balancing risks and benefits of the procedure on therapy, versus the underlying medical condition if not treated appropriately</w:t>
      </w:r>
      <w:r w:rsidR="00C52B45" w:rsidRPr="00D64976">
        <w:rPr>
          <w:rFonts w:ascii="Times New Roman" w:eastAsia="Times New Roman" w:hAnsi="Times New Roman" w:cs="Times New Roman"/>
        </w:rPr>
        <w:t>.</w:t>
      </w:r>
    </w:p>
    <w:p w14:paraId="489AA544" w14:textId="77777777" w:rsidR="00AB417A" w:rsidRPr="00D64976" w:rsidRDefault="00AB417A" w:rsidP="00AB417A">
      <w:pPr>
        <w:ind w:left="360"/>
      </w:pPr>
    </w:p>
    <w:p w14:paraId="2836B572" w14:textId="534134B7" w:rsidR="00C27D7D" w:rsidRPr="00D64976" w:rsidRDefault="00C27D7D" w:rsidP="003134A9">
      <w:pPr>
        <w:pStyle w:val="Heading1"/>
        <w:keepNext w:val="0"/>
        <w:numPr>
          <w:ilvl w:val="0"/>
          <w:numId w:val="33"/>
        </w:numPr>
        <w:ind w:left="360" w:hanging="360"/>
        <w:rPr>
          <w:sz w:val="24"/>
        </w:rPr>
      </w:pPr>
      <w:bookmarkStart w:id="1" w:name="_Toc510775423"/>
      <w:r w:rsidRPr="00D64976">
        <w:rPr>
          <w:sz w:val="24"/>
        </w:rPr>
        <w:t>Selective Nerve Root Blocks</w:t>
      </w:r>
      <w:bookmarkEnd w:id="1"/>
      <w:r w:rsidR="006B7BC2" w:rsidRPr="00D64976">
        <w:rPr>
          <w:sz w:val="24"/>
        </w:rPr>
        <w:t xml:space="preserve"> (S</w:t>
      </w:r>
      <w:r w:rsidR="00AF5722" w:rsidRPr="00D64976">
        <w:rPr>
          <w:sz w:val="24"/>
        </w:rPr>
        <w:t>NRB)</w:t>
      </w:r>
    </w:p>
    <w:p w14:paraId="54E62621" w14:textId="7B6C9E4F" w:rsidR="004304AB" w:rsidRPr="00D64976" w:rsidRDefault="004304AB" w:rsidP="004304AB">
      <w:pPr>
        <w:pStyle w:val="ListParagraph"/>
        <w:numPr>
          <w:ilvl w:val="0"/>
          <w:numId w:val="22"/>
        </w:numPr>
        <w:ind w:left="720"/>
        <w:rPr>
          <w:i/>
        </w:rPr>
      </w:pPr>
      <w:r w:rsidRPr="00D64976">
        <w:rPr>
          <w:i/>
        </w:rPr>
        <w:t>One</w:t>
      </w:r>
      <w:r w:rsidRPr="00D64976">
        <w:t xml:space="preserve"> </w:t>
      </w:r>
      <w:r w:rsidRPr="00D64976">
        <w:rPr>
          <w:i/>
        </w:rPr>
        <w:t xml:space="preserve">SNRB for acute pain management </w:t>
      </w:r>
      <w:r w:rsidRPr="00D64976">
        <w:t xml:space="preserve">(pain lasting &lt; </w:t>
      </w:r>
      <w:r w:rsidR="00834994" w:rsidRPr="00D64976">
        <w:t>three</w:t>
      </w:r>
      <w:r w:rsidRPr="00D64976">
        <w:t xml:space="preserve"> months) is considered </w:t>
      </w:r>
      <w:r w:rsidRPr="00D64976">
        <w:rPr>
          <w:b/>
        </w:rPr>
        <w:t>medically necessary</w:t>
      </w:r>
      <w:r w:rsidRPr="00D64976">
        <w:t xml:space="preserve"> when </w:t>
      </w:r>
      <w:proofErr w:type="gramStart"/>
      <w:r w:rsidRPr="00D64976">
        <w:t>all of</w:t>
      </w:r>
      <w:proofErr w:type="gramEnd"/>
      <w:r w:rsidRPr="00D64976">
        <w:t xml:space="preserve"> the following are met:</w:t>
      </w:r>
    </w:p>
    <w:p w14:paraId="00A415E9" w14:textId="0EED31A0" w:rsidR="004304AB" w:rsidRPr="00D64976" w:rsidRDefault="004304AB" w:rsidP="004304AB">
      <w:pPr>
        <w:pStyle w:val="ListParagraph"/>
        <w:numPr>
          <w:ilvl w:val="0"/>
          <w:numId w:val="28"/>
        </w:numPr>
        <w:tabs>
          <w:tab w:val="left" w:pos="720"/>
        </w:tabs>
        <w:ind w:left="1080"/>
      </w:pPr>
      <w:r w:rsidRPr="00D64976">
        <w:t xml:space="preserve">There is severe radicular pain in a specific nerve root distribution that interferes substantially with </w:t>
      </w:r>
      <w:r w:rsidR="009779F3" w:rsidRPr="00D64976">
        <w:t>activities of daily living (ADLs)</w:t>
      </w:r>
      <w:r w:rsidRPr="00D64976">
        <w:t>;</w:t>
      </w:r>
    </w:p>
    <w:p w14:paraId="31E92AF7" w14:textId="3B305AFF" w:rsidR="004304AB" w:rsidRPr="00D64976" w:rsidRDefault="004304AB" w:rsidP="004304AB">
      <w:pPr>
        <w:pStyle w:val="ListParagraph"/>
        <w:numPr>
          <w:ilvl w:val="0"/>
          <w:numId w:val="28"/>
        </w:numPr>
        <w:tabs>
          <w:tab w:val="left" w:pos="720"/>
        </w:tabs>
        <w:ind w:left="1080"/>
      </w:pPr>
      <w:r w:rsidRPr="00D64976">
        <w:t xml:space="preserve">Severe pain persists after treatment with </w:t>
      </w:r>
      <w:r w:rsidR="009779F3" w:rsidRPr="00D64976">
        <w:t>nonsteroidal anti-inflammatory drugs (</w:t>
      </w:r>
      <w:r w:rsidRPr="00D64976">
        <w:t>NSAID</w:t>
      </w:r>
      <w:r w:rsidR="00C51DAE" w:rsidRPr="00D64976">
        <w:t>s</w:t>
      </w:r>
      <w:r w:rsidR="009779F3" w:rsidRPr="00D64976">
        <w:t>)</w:t>
      </w:r>
      <w:r w:rsidRPr="00D64976">
        <w:t xml:space="preserve"> and/or opiate (both ≥ </w:t>
      </w:r>
      <w:r w:rsidR="00834994" w:rsidRPr="00D64976">
        <w:t>three</w:t>
      </w:r>
      <w:r w:rsidRPr="00D64976">
        <w:t xml:space="preserve"> days or contraindicated/not tolerated);</w:t>
      </w:r>
    </w:p>
    <w:p w14:paraId="59221CB9" w14:textId="5BAE6190" w:rsidR="004304AB" w:rsidRPr="00D64976" w:rsidRDefault="002F1574" w:rsidP="004304AB">
      <w:pPr>
        <w:pStyle w:val="ListParagraph"/>
        <w:numPr>
          <w:ilvl w:val="0"/>
          <w:numId w:val="28"/>
        </w:numPr>
        <w:tabs>
          <w:tab w:val="left" w:pos="720"/>
        </w:tabs>
        <w:ind w:left="1080"/>
      </w:pPr>
      <w:r w:rsidRPr="00D64976">
        <w:t>C</w:t>
      </w:r>
      <w:r w:rsidR="004304AB" w:rsidRPr="00D64976">
        <w:t>annot tolerate chiropractic or physical therapy</w:t>
      </w:r>
      <w:r w:rsidR="005801CE" w:rsidRPr="00D64976">
        <w:t>,</w:t>
      </w:r>
      <w:r w:rsidR="004304AB" w:rsidRPr="00D64976">
        <w:t xml:space="preserve"> and the injection is intended as a bridge to therapy.</w:t>
      </w:r>
    </w:p>
    <w:p w14:paraId="25E933DB" w14:textId="77777777" w:rsidR="004304AB" w:rsidRPr="00D64976" w:rsidRDefault="004304AB" w:rsidP="005C2616">
      <w:pPr>
        <w:pStyle w:val="ListParagraph"/>
        <w:tabs>
          <w:tab w:val="left" w:pos="720"/>
        </w:tabs>
        <w:ind w:left="1080"/>
      </w:pPr>
    </w:p>
    <w:p w14:paraId="55DB8F22" w14:textId="13244B14" w:rsidR="00C27D7D" w:rsidRPr="00D64976" w:rsidRDefault="00C27D7D" w:rsidP="00C27D7D">
      <w:pPr>
        <w:numPr>
          <w:ilvl w:val="0"/>
          <w:numId w:val="22"/>
        </w:numPr>
        <w:ind w:left="720"/>
        <w:rPr>
          <w:bCs/>
        </w:rPr>
      </w:pPr>
      <w:r w:rsidRPr="00D64976">
        <w:rPr>
          <w:bCs/>
          <w:i/>
        </w:rPr>
        <w:t>One SNRB</w:t>
      </w:r>
      <w:r w:rsidR="002E408E" w:rsidRPr="00D64976">
        <w:rPr>
          <w:bCs/>
          <w:i/>
        </w:rPr>
        <w:t xml:space="preserve"> for chronic pain</w:t>
      </w:r>
      <w:r w:rsidRPr="00D64976">
        <w:rPr>
          <w:bCs/>
        </w:rPr>
        <w:t xml:space="preserve"> is considered </w:t>
      </w:r>
      <w:r w:rsidRPr="00D64976">
        <w:rPr>
          <w:b/>
          <w:bCs/>
        </w:rPr>
        <w:t>medically necessary</w:t>
      </w:r>
      <w:r w:rsidRPr="00D64976">
        <w:rPr>
          <w:bCs/>
        </w:rPr>
        <w:t xml:space="preserve"> to establish a diagnosis and confirm beneficial response when all the following criteria are met:</w:t>
      </w:r>
    </w:p>
    <w:p w14:paraId="7A9FC46A" w14:textId="78764499" w:rsidR="00406E53" w:rsidRPr="00D64976" w:rsidRDefault="00406E53" w:rsidP="00C27D7D">
      <w:pPr>
        <w:numPr>
          <w:ilvl w:val="0"/>
          <w:numId w:val="25"/>
        </w:numPr>
        <w:ind w:left="1080"/>
      </w:pPr>
      <w:r w:rsidRPr="00D64976">
        <w:t>Request is for an SNRB with a local anesthetic at a single nerve root;</w:t>
      </w:r>
    </w:p>
    <w:p w14:paraId="630EF872" w14:textId="2C2D7804" w:rsidR="00C27D7D" w:rsidRPr="00D64976" w:rsidRDefault="009779F3" w:rsidP="00C27D7D">
      <w:pPr>
        <w:numPr>
          <w:ilvl w:val="0"/>
          <w:numId w:val="25"/>
        </w:numPr>
        <w:ind w:left="1080"/>
      </w:pPr>
      <w:r w:rsidRPr="00D64976">
        <w:t>P</w:t>
      </w:r>
      <w:r w:rsidR="00C27D7D" w:rsidRPr="00D64976">
        <w:t xml:space="preserve">ersistent radicular pain </w:t>
      </w:r>
      <w:proofErr w:type="gramStart"/>
      <w:r w:rsidR="00C27D7D" w:rsidRPr="00D64976">
        <w:t>in</w:t>
      </w:r>
      <w:proofErr w:type="gramEnd"/>
      <w:r w:rsidR="00C27D7D" w:rsidRPr="00D64976">
        <w:t xml:space="preserve"> a defined nerve root level</w:t>
      </w:r>
      <w:r w:rsidR="001107DF" w:rsidRPr="00D64976">
        <w:t>,</w:t>
      </w:r>
      <w:r w:rsidR="00406E53" w:rsidRPr="00D64976">
        <w:t xml:space="preserve"> </w:t>
      </w:r>
      <w:r w:rsidR="00C27D7D" w:rsidRPr="00D64976">
        <w:t>and the diagnosis remains uncertain after standard evaluation (neurologic examination, radiological studies and electrodiagnostic studies</w:t>
      </w:r>
      <w:r w:rsidR="005129A0" w:rsidRPr="00D64976">
        <w:t>)</w:t>
      </w:r>
      <w:r w:rsidR="00C27D7D" w:rsidRPr="00D64976">
        <w:t>;</w:t>
      </w:r>
    </w:p>
    <w:p w14:paraId="7DFD1DAD" w14:textId="4398955F" w:rsidR="00406E53" w:rsidRPr="00D64976" w:rsidRDefault="00406E53" w:rsidP="00406E53">
      <w:pPr>
        <w:numPr>
          <w:ilvl w:val="0"/>
          <w:numId w:val="25"/>
        </w:numPr>
        <w:tabs>
          <w:tab w:val="left" w:pos="1080"/>
        </w:tabs>
        <w:ind w:left="1080"/>
      </w:pPr>
      <w:r w:rsidRPr="00D64976">
        <w:t xml:space="preserve">Pain interferes with ADLs and has lasted for at least </w:t>
      </w:r>
      <w:r w:rsidR="00895780" w:rsidRPr="00D64976">
        <w:t>three</w:t>
      </w:r>
      <w:r w:rsidRPr="00D64976">
        <w:t xml:space="preserve"> months;</w:t>
      </w:r>
    </w:p>
    <w:p w14:paraId="505E193C" w14:textId="5AFAE562" w:rsidR="00C27D7D" w:rsidRPr="00D64976" w:rsidRDefault="002F1574" w:rsidP="00C27D7D">
      <w:pPr>
        <w:numPr>
          <w:ilvl w:val="0"/>
          <w:numId w:val="25"/>
        </w:numPr>
        <w:ind w:left="1080"/>
      </w:pPr>
      <w:r w:rsidRPr="00D64976">
        <w:t>Failure</w:t>
      </w:r>
      <w:r w:rsidR="00C27D7D" w:rsidRPr="00D64976">
        <w:t xml:space="preserve"> to respond to conservative therapy</w:t>
      </w:r>
      <w:r w:rsidRPr="00D64976">
        <w:t xml:space="preserve">, </w:t>
      </w:r>
      <w:r w:rsidR="00C27D7D" w:rsidRPr="00D64976">
        <w:t xml:space="preserve">including </w:t>
      </w:r>
      <w:proofErr w:type="gramStart"/>
      <w:r w:rsidR="00C27D7D" w:rsidRPr="00D64976">
        <w:t>all of</w:t>
      </w:r>
      <w:proofErr w:type="gramEnd"/>
      <w:r w:rsidR="00C27D7D" w:rsidRPr="00D64976">
        <w:t xml:space="preserve"> the following: </w:t>
      </w:r>
    </w:p>
    <w:p w14:paraId="44FAFB3F" w14:textId="43DB0AD9" w:rsidR="00C27D7D" w:rsidRPr="00D64976" w:rsidRDefault="00C27D7D" w:rsidP="00C27D7D">
      <w:pPr>
        <w:numPr>
          <w:ilvl w:val="0"/>
          <w:numId w:val="23"/>
        </w:numPr>
        <w:tabs>
          <w:tab w:val="left" w:pos="1080"/>
          <w:tab w:val="left" w:pos="1440"/>
        </w:tabs>
        <w:ind w:left="1620" w:hanging="540"/>
        <w:rPr>
          <w:i/>
        </w:rPr>
      </w:pPr>
      <w:r w:rsidRPr="00D64976">
        <w:lastRenderedPageBreak/>
        <w:t xml:space="preserve">≥ </w:t>
      </w:r>
      <w:r w:rsidR="00DE6FD0">
        <w:t>four</w:t>
      </w:r>
      <w:r w:rsidRPr="00D64976">
        <w:t xml:space="preserve"> weeks chiropractic, physical therapy or prescribed home exercise program;</w:t>
      </w:r>
    </w:p>
    <w:p w14:paraId="6B8581AA" w14:textId="7D88ED71" w:rsidR="00C27D7D" w:rsidRPr="00D37120" w:rsidRDefault="00C27D7D" w:rsidP="00C27D7D">
      <w:pPr>
        <w:numPr>
          <w:ilvl w:val="0"/>
          <w:numId w:val="23"/>
        </w:numPr>
        <w:tabs>
          <w:tab w:val="left" w:pos="1440"/>
        </w:tabs>
        <w:ind w:left="1080" w:firstLine="0"/>
      </w:pPr>
      <w:r w:rsidRPr="00D37120">
        <w:t>NSAID</w:t>
      </w:r>
      <w:r w:rsidR="009779F3" w:rsidRPr="00D37120">
        <w:t>s</w:t>
      </w:r>
      <w:r w:rsidRPr="00D37120">
        <w:t xml:space="preserve"> ≥ </w:t>
      </w:r>
      <w:r w:rsidR="00293266" w:rsidRPr="00D37120">
        <w:t>three</w:t>
      </w:r>
      <w:r w:rsidRPr="00D37120">
        <w:t xml:space="preserve"> weeks or NSAID contraindicated or not tolerated;</w:t>
      </w:r>
      <w:r w:rsidRPr="00D37120">
        <w:rPr>
          <w:i/>
        </w:rPr>
        <w:t xml:space="preserve"> </w:t>
      </w:r>
    </w:p>
    <w:p w14:paraId="5F229288" w14:textId="27187902" w:rsidR="00C27D7D" w:rsidRPr="00D37120" w:rsidRDefault="00C27D7D" w:rsidP="005C2616">
      <w:pPr>
        <w:numPr>
          <w:ilvl w:val="0"/>
          <w:numId w:val="23"/>
        </w:numPr>
        <w:tabs>
          <w:tab w:val="left" w:pos="1080"/>
        </w:tabs>
      </w:pPr>
      <w:r w:rsidRPr="00D37120">
        <w:t xml:space="preserve">≥ </w:t>
      </w:r>
      <w:r w:rsidR="006F2B22" w:rsidRPr="00D37120">
        <w:t xml:space="preserve">four </w:t>
      </w:r>
      <w:r w:rsidRPr="00D37120">
        <w:t>weeks activity modification</w:t>
      </w:r>
      <w:r w:rsidR="00C52B45" w:rsidRPr="00D37120">
        <w:t>.</w:t>
      </w:r>
    </w:p>
    <w:p w14:paraId="4C5C5C2C" w14:textId="77777777" w:rsidR="00C27D7D" w:rsidRPr="00D64976" w:rsidRDefault="00C27D7D" w:rsidP="00C27D7D">
      <w:pPr>
        <w:ind w:left="720"/>
        <w:rPr>
          <w:i/>
        </w:rPr>
      </w:pPr>
    </w:p>
    <w:p w14:paraId="0E48EBFD" w14:textId="54965CA1" w:rsidR="00C27D7D" w:rsidRPr="00D37120" w:rsidRDefault="00C27D7D" w:rsidP="00C27D7D">
      <w:pPr>
        <w:numPr>
          <w:ilvl w:val="0"/>
          <w:numId w:val="22"/>
        </w:numPr>
        <w:ind w:left="720"/>
        <w:rPr>
          <w:b/>
        </w:rPr>
      </w:pPr>
      <w:r w:rsidRPr="00D64976">
        <w:rPr>
          <w:i/>
        </w:rPr>
        <w:t>A second</w:t>
      </w:r>
      <w:r w:rsidRPr="00D64976">
        <w:t xml:space="preserve"> </w:t>
      </w:r>
      <w:r w:rsidRPr="00D64976">
        <w:rPr>
          <w:i/>
        </w:rPr>
        <w:t>SNRB</w:t>
      </w:r>
      <w:r w:rsidRPr="00D64976">
        <w:t xml:space="preserve"> </w:t>
      </w:r>
      <w:r w:rsidR="002E408E" w:rsidRPr="00D64976">
        <w:rPr>
          <w:i/>
        </w:rPr>
        <w:t>for chronic pain</w:t>
      </w:r>
      <w:r w:rsidR="002E408E" w:rsidRPr="00D64976">
        <w:t xml:space="preserve"> </w:t>
      </w:r>
      <w:r w:rsidRPr="00D64976">
        <w:t xml:space="preserve">is considered </w:t>
      </w:r>
      <w:r w:rsidRPr="00D64976">
        <w:rPr>
          <w:b/>
        </w:rPr>
        <w:t>medically necessary</w:t>
      </w:r>
      <w:r w:rsidRPr="00D64976">
        <w:t xml:space="preserve"> when multilevel </w:t>
      </w:r>
      <w:r w:rsidRPr="00D37120">
        <w:t>pathology is suspected</w:t>
      </w:r>
      <w:r w:rsidR="00AB41B7" w:rsidRPr="00D37120">
        <w:t>,</w:t>
      </w:r>
      <w:r w:rsidRPr="00D37120">
        <w:t xml:space="preserve"> and it has been at least two weeks since the prior injection.</w:t>
      </w:r>
      <w:r w:rsidRPr="00D37120" w:rsidDel="003E23F8">
        <w:t xml:space="preserve"> </w:t>
      </w:r>
    </w:p>
    <w:p w14:paraId="1E9200E2" w14:textId="7E013F41" w:rsidR="00C27D7D" w:rsidRPr="00D37120" w:rsidRDefault="00C27D7D" w:rsidP="00C27D7D">
      <w:pPr>
        <w:ind w:left="720"/>
        <w:rPr>
          <w:b/>
        </w:rPr>
      </w:pPr>
    </w:p>
    <w:p w14:paraId="6238ABE0" w14:textId="720FF16D" w:rsidR="00C27D7D" w:rsidRPr="00D37120" w:rsidRDefault="00C27D7D" w:rsidP="0067019C">
      <w:pPr>
        <w:pStyle w:val="ListParagraph"/>
        <w:numPr>
          <w:ilvl w:val="0"/>
          <w:numId w:val="22"/>
        </w:numPr>
        <w:ind w:left="720"/>
      </w:pPr>
      <w:r w:rsidRPr="00D37120">
        <w:rPr>
          <w:i/>
        </w:rPr>
        <w:t xml:space="preserve">SNRBs </w:t>
      </w:r>
      <w:r w:rsidRPr="00D37120">
        <w:t>are considered</w:t>
      </w:r>
      <w:r w:rsidRPr="00D37120">
        <w:rPr>
          <w:i/>
        </w:rPr>
        <w:t xml:space="preserve"> </w:t>
      </w:r>
      <w:r w:rsidRPr="00D37120">
        <w:rPr>
          <w:b/>
        </w:rPr>
        <w:t>not medically necessary</w:t>
      </w:r>
      <w:r w:rsidRPr="00D37120">
        <w:t xml:space="preserve"> for any other indication because effectiveness has not been established.</w:t>
      </w:r>
    </w:p>
    <w:p w14:paraId="15881712" w14:textId="77777777" w:rsidR="003F3D44" w:rsidRPr="00D37120" w:rsidRDefault="003F3D44" w:rsidP="003F3D44"/>
    <w:p w14:paraId="7758AA83" w14:textId="26E87936" w:rsidR="00AB417A" w:rsidRPr="00D37120" w:rsidRDefault="00AB417A" w:rsidP="00AB417A">
      <w:pPr>
        <w:pStyle w:val="Heading1"/>
        <w:keepNext w:val="0"/>
        <w:numPr>
          <w:ilvl w:val="0"/>
          <w:numId w:val="24"/>
        </w:numPr>
        <w:rPr>
          <w:sz w:val="24"/>
        </w:rPr>
      </w:pPr>
      <w:bookmarkStart w:id="2" w:name="_Toc510775424"/>
      <w:r w:rsidRPr="00D37120">
        <w:rPr>
          <w:sz w:val="24"/>
        </w:rPr>
        <w:t>Transforaminal Epidural Steroid Injections</w:t>
      </w:r>
      <w:bookmarkEnd w:id="2"/>
      <w:r w:rsidR="00654D60" w:rsidRPr="00D37120">
        <w:rPr>
          <w:sz w:val="24"/>
        </w:rPr>
        <w:t xml:space="preserve"> (T</w:t>
      </w:r>
      <w:r w:rsidR="00D22096" w:rsidRPr="00D37120">
        <w:rPr>
          <w:sz w:val="24"/>
        </w:rPr>
        <w:t>FESI)</w:t>
      </w:r>
    </w:p>
    <w:p w14:paraId="6ED2B341" w14:textId="419047FE" w:rsidR="009779F3" w:rsidRPr="00D37120" w:rsidRDefault="009779F3" w:rsidP="003A2F2B">
      <w:pPr>
        <w:pStyle w:val="ListParagraph"/>
        <w:numPr>
          <w:ilvl w:val="0"/>
          <w:numId w:val="30"/>
        </w:numPr>
        <w:ind w:left="720"/>
      </w:pPr>
      <w:r w:rsidRPr="00D37120">
        <w:rPr>
          <w:i/>
        </w:rPr>
        <w:t xml:space="preserve">One TFESI for acute </w:t>
      </w:r>
      <w:r w:rsidRPr="00D37120">
        <w:t xml:space="preserve">pain management (pain lasting &lt; </w:t>
      </w:r>
      <w:r w:rsidR="00AC4E9C" w:rsidRPr="00D37120">
        <w:t>three</w:t>
      </w:r>
      <w:r w:rsidRPr="00D37120">
        <w:t xml:space="preserve"> months) is considered </w:t>
      </w:r>
      <w:r w:rsidRPr="00D37120">
        <w:rPr>
          <w:b/>
        </w:rPr>
        <w:t>medically necessary</w:t>
      </w:r>
      <w:r w:rsidRPr="00D37120">
        <w:t xml:space="preserve"> when </w:t>
      </w:r>
      <w:proofErr w:type="gramStart"/>
      <w:r w:rsidRPr="00D37120">
        <w:t>all of</w:t>
      </w:r>
      <w:proofErr w:type="gramEnd"/>
      <w:r w:rsidRPr="00D37120">
        <w:t xml:space="preserve"> the following are met:</w:t>
      </w:r>
    </w:p>
    <w:p w14:paraId="6FC206E0" w14:textId="4C148B99" w:rsidR="009779F3" w:rsidRPr="00D37120" w:rsidRDefault="009779F3" w:rsidP="003A2F2B">
      <w:pPr>
        <w:pStyle w:val="ListParagraph"/>
        <w:numPr>
          <w:ilvl w:val="0"/>
          <w:numId w:val="34"/>
        </w:numPr>
        <w:ind w:left="1080"/>
      </w:pPr>
      <w:r w:rsidRPr="00D37120">
        <w:t>There is severe radicular pain in a specific nerve root distribution that interferes substantially with ADLs;</w:t>
      </w:r>
    </w:p>
    <w:p w14:paraId="4B3C3ACF" w14:textId="5469301C" w:rsidR="000E69E5" w:rsidRPr="00D37120" w:rsidRDefault="000E69E5" w:rsidP="003A2F2B">
      <w:pPr>
        <w:pStyle w:val="ListParagraph"/>
        <w:numPr>
          <w:ilvl w:val="0"/>
          <w:numId w:val="34"/>
        </w:numPr>
        <w:ind w:left="1080"/>
      </w:pPr>
      <w:r w:rsidRPr="00D37120">
        <w:t>If a cervical TFESI is requested, non-particulate steroid must be used</w:t>
      </w:r>
      <w:r w:rsidR="006C0289" w:rsidRPr="00D37120">
        <w:t xml:space="preserve"> (see Table 1)</w:t>
      </w:r>
      <w:r w:rsidR="00D22096" w:rsidRPr="00D37120">
        <w:t>,</w:t>
      </w:r>
      <w:r w:rsidRPr="00D37120">
        <w:t xml:space="preserve"> and the procedure must be conducted with real-time imaging, such as fluoroscopy;</w:t>
      </w:r>
    </w:p>
    <w:p w14:paraId="018EBC82" w14:textId="4F15637D" w:rsidR="009779F3" w:rsidRPr="00AF0948" w:rsidRDefault="009779F3" w:rsidP="003A2F2B">
      <w:pPr>
        <w:pStyle w:val="ListParagraph"/>
        <w:numPr>
          <w:ilvl w:val="0"/>
          <w:numId w:val="34"/>
        </w:numPr>
        <w:ind w:left="1080"/>
      </w:pPr>
      <w:r w:rsidRPr="00AF0948">
        <w:t xml:space="preserve">Severe pain persists after treatment with NSAID and/or opiate (both ≥ </w:t>
      </w:r>
      <w:r w:rsidR="00AC4E9C" w:rsidRPr="00AF0948">
        <w:t>three</w:t>
      </w:r>
      <w:r w:rsidRPr="00AF0948">
        <w:t xml:space="preserve"> days or contraindicated/not tolerated);</w:t>
      </w:r>
    </w:p>
    <w:p w14:paraId="5BE287E3" w14:textId="4AA13D57" w:rsidR="009779F3" w:rsidRPr="00D64976" w:rsidRDefault="002F1574" w:rsidP="003A2F2B">
      <w:pPr>
        <w:pStyle w:val="ListParagraph"/>
        <w:numPr>
          <w:ilvl w:val="0"/>
          <w:numId w:val="34"/>
        </w:numPr>
        <w:ind w:left="1080"/>
      </w:pPr>
      <w:r w:rsidRPr="00D64976">
        <w:t>C</w:t>
      </w:r>
      <w:r w:rsidR="009779F3" w:rsidRPr="00D64976">
        <w:t>annot tolerate chiropractic or physical therapy</w:t>
      </w:r>
      <w:r w:rsidR="00FB19CC" w:rsidRPr="00D64976">
        <w:t>,</w:t>
      </w:r>
      <w:r w:rsidR="009779F3" w:rsidRPr="00D64976">
        <w:t xml:space="preserve"> and the injection is intended as a bridge to therapy.</w:t>
      </w:r>
    </w:p>
    <w:p w14:paraId="52690818" w14:textId="77777777" w:rsidR="009779F3" w:rsidRPr="00D64976" w:rsidRDefault="009779F3" w:rsidP="003A2F2B">
      <w:pPr>
        <w:pStyle w:val="ListParagraph"/>
        <w:ind w:left="1080"/>
      </w:pPr>
    </w:p>
    <w:p w14:paraId="1F925A34" w14:textId="118DFDB7" w:rsidR="00AB417A" w:rsidRPr="00545E11" w:rsidRDefault="00AB417A" w:rsidP="003A2F2B">
      <w:pPr>
        <w:pStyle w:val="ListParagraph"/>
        <w:numPr>
          <w:ilvl w:val="0"/>
          <w:numId w:val="30"/>
        </w:numPr>
        <w:ind w:left="720"/>
      </w:pPr>
      <w:r w:rsidRPr="00D64976">
        <w:rPr>
          <w:i/>
        </w:rPr>
        <w:t>One TFESI</w:t>
      </w:r>
      <w:r w:rsidR="002E408E" w:rsidRPr="00D64976">
        <w:rPr>
          <w:i/>
        </w:rPr>
        <w:t xml:space="preserve"> for chronic pain</w:t>
      </w:r>
      <w:r w:rsidRPr="00D64976">
        <w:t xml:space="preserve"> is considered </w:t>
      </w:r>
      <w:r w:rsidRPr="00D64976">
        <w:rPr>
          <w:b/>
        </w:rPr>
        <w:t>medically necessary</w:t>
      </w:r>
      <w:r w:rsidRPr="00D64976">
        <w:t xml:space="preserve"> when </w:t>
      </w:r>
      <w:proofErr w:type="gramStart"/>
      <w:r w:rsidRPr="00D64976">
        <w:t>all of</w:t>
      </w:r>
      <w:proofErr w:type="gramEnd"/>
      <w:r w:rsidRPr="00D64976">
        <w:t xml:space="preserve"> the following </w:t>
      </w:r>
      <w:r w:rsidRPr="00545E11">
        <w:t>are met:</w:t>
      </w:r>
    </w:p>
    <w:p w14:paraId="7050BCA1" w14:textId="311A8D3A" w:rsidR="00F32D33" w:rsidRPr="00545E11" w:rsidRDefault="00F32D33" w:rsidP="003A2F2B">
      <w:pPr>
        <w:pStyle w:val="ListParagraph"/>
        <w:numPr>
          <w:ilvl w:val="0"/>
          <w:numId w:val="31"/>
        </w:numPr>
        <w:ind w:left="1080"/>
      </w:pPr>
      <w:r w:rsidRPr="00545E11">
        <w:t xml:space="preserve">TFESI is requested for a single level bilaterally or </w:t>
      </w:r>
      <w:r w:rsidR="005B16F7" w:rsidRPr="00545E11">
        <w:t xml:space="preserve">up to </w:t>
      </w:r>
      <w:r w:rsidRPr="00545E11">
        <w:t>two levels unilaterally</w:t>
      </w:r>
      <w:r w:rsidR="00406E53" w:rsidRPr="00545E11">
        <w:t>;</w:t>
      </w:r>
    </w:p>
    <w:p w14:paraId="5F532B8B" w14:textId="780AB1F1" w:rsidR="000E69E5" w:rsidRPr="00545E11" w:rsidRDefault="000E69E5" w:rsidP="003A2F2B">
      <w:pPr>
        <w:pStyle w:val="ListParagraph"/>
        <w:numPr>
          <w:ilvl w:val="0"/>
          <w:numId w:val="31"/>
        </w:numPr>
        <w:ind w:left="1080"/>
      </w:pPr>
      <w:r w:rsidRPr="00545E11">
        <w:t>If a cervical TFESI is requested, non-particulate steroid must be used</w:t>
      </w:r>
      <w:r w:rsidR="00EF478B" w:rsidRPr="00545E11">
        <w:t xml:space="preserve"> (see Table 1),</w:t>
      </w:r>
      <w:r w:rsidRPr="00545E11">
        <w:t xml:space="preserve"> and the procedure must be conducted with real-time imaging, such as fluoroscopy;</w:t>
      </w:r>
    </w:p>
    <w:p w14:paraId="6646B78B" w14:textId="03B96A98" w:rsidR="00406E53" w:rsidRPr="00545E11" w:rsidRDefault="00406E53" w:rsidP="003A2F2B">
      <w:pPr>
        <w:pStyle w:val="ListParagraph"/>
        <w:numPr>
          <w:ilvl w:val="0"/>
          <w:numId w:val="31"/>
        </w:numPr>
        <w:ind w:left="1080"/>
      </w:pPr>
      <w:r w:rsidRPr="00545E11">
        <w:t>There is p</w:t>
      </w:r>
      <w:r w:rsidR="00AB417A" w:rsidRPr="00545E11">
        <w:t xml:space="preserve">ersistent radicular pain caused by disc herniation </w:t>
      </w:r>
      <w:proofErr w:type="gramStart"/>
      <w:r w:rsidR="00AB417A" w:rsidRPr="00545E11">
        <w:t>in</w:t>
      </w:r>
      <w:proofErr w:type="gramEnd"/>
      <w:r w:rsidR="00AB417A" w:rsidRPr="00545E11">
        <w:t xml:space="preserve"> a defined nerve root level</w:t>
      </w:r>
      <w:r w:rsidR="00983A30" w:rsidRPr="00545E11">
        <w:t>,</w:t>
      </w:r>
      <w:r w:rsidR="00AB417A" w:rsidRPr="00545E11">
        <w:t xml:space="preserve"> or spinal stenosis confirmed by physical exam and imaging</w:t>
      </w:r>
      <w:r w:rsidRPr="00545E11">
        <w:t>;</w:t>
      </w:r>
    </w:p>
    <w:p w14:paraId="4C9B450C" w14:textId="63724FEA" w:rsidR="00AB417A" w:rsidRPr="00545E11" w:rsidRDefault="00406E53" w:rsidP="003A2F2B">
      <w:pPr>
        <w:pStyle w:val="ListParagraph"/>
        <w:numPr>
          <w:ilvl w:val="0"/>
          <w:numId w:val="31"/>
        </w:numPr>
        <w:ind w:left="1080"/>
      </w:pPr>
      <w:r w:rsidRPr="00545E11">
        <w:t xml:space="preserve">Pain </w:t>
      </w:r>
      <w:r w:rsidR="00AB417A" w:rsidRPr="00545E11">
        <w:t xml:space="preserve">interferes with ADLs </w:t>
      </w:r>
      <w:r w:rsidRPr="00545E11">
        <w:t xml:space="preserve">and </w:t>
      </w:r>
      <w:r w:rsidR="00AB417A" w:rsidRPr="00545E11">
        <w:t xml:space="preserve">has lasted for at least </w:t>
      </w:r>
      <w:r w:rsidR="003839AF" w:rsidRPr="00545E11">
        <w:t>three</w:t>
      </w:r>
      <w:r w:rsidR="00AB417A" w:rsidRPr="00545E11">
        <w:t xml:space="preserve"> months;</w:t>
      </w:r>
    </w:p>
    <w:p w14:paraId="7BB4B41F" w14:textId="12EE92DC" w:rsidR="00AB417A" w:rsidRPr="00545E11" w:rsidRDefault="00C032B7" w:rsidP="003A2F2B">
      <w:pPr>
        <w:pStyle w:val="ListParagraph"/>
        <w:numPr>
          <w:ilvl w:val="0"/>
          <w:numId w:val="31"/>
        </w:numPr>
        <w:ind w:left="1080"/>
      </w:pPr>
      <w:r w:rsidRPr="00545E11">
        <w:t>Failure</w:t>
      </w:r>
      <w:r w:rsidR="00AB417A" w:rsidRPr="00545E11">
        <w:t xml:space="preserve"> to respond to conservative therapy including </w:t>
      </w:r>
      <w:proofErr w:type="gramStart"/>
      <w:r w:rsidR="00AB417A" w:rsidRPr="00545E11">
        <w:t>all of</w:t>
      </w:r>
      <w:proofErr w:type="gramEnd"/>
      <w:r w:rsidR="00AB417A" w:rsidRPr="00545E11">
        <w:t xml:space="preserve"> the following:  </w:t>
      </w:r>
    </w:p>
    <w:p w14:paraId="5E6F1680" w14:textId="56204B18" w:rsidR="00AB417A" w:rsidRPr="00545E11" w:rsidRDefault="00AB417A" w:rsidP="003A2F2B">
      <w:pPr>
        <w:pStyle w:val="ListParagraph"/>
        <w:numPr>
          <w:ilvl w:val="0"/>
          <w:numId w:val="32"/>
        </w:numPr>
        <w:ind w:left="1440"/>
      </w:pPr>
      <w:r w:rsidRPr="00545E11">
        <w:t xml:space="preserve">≥ </w:t>
      </w:r>
      <w:r w:rsidR="006C0289" w:rsidRPr="00545E11">
        <w:t>four</w:t>
      </w:r>
      <w:r w:rsidRPr="00545E11">
        <w:t xml:space="preserve"> weeks chiropractic, physical therapy or prescribed home exercise program;</w:t>
      </w:r>
    </w:p>
    <w:p w14:paraId="66BF1579" w14:textId="1CE6F553" w:rsidR="00AB417A" w:rsidRPr="00545E11" w:rsidRDefault="00AB417A" w:rsidP="003A2F2B">
      <w:pPr>
        <w:pStyle w:val="ListParagraph"/>
        <w:numPr>
          <w:ilvl w:val="0"/>
          <w:numId w:val="32"/>
        </w:numPr>
        <w:ind w:left="1440"/>
      </w:pPr>
      <w:r w:rsidRPr="00545E11">
        <w:t xml:space="preserve">NSAID ≥ </w:t>
      </w:r>
      <w:r w:rsidR="00117E44" w:rsidRPr="00545E11">
        <w:t>three</w:t>
      </w:r>
      <w:r w:rsidRPr="00545E11">
        <w:t xml:space="preserve"> weeks or NSAID contraindicated or not tolerated; </w:t>
      </w:r>
    </w:p>
    <w:p w14:paraId="4BA7AF27" w14:textId="4E5F79FF" w:rsidR="00AB417A" w:rsidRPr="00545E11" w:rsidRDefault="00AB417A" w:rsidP="003A2F2B">
      <w:pPr>
        <w:pStyle w:val="ListParagraph"/>
        <w:numPr>
          <w:ilvl w:val="0"/>
          <w:numId w:val="32"/>
        </w:numPr>
        <w:ind w:left="1440"/>
      </w:pPr>
      <w:r w:rsidRPr="00545E11">
        <w:t xml:space="preserve">≥ </w:t>
      </w:r>
      <w:r w:rsidR="00315D1F" w:rsidRPr="00545E11">
        <w:t xml:space="preserve">four </w:t>
      </w:r>
      <w:r w:rsidRPr="00545E11">
        <w:t>weeks activity modification</w:t>
      </w:r>
      <w:r w:rsidR="004304AB" w:rsidRPr="00545E11">
        <w:t>.</w:t>
      </w:r>
    </w:p>
    <w:p w14:paraId="371F6D6A" w14:textId="77777777" w:rsidR="00AB417A" w:rsidRPr="00545E11" w:rsidRDefault="00AB417A" w:rsidP="003A2F2B"/>
    <w:p w14:paraId="120C5AE8" w14:textId="287AA2E3" w:rsidR="008804E8" w:rsidRPr="00545E11" w:rsidRDefault="00AB417A" w:rsidP="003A2F2B">
      <w:pPr>
        <w:pStyle w:val="ListParagraph"/>
        <w:numPr>
          <w:ilvl w:val="0"/>
          <w:numId w:val="30"/>
        </w:numPr>
        <w:tabs>
          <w:tab w:val="left" w:pos="720"/>
          <w:tab w:val="left" w:pos="900"/>
        </w:tabs>
        <w:ind w:left="720"/>
      </w:pPr>
      <w:r w:rsidRPr="00545E11">
        <w:rPr>
          <w:i/>
        </w:rPr>
        <w:t>A second TFESI</w:t>
      </w:r>
      <w:r w:rsidR="002E408E" w:rsidRPr="00545E11">
        <w:rPr>
          <w:i/>
        </w:rPr>
        <w:t xml:space="preserve"> for chronic pain</w:t>
      </w:r>
      <w:r w:rsidRPr="00545E11">
        <w:t xml:space="preserve"> </w:t>
      </w:r>
      <w:r w:rsidR="001F6DBD" w:rsidRPr="00545E11">
        <w:t xml:space="preserve">that </w:t>
      </w:r>
      <w:r w:rsidR="001F6DBD" w:rsidRPr="00545E11">
        <w:rPr>
          <w:b/>
        </w:rPr>
        <w:t>did not</w:t>
      </w:r>
      <w:r w:rsidR="001F6DBD" w:rsidRPr="00545E11">
        <w:t xml:space="preserve"> improve from the initial injection </w:t>
      </w:r>
      <w:r w:rsidRPr="00545E11">
        <w:t xml:space="preserve">is considered </w:t>
      </w:r>
      <w:r w:rsidRPr="00545E11">
        <w:rPr>
          <w:b/>
        </w:rPr>
        <w:t>medically necessary</w:t>
      </w:r>
      <w:r w:rsidRPr="00545E11">
        <w:t xml:space="preserve"> </w:t>
      </w:r>
      <w:r w:rsidR="008804E8" w:rsidRPr="00545E11">
        <w:t xml:space="preserve">when meeting </w:t>
      </w:r>
      <w:proofErr w:type="gramStart"/>
      <w:r w:rsidR="008804E8" w:rsidRPr="00545E11">
        <w:t>all of</w:t>
      </w:r>
      <w:proofErr w:type="gramEnd"/>
      <w:r w:rsidR="008804E8" w:rsidRPr="00545E11">
        <w:t xml:space="preserve"> the following:</w:t>
      </w:r>
    </w:p>
    <w:p w14:paraId="77847B19" w14:textId="6D2E0BB6" w:rsidR="008804E8" w:rsidRPr="00545E11" w:rsidRDefault="008804E8" w:rsidP="003A2F2B">
      <w:pPr>
        <w:pStyle w:val="ListParagraph"/>
        <w:numPr>
          <w:ilvl w:val="0"/>
          <w:numId w:val="35"/>
        </w:numPr>
        <w:tabs>
          <w:tab w:val="left" w:pos="720"/>
        </w:tabs>
        <w:ind w:left="1080"/>
      </w:pPr>
      <w:proofErr w:type="gramStart"/>
      <w:r w:rsidRPr="00545E11">
        <w:t>Request</w:t>
      </w:r>
      <w:proofErr w:type="gramEnd"/>
      <w:r w:rsidRPr="00545E11">
        <w:t xml:space="preserve"> is for a TFESI at </w:t>
      </w:r>
      <w:r w:rsidR="001F6DBD" w:rsidRPr="00545E11">
        <w:t>one</w:t>
      </w:r>
      <w:r w:rsidR="00AB417A" w:rsidRPr="00545E11">
        <w:t xml:space="preserve"> level bilaterally or </w:t>
      </w:r>
      <w:r w:rsidR="00F10B8C" w:rsidRPr="00545E11">
        <w:t xml:space="preserve">up to </w:t>
      </w:r>
      <w:r w:rsidR="00AB417A" w:rsidRPr="00545E11">
        <w:t>two levels unilaterally</w:t>
      </w:r>
      <w:r w:rsidRPr="00545E11">
        <w:t>;</w:t>
      </w:r>
    </w:p>
    <w:p w14:paraId="546AF621" w14:textId="128A7175" w:rsidR="000E69E5" w:rsidRPr="00545E11" w:rsidRDefault="000E69E5" w:rsidP="003A2F2B">
      <w:pPr>
        <w:pStyle w:val="ListParagraph"/>
        <w:numPr>
          <w:ilvl w:val="0"/>
          <w:numId w:val="35"/>
        </w:numPr>
        <w:ind w:left="1080"/>
      </w:pPr>
      <w:r w:rsidRPr="00545E11">
        <w:t>If a cervical TFESI is requested, non-particulate steroid must be used</w:t>
      </w:r>
      <w:r w:rsidR="00EF478B" w:rsidRPr="00545E11">
        <w:t xml:space="preserve"> (see Table 1),</w:t>
      </w:r>
      <w:r w:rsidRPr="00545E11">
        <w:t xml:space="preserve"> and the procedure must be conducted with real-time imaging, such as fluoroscopy;</w:t>
      </w:r>
    </w:p>
    <w:p w14:paraId="0F41BF29" w14:textId="77777777" w:rsidR="000E69E5" w:rsidRPr="00545E11" w:rsidRDefault="008804E8" w:rsidP="003A2F2B">
      <w:pPr>
        <w:pStyle w:val="ListParagraph"/>
        <w:numPr>
          <w:ilvl w:val="0"/>
          <w:numId w:val="35"/>
        </w:numPr>
        <w:tabs>
          <w:tab w:val="left" w:pos="720"/>
        </w:tabs>
        <w:ind w:left="1080"/>
      </w:pPr>
      <w:r w:rsidRPr="00545E11">
        <w:t xml:space="preserve">At least two weeks have passed since the </w:t>
      </w:r>
      <w:r w:rsidR="001F6DBD" w:rsidRPr="00545E11">
        <w:t>first</w:t>
      </w:r>
      <w:r w:rsidRPr="00545E11">
        <w:t xml:space="preserve"> TFESI</w:t>
      </w:r>
      <w:r w:rsidR="000E69E5" w:rsidRPr="00545E11">
        <w:t>;</w:t>
      </w:r>
    </w:p>
    <w:p w14:paraId="37246F49" w14:textId="03C7B250" w:rsidR="008804E8" w:rsidRPr="00D64976" w:rsidRDefault="008804E8" w:rsidP="003A2F2B">
      <w:pPr>
        <w:pStyle w:val="ListParagraph"/>
        <w:tabs>
          <w:tab w:val="left" w:pos="720"/>
        </w:tabs>
        <w:ind w:left="1080"/>
      </w:pPr>
    </w:p>
    <w:p w14:paraId="44AB5510" w14:textId="2D646297" w:rsidR="002E408E" w:rsidRPr="00724F5E" w:rsidRDefault="002E408E" w:rsidP="003A2F2B">
      <w:pPr>
        <w:pStyle w:val="ListParagraph"/>
        <w:numPr>
          <w:ilvl w:val="0"/>
          <w:numId w:val="30"/>
        </w:numPr>
        <w:tabs>
          <w:tab w:val="left" w:pos="720"/>
        </w:tabs>
        <w:ind w:left="720"/>
      </w:pPr>
      <w:r w:rsidRPr="00D64976">
        <w:rPr>
          <w:i/>
        </w:rPr>
        <w:t xml:space="preserve">Subsequent </w:t>
      </w:r>
      <w:r w:rsidRPr="00724F5E">
        <w:rPr>
          <w:i/>
        </w:rPr>
        <w:t>TFESIs for</w:t>
      </w:r>
      <w:r w:rsidR="003D0ED7" w:rsidRPr="00724F5E">
        <w:rPr>
          <w:i/>
        </w:rPr>
        <w:t xml:space="preserve"> re</w:t>
      </w:r>
      <w:r w:rsidR="00040F88" w:rsidRPr="00724F5E">
        <w:rPr>
          <w:i/>
        </w:rPr>
        <w:t>currence of</w:t>
      </w:r>
      <w:r w:rsidRPr="00724F5E">
        <w:rPr>
          <w:i/>
        </w:rPr>
        <w:t xml:space="preserve"> chronic pain</w:t>
      </w:r>
      <w:r w:rsidRPr="00724F5E">
        <w:t xml:space="preserve"> </w:t>
      </w:r>
      <w:r w:rsidR="000501B3" w:rsidRPr="00724F5E">
        <w:t>that</w:t>
      </w:r>
      <w:r w:rsidR="00040F88" w:rsidRPr="00724F5E">
        <w:t xml:space="preserve"> </w:t>
      </w:r>
      <w:r w:rsidR="00040F88" w:rsidRPr="00724F5E">
        <w:rPr>
          <w:b/>
        </w:rPr>
        <w:t>had</w:t>
      </w:r>
      <w:r w:rsidR="000501B3" w:rsidRPr="00724F5E">
        <w:rPr>
          <w:b/>
        </w:rPr>
        <w:t xml:space="preserve"> </w:t>
      </w:r>
      <w:r w:rsidR="000501B3" w:rsidRPr="00724F5E">
        <w:rPr>
          <w:b/>
          <w:bCs/>
        </w:rPr>
        <w:t>i</w:t>
      </w:r>
      <w:r w:rsidR="000501B3" w:rsidRPr="00724F5E">
        <w:rPr>
          <w:b/>
        </w:rPr>
        <w:t>mproved</w:t>
      </w:r>
      <w:r w:rsidR="000501B3" w:rsidRPr="00724F5E">
        <w:t xml:space="preserve"> from </w:t>
      </w:r>
      <w:r w:rsidR="004E09CC" w:rsidRPr="00724F5E">
        <w:t xml:space="preserve">the first or second TFESI </w:t>
      </w:r>
      <w:r w:rsidRPr="00724F5E">
        <w:t xml:space="preserve">are considered </w:t>
      </w:r>
      <w:r w:rsidRPr="00724F5E">
        <w:rPr>
          <w:b/>
        </w:rPr>
        <w:t xml:space="preserve">medically necessary </w:t>
      </w:r>
      <w:r w:rsidR="00040F88" w:rsidRPr="00724F5E">
        <w:t>with</w:t>
      </w:r>
      <w:r w:rsidR="003134A9" w:rsidRPr="00724F5E">
        <w:t xml:space="preserve"> </w:t>
      </w:r>
      <w:proofErr w:type="gramStart"/>
      <w:r w:rsidR="003134A9" w:rsidRPr="00724F5E">
        <w:t>all of</w:t>
      </w:r>
      <w:proofErr w:type="gramEnd"/>
      <w:r w:rsidR="003134A9" w:rsidRPr="00724F5E">
        <w:t xml:space="preserve"> the following:</w:t>
      </w:r>
      <w:r w:rsidR="00AB417A" w:rsidRPr="00724F5E">
        <w:t xml:space="preserve"> </w:t>
      </w:r>
    </w:p>
    <w:p w14:paraId="40A17B3E" w14:textId="018A3379" w:rsidR="00AB417A" w:rsidRPr="00724F5E" w:rsidRDefault="007C3715" w:rsidP="003A2F2B">
      <w:pPr>
        <w:pStyle w:val="ListParagraph"/>
        <w:numPr>
          <w:ilvl w:val="0"/>
          <w:numId w:val="27"/>
        </w:numPr>
        <w:tabs>
          <w:tab w:val="left" w:pos="720"/>
        </w:tabs>
        <w:ind w:left="1080"/>
      </w:pPr>
      <w:r w:rsidRPr="00724F5E">
        <w:t xml:space="preserve">The </w:t>
      </w:r>
      <w:r w:rsidR="00AB417A" w:rsidRPr="00724F5E">
        <w:t xml:space="preserve">TFESI </w:t>
      </w:r>
      <w:r w:rsidRPr="00724F5E">
        <w:t>is</w:t>
      </w:r>
      <w:r w:rsidR="002E408E" w:rsidRPr="00724F5E">
        <w:t xml:space="preserve"> </w:t>
      </w:r>
      <w:r w:rsidR="008804E8" w:rsidRPr="00724F5E">
        <w:t xml:space="preserve">requested </w:t>
      </w:r>
      <w:r w:rsidR="00AB417A" w:rsidRPr="00724F5E">
        <w:t xml:space="preserve">at a single level bilaterally or </w:t>
      </w:r>
      <w:r w:rsidR="002D1D00" w:rsidRPr="00724F5E">
        <w:t xml:space="preserve">up to </w:t>
      </w:r>
      <w:r w:rsidR="00AB417A" w:rsidRPr="00724F5E">
        <w:t>two levels unilaterally</w:t>
      </w:r>
      <w:r w:rsidR="002E408E" w:rsidRPr="00724F5E">
        <w:t>;</w:t>
      </w:r>
    </w:p>
    <w:p w14:paraId="56B2BAB3" w14:textId="064EA881" w:rsidR="000E69E5" w:rsidRPr="00724F5E" w:rsidRDefault="000E69E5" w:rsidP="003A2F2B">
      <w:pPr>
        <w:pStyle w:val="ListParagraph"/>
        <w:numPr>
          <w:ilvl w:val="0"/>
          <w:numId w:val="27"/>
        </w:numPr>
        <w:ind w:left="1080"/>
      </w:pPr>
      <w:r w:rsidRPr="00724F5E">
        <w:lastRenderedPageBreak/>
        <w:t>If a cervical TFESI is requested, non-particulate steroid must be used</w:t>
      </w:r>
      <w:r w:rsidR="00EF478B" w:rsidRPr="00724F5E">
        <w:t xml:space="preserve"> (see Table 1),</w:t>
      </w:r>
      <w:r w:rsidRPr="00724F5E">
        <w:t xml:space="preserve"> and the procedure must be conducted with real-time imaging, such as fluoroscopy;</w:t>
      </w:r>
    </w:p>
    <w:p w14:paraId="0E01CA60" w14:textId="53939776" w:rsidR="00AB417A" w:rsidRPr="00D64976" w:rsidRDefault="00AB417A" w:rsidP="003A2F2B">
      <w:pPr>
        <w:pStyle w:val="ListParagraph"/>
        <w:numPr>
          <w:ilvl w:val="0"/>
          <w:numId w:val="27"/>
        </w:numPr>
        <w:tabs>
          <w:tab w:val="left" w:pos="720"/>
        </w:tabs>
        <w:ind w:left="1080"/>
      </w:pPr>
      <w:r w:rsidRPr="00D64976">
        <w:t xml:space="preserve">There </w:t>
      </w:r>
      <w:r w:rsidR="007C3715" w:rsidRPr="00D64976">
        <w:t>wa</w:t>
      </w:r>
      <w:r w:rsidRPr="00D64976">
        <w:t xml:space="preserve">s ≥ 50% relief </w:t>
      </w:r>
      <w:r w:rsidR="005C2616" w:rsidRPr="00D64976">
        <w:t>and</w:t>
      </w:r>
      <w:r w:rsidR="007C3715" w:rsidRPr="00D64976">
        <w:t xml:space="preserve"> functional improvement </w:t>
      </w:r>
      <w:r w:rsidRPr="00D64976">
        <w:t xml:space="preserve">for at </w:t>
      </w:r>
      <w:r w:rsidRPr="004E0A21">
        <w:t xml:space="preserve">least </w:t>
      </w:r>
      <w:r w:rsidR="00724F5E" w:rsidRPr="004E0A21">
        <w:t>three</w:t>
      </w:r>
      <w:r w:rsidRPr="004E0A21">
        <w:t xml:space="preserve"> month</w:t>
      </w:r>
      <w:r w:rsidR="007C3715" w:rsidRPr="004E0A21">
        <w:t>s</w:t>
      </w:r>
      <w:r w:rsidR="00C0540B">
        <w:t xml:space="preserve"> since the </w:t>
      </w:r>
      <w:r w:rsidR="007075DD">
        <w:t xml:space="preserve">last </w:t>
      </w:r>
      <w:r w:rsidR="00C0540B">
        <w:t>injection</w:t>
      </w:r>
      <w:r w:rsidRPr="00D64976">
        <w:t>;</w:t>
      </w:r>
    </w:p>
    <w:p w14:paraId="00B08705" w14:textId="1BAD3407" w:rsidR="00AB417A" w:rsidRDefault="003134A9" w:rsidP="003A2F2B">
      <w:pPr>
        <w:pStyle w:val="ListParagraph"/>
        <w:numPr>
          <w:ilvl w:val="0"/>
          <w:numId w:val="27"/>
        </w:numPr>
        <w:tabs>
          <w:tab w:val="left" w:pos="720"/>
        </w:tabs>
        <w:ind w:left="1080"/>
      </w:pPr>
      <w:r>
        <w:t xml:space="preserve">Less than </w:t>
      </w:r>
      <w:r w:rsidR="00117E44">
        <w:t>four</w:t>
      </w:r>
      <w:r>
        <w:t xml:space="preserve"> injections have been</w:t>
      </w:r>
      <w:r w:rsidR="00AB417A">
        <w:t xml:space="preserve"> given at the same site within 12 months</w:t>
      </w:r>
      <w:r w:rsidR="002E408E">
        <w:t>;</w:t>
      </w:r>
    </w:p>
    <w:p w14:paraId="165D45C7" w14:textId="41BB35AC" w:rsidR="005C2616" w:rsidRDefault="005C2616" w:rsidP="003A2F2B">
      <w:pPr>
        <w:pStyle w:val="ListParagraph"/>
        <w:numPr>
          <w:ilvl w:val="0"/>
          <w:numId w:val="27"/>
        </w:numPr>
        <w:tabs>
          <w:tab w:val="left" w:pos="720"/>
        </w:tabs>
        <w:ind w:left="1080"/>
      </w:pPr>
      <w:r>
        <w:t>Less than 12 months have elapsed since the initial injection at the level requested</w:t>
      </w:r>
      <w:r w:rsidR="00C0540B">
        <w:t>;</w:t>
      </w:r>
    </w:p>
    <w:p w14:paraId="063DB12A" w14:textId="77777777" w:rsidR="00C0540B" w:rsidRDefault="00C0540B" w:rsidP="00C0540B">
      <w:pPr>
        <w:pStyle w:val="ListParagraph"/>
        <w:tabs>
          <w:tab w:val="left" w:pos="720"/>
        </w:tabs>
        <w:ind w:left="1080"/>
      </w:pPr>
    </w:p>
    <w:p w14:paraId="1A5094F7" w14:textId="78C35979" w:rsidR="00AB417A" w:rsidRDefault="00AB417A" w:rsidP="003A2F2B">
      <w:pPr>
        <w:pStyle w:val="ListParagraph"/>
        <w:numPr>
          <w:ilvl w:val="0"/>
          <w:numId w:val="30"/>
        </w:numPr>
        <w:tabs>
          <w:tab w:val="left" w:pos="720"/>
        </w:tabs>
        <w:ind w:left="720"/>
      </w:pPr>
      <w:r w:rsidRPr="0067019C">
        <w:rPr>
          <w:i/>
        </w:rPr>
        <w:t>Continuation of injections beyond 12 months or more than 4 therapeutic injections</w:t>
      </w:r>
      <w:r>
        <w:t xml:space="preserve"> is considered </w:t>
      </w:r>
      <w:r>
        <w:rPr>
          <w:b/>
        </w:rPr>
        <w:t>not medically necessary</w:t>
      </w:r>
      <w:r>
        <w:t xml:space="preserve"> because effectiveness and safety has not been established. When more definitive therapies cannot be tolerated or provided, consideration will be made on a </w:t>
      </w:r>
      <w:r w:rsidR="001F547C">
        <w:t>case-by-case</w:t>
      </w:r>
      <w:r>
        <w:t xml:space="preserve"> basis.</w:t>
      </w:r>
    </w:p>
    <w:p w14:paraId="442E1626" w14:textId="77777777" w:rsidR="00C96847" w:rsidRDefault="00C96847" w:rsidP="003A2F2B"/>
    <w:p w14:paraId="37148BD1" w14:textId="1F10645B" w:rsidR="003F3D44" w:rsidRDefault="003134A9" w:rsidP="003A2F2B">
      <w:pPr>
        <w:pStyle w:val="ListParagraph"/>
        <w:numPr>
          <w:ilvl w:val="0"/>
          <w:numId w:val="30"/>
        </w:numPr>
        <w:ind w:left="720"/>
      </w:pPr>
      <w:r w:rsidRPr="00791B01">
        <w:rPr>
          <w:i/>
        </w:rPr>
        <w:t>TFESI</w:t>
      </w:r>
      <w:r w:rsidR="007C3715">
        <w:rPr>
          <w:i/>
        </w:rPr>
        <w:t>s</w:t>
      </w:r>
      <w:r w:rsidRPr="00791B01">
        <w:rPr>
          <w:i/>
        </w:rPr>
        <w:t xml:space="preserve"> </w:t>
      </w:r>
      <w:r w:rsidRPr="0067019C">
        <w:t>for any other indication</w:t>
      </w:r>
      <w:r w:rsidRPr="00791B01">
        <w:t xml:space="preserve"> </w:t>
      </w:r>
      <w:r w:rsidR="007C3715">
        <w:t>are</w:t>
      </w:r>
      <w:r w:rsidRPr="00791B01">
        <w:t xml:space="preserve"> considered </w:t>
      </w:r>
      <w:r w:rsidRPr="004C22FC">
        <w:rPr>
          <w:b/>
        </w:rPr>
        <w:t>not medically necessary</w:t>
      </w:r>
      <w:r w:rsidRPr="00791B01">
        <w:t xml:space="preserve"> because effectiveness has not been established</w:t>
      </w:r>
      <w:r w:rsidRPr="00791B01">
        <w:rPr>
          <w:i/>
        </w:rPr>
        <w:t>.</w:t>
      </w:r>
    </w:p>
    <w:p w14:paraId="27A86F41" w14:textId="093318AF" w:rsidR="00FB139B" w:rsidRDefault="00FB139B" w:rsidP="003840CC">
      <w:pPr>
        <w:rPr>
          <w:bCs/>
          <w:color w:val="000000"/>
        </w:rPr>
      </w:pPr>
    </w:p>
    <w:tbl>
      <w:tblPr>
        <w:tblStyle w:val="TableGrid"/>
        <w:tblW w:w="0" w:type="auto"/>
        <w:tblLook w:val="04A0" w:firstRow="1" w:lastRow="0" w:firstColumn="1" w:lastColumn="0" w:noHBand="0" w:noVBand="1"/>
      </w:tblPr>
      <w:tblGrid>
        <w:gridCol w:w="2336"/>
        <w:gridCol w:w="2338"/>
        <w:gridCol w:w="2338"/>
        <w:gridCol w:w="2338"/>
      </w:tblGrid>
      <w:tr w:rsidR="00014BA1" w:rsidRPr="003D789A" w14:paraId="3144F14A" w14:textId="77777777" w:rsidTr="00A03ACB">
        <w:trPr>
          <w:trHeight w:val="431"/>
          <w:tblHeader/>
        </w:trPr>
        <w:tc>
          <w:tcPr>
            <w:tcW w:w="9350" w:type="dxa"/>
            <w:gridSpan w:val="4"/>
            <w:shd w:val="clear" w:color="auto" w:fill="00548C"/>
          </w:tcPr>
          <w:p w14:paraId="1C3B7D5C" w14:textId="5F41C0BB" w:rsidR="00014BA1" w:rsidRPr="003C4002" w:rsidRDefault="00014BA1" w:rsidP="00A03ACB">
            <w:pPr>
              <w:rPr>
                <w:b/>
                <w:bCs/>
                <w:color w:val="FFFFFF" w:themeColor="background1"/>
                <w:shd w:val="clear" w:color="auto" w:fill="FFFFFF"/>
                <w:vertAlign w:val="superscript"/>
              </w:rPr>
            </w:pPr>
            <w:r>
              <w:rPr>
                <w:b/>
                <w:color w:val="FFFFFF"/>
              </w:rPr>
              <w:t>Table 1: Particulate and Non-Particulate Steroids</w:t>
            </w:r>
            <w:r w:rsidR="005F1540">
              <w:rPr>
                <w:b/>
                <w:color w:val="FFFFFF"/>
                <w:vertAlign w:val="superscript"/>
              </w:rPr>
              <w:t>26</w:t>
            </w:r>
          </w:p>
        </w:tc>
      </w:tr>
      <w:tr w:rsidR="00014BA1" w14:paraId="5A0307E9" w14:textId="77777777" w:rsidTr="00A03ACB">
        <w:tc>
          <w:tcPr>
            <w:tcW w:w="4675" w:type="dxa"/>
            <w:gridSpan w:val="2"/>
          </w:tcPr>
          <w:p w14:paraId="3CE96692" w14:textId="77777777" w:rsidR="00014BA1" w:rsidRDefault="00014BA1" w:rsidP="00A03ACB">
            <w:pPr>
              <w:jc w:val="center"/>
              <w:rPr>
                <w:b/>
                <w:bCs/>
              </w:rPr>
            </w:pPr>
            <w:r>
              <w:rPr>
                <w:b/>
                <w:bCs/>
              </w:rPr>
              <w:t>Particulate</w:t>
            </w:r>
          </w:p>
        </w:tc>
        <w:tc>
          <w:tcPr>
            <w:tcW w:w="4675" w:type="dxa"/>
            <w:gridSpan w:val="2"/>
          </w:tcPr>
          <w:p w14:paraId="6110BBD7" w14:textId="77777777" w:rsidR="00014BA1" w:rsidRDefault="00014BA1" w:rsidP="00A03ACB">
            <w:pPr>
              <w:jc w:val="center"/>
              <w:rPr>
                <w:b/>
                <w:bCs/>
              </w:rPr>
            </w:pPr>
            <w:r>
              <w:rPr>
                <w:b/>
                <w:bCs/>
              </w:rPr>
              <w:t>Non-Particulate</w:t>
            </w:r>
          </w:p>
        </w:tc>
      </w:tr>
      <w:tr w:rsidR="00014BA1" w14:paraId="4A77DB58" w14:textId="77777777" w:rsidTr="00A03ACB">
        <w:trPr>
          <w:trHeight w:val="755"/>
        </w:trPr>
        <w:tc>
          <w:tcPr>
            <w:tcW w:w="2337" w:type="dxa"/>
          </w:tcPr>
          <w:p w14:paraId="4153698F" w14:textId="77777777" w:rsidR="00014BA1" w:rsidRPr="007238C1" w:rsidRDefault="00014BA1" w:rsidP="00A03ACB">
            <w:pPr>
              <w:jc w:val="center"/>
            </w:pPr>
            <w:r w:rsidRPr="007238C1">
              <w:t>Generic</w:t>
            </w:r>
          </w:p>
        </w:tc>
        <w:tc>
          <w:tcPr>
            <w:tcW w:w="2337" w:type="dxa"/>
          </w:tcPr>
          <w:p w14:paraId="38056CB7" w14:textId="77777777" w:rsidR="00014BA1" w:rsidRPr="007238C1" w:rsidRDefault="00014BA1" w:rsidP="00A03ACB">
            <w:pPr>
              <w:jc w:val="center"/>
            </w:pPr>
            <w:r w:rsidRPr="007238C1">
              <w:t>Brand</w:t>
            </w:r>
          </w:p>
        </w:tc>
        <w:tc>
          <w:tcPr>
            <w:tcW w:w="2338" w:type="dxa"/>
          </w:tcPr>
          <w:p w14:paraId="4328732F" w14:textId="77777777" w:rsidR="00014BA1" w:rsidRPr="007238C1" w:rsidRDefault="00014BA1" w:rsidP="00A03ACB">
            <w:pPr>
              <w:jc w:val="center"/>
            </w:pPr>
            <w:r w:rsidRPr="007238C1">
              <w:t>Generic</w:t>
            </w:r>
          </w:p>
        </w:tc>
        <w:tc>
          <w:tcPr>
            <w:tcW w:w="2338" w:type="dxa"/>
          </w:tcPr>
          <w:p w14:paraId="01D7AF97" w14:textId="77777777" w:rsidR="00014BA1" w:rsidRPr="007238C1" w:rsidRDefault="00014BA1" w:rsidP="00A03ACB">
            <w:pPr>
              <w:jc w:val="center"/>
            </w:pPr>
            <w:r w:rsidRPr="007238C1">
              <w:t>Brand</w:t>
            </w:r>
          </w:p>
        </w:tc>
      </w:tr>
      <w:tr w:rsidR="00014BA1" w14:paraId="619FE7EA" w14:textId="77777777" w:rsidTr="00A03ACB">
        <w:tc>
          <w:tcPr>
            <w:tcW w:w="2337" w:type="dxa"/>
          </w:tcPr>
          <w:p w14:paraId="73268E3E" w14:textId="77777777" w:rsidR="00014BA1" w:rsidRPr="007238C1" w:rsidRDefault="00014BA1" w:rsidP="00A03ACB">
            <w:r>
              <w:t>Betamethasone acetate</w:t>
            </w:r>
          </w:p>
        </w:tc>
        <w:tc>
          <w:tcPr>
            <w:tcW w:w="2337" w:type="dxa"/>
          </w:tcPr>
          <w:p w14:paraId="292BD81C" w14:textId="77777777" w:rsidR="00014BA1" w:rsidRPr="007238C1" w:rsidRDefault="00014BA1" w:rsidP="00A03ACB">
            <w:proofErr w:type="spellStart"/>
            <w:r>
              <w:t>Celestone</w:t>
            </w:r>
            <w:proofErr w:type="spellEnd"/>
            <w:r>
              <w:t xml:space="preserve"> </w:t>
            </w:r>
            <w:proofErr w:type="spellStart"/>
            <w:r>
              <w:t>Soluspan</w:t>
            </w:r>
            <w:proofErr w:type="spellEnd"/>
            <w:r>
              <w:t xml:space="preserve">, </w:t>
            </w:r>
            <w:proofErr w:type="spellStart"/>
            <w:r>
              <w:t>Betaject</w:t>
            </w:r>
            <w:proofErr w:type="spellEnd"/>
          </w:p>
        </w:tc>
        <w:tc>
          <w:tcPr>
            <w:tcW w:w="2338" w:type="dxa"/>
          </w:tcPr>
          <w:p w14:paraId="120E801E" w14:textId="77777777" w:rsidR="00014BA1" w:rsidRPr="007238C1" w:rsidRDefault="00014BA1" w:rsidP="00A03ACB">
            <w:proofErr w:type="spellStart"/>
            <w:r>
              <w:t>Dexmethasone</w:t>
            </w:r>
            <w:proofErr w:type="spellEnd"/>
          </w:p>
        </w:tc>
        <w:tc>
          <w:tcPr>
            <w:tcW w:w="2338" w:type="dxa"/>
          </w:tcPr>
          <w:p w14:paraId="5155BF7C" w14:textId="77777777" w:rsidR="00014BA1" w:rsidRPr="007238C1" w:rsidRDefault="00014BA1" w:rsidP="00A03ACB">
            <w:r>
              <w:t xml:space="preserve">Decadron, </w:t>
            </w:r>
            <w:proofErr w:type="spellStart"/>
            <w:r>
              <w:t>Adrenocot</w:t>
            </w:r>
            <w:proofErr w:type="spellEnd"/>
            <w:r>
              <w:t xml:space="preserve">, </w:t>
            </w:r>
            <w:proofErr w:type="spellStart"/>
            <w:r>
              <w:t>Decajec</w:t>
            </w:r>
            <w:proofErr w:type="spellEnd"/>
          </w:p>
        </w:tc>
      </w:tr>
      <w:tr w:rsidR="00014BA1" w14:paraId="0D2ECEA7" w14:textId="77777777" w:rsidTr="00A03ACB">
        <w:tc>
          <w:tcPr>
            <w:tcW w:w="2337" w:type="dxa"/>
          </w:tcPr>
          <w:p w14:paraId="4E90DD1D" w14:textId="77777777" w:rsidR="00014BA1" w:rsidRPr="007238C1" w:rsidRDefault="00014BA1" w:rsidP="00A03ACB">
            <w:r>
              <w:t>Methylprednisolone acetate</w:t>
            </w:r>
          </w:p>
        </w:tc>
        <w:tc>
          <w:tcPr>
            <w:tcW w:w="2337" w:type="dxa"/>
          </w:tcPr>
          <w:p w14:paraId="267F8AF6" w14:textId="77777777" w:rsidR="00014BA1" w:rsidRPr="007238C1" w:rsidRDefault="00014BA1" w:rsidP="00A03ACB">
            <w:r>
              <w:t xml:space="preserve">Depo-Medrol, Solu-Medrol, </w:t>
            </w:r>
            <w:proofErr w:type="spellStart"/>
            <w:r>
              <w:t>Duralone</w:t>
            </w:r>
            <w:proofErr w:type="spellEnd"/>
            <w:r>
              <w:t xml:space="preserve">, </w:t>
            </w:r>
            <w:proofErr w:type="spellStart"/>
            <w:r>
              <w:t>Medralone</w:t>
            </w:r>
            <w:proofErr w:type="spellEnd"/>
          </w:p>
        </w:tc>
        <w:tc>
          <w:tcPr>
            <w:tcW w:w="2338" w:type="dxa"/>
          </w:tcPr>
          <w:p w14:paraId="0602C8A7" w14:textId="77777777" w:rsidR="00014BA1" w:rsidRPr="007238C1" w:rsidRDefault="00014BA1" w:rsidP="00A03ACB">
            <w:r>
              <w:t>Betamethasone sodium phosphate</w:t>
            </w:r>
          </w:p>
        </w:tc>
        <w:tc>
          <w:tcPr>
            <w:tcW w:w="2338" w:type="dxa"/>
          </w:tcPr>
          <w:p w14:paraId="33D85482" w14:textId="77777777" w:rsidR="00014BA1" w:rsidRPr="007238C1" w:rsidRDefault="00014BA1" w:rsidP="00A03ACB">
            <w:r>
              <w:t>N/A</w:t>
            </w:r>
          </w:p>
        </w:tc>
      </w:tr>
      <w:tr w:rsidR="00014BA1" w14:paraId="042B11C0" w14:textId="77777777" w:rsidTr="00A03ACB">
        <w:tc>
          <w:tcPr>
            <w:tcW w:w="2337" w:type="dxa"/>
          </w:tcPr>
          <w:p w14:paraId="57BAA4D3" w14:textId="77777777" w:rsidR="00014BA1" w:rsidRPr="007238C1" w:rsidRDefault="00014BA1" w:rsidP="00A03ACB">
            <w:r>
              <w:t>Triamcinolone acetonide</w:t>
            </w:r>
          </w:p>
        </w:tc>
        <w:tc>
          <w:tcPr>
            <w:tcW w:w="2337" w:type="dxa"/>
          </w:tcPr>
          <w:p w14:paraId="2E52096C" w14:textId="77777777" w:rsidR="00014BA1" w:rsidRPr="007238C1" w:rsidRDefault="00014BA1" w:rsidP="00A03ACB">
            <w:r>
              <w:t>Kenalog</w:t>
            </w:r>
          </w:p>
        </w:tc>
        <w:tc>
          <w:tcPr>
            <w:tcW w:w="2338" w:type="dxa"/>
          </w:tcPr>
          <w:p w14:paraId="1C4034C0" w14:textId="77777777" w:rsidR="00014BA1" w:rsidRPr="007238C1" w:rsidRDefault="00014BA1" w:rsidP="00A03ACB">
            <w:proofErr w:type="spellStart"/>
            <w:r>
              <w:t>Dexmethasone</w:t>
            </w:r>
            <w:proofErr w:type="spellEnd"/>
            <w:r>
              <w:t xml:space="preserve"> palmitate</w:t>
            </w:r>
          </w:p>
        </w:tc>
        <w:tc>
          <w:tcPr>
            <w:tcW w:w="2338" w:type="dxa"/>
          </w:tcPr>
          <w:p w14:paraId="66346C49" w14:textId="77777777" w:rsidR="00014BA1" w:rsidRPr="007238C1" w:rsidRDefault="00014BA1" w:rsidP="00A03ACB">
            <w:r>
              <w:t>N/A</w:t>
            </w:r>
          </w:p>
        </w:tc>
      </w:tr>
      <w:tr w:rsidR="00014BA1" w14:paraId="63C1567D" w14:textId="77777777" w:rsidTr="00A03ACB">
        <w:tc>
          <w:tcPr>
            <w:tcW w:w="9350" w:type="dxa"/>
            <w:gridSpan w:val="4"/>
          </w:tcPr>
          <w:p w14:paraId="0354B571" w14:textId="77777777" w:rsidR="00014BA1" w:rsidRPr="007238C1" w:rsidRDefault="00014BA1" w:rsidP="00A03ACB">
            <w:pPr>
              <w:rPr>
                <w:sz w:val="22"/>
                <w:szCs w:val="22"/>
              </w:rPr>
            </w:pPr>
            <w:r w:rsidRPr="007238C1">
              <w:rPr>
                <w:sz w:val="22"/>
                <w:szCs w:val="22"/>
              </w:rPr>
              <w:t>The distinction between particulate and non</w:t>
            </w:r>
            <w:r>
              <w:rPr>
                <w:sz w:val="22"/>
                <w:szCs w:val="22"/>
              </w:rPr>
              <w:t>-</w:t>
            </w:r>
            <w:r w:rsidRPr="007238C1">
              <w:rPr>
                <w:sz w:val="22"/>
                <w:szCs w:val="22"/>
              </w:rPr>
              <w:t>particulate is based on studies looking at particle aggregation size relative to a red blood cell.</w:t>
            </w:r>
          </w:p>
        </w:tc>
      </w:tr>
    </w:tbl>
    <w:p w14:paraId="599DAD57" w14:textId="77777777" w:rsidR="00014BA1" w:rsidRDefault="00014BA1" w:rsidP="003840CC">
      <w:pPr>
        <w:rPr>
          <w:bCs/>
          <w:color w:val="000000"/>
        </w:rPr>
      </w:pPr>
    </w:p>
    <w:p w14:paraId="03C0E9B5" w14:textId="77777777" w:rsidR="00FB0592" w:rsidRDefault="00FB0592" w:rsidP="00FB0592">
      <w:pPr>
        <w:pStyle w:val="Heading2"/>
        <w:rPr>
          <w:u w:val="none"/>
        </w:rPr>
      </w:pPr>
      <w:r w:rsidRPr="00B777AF">
        <w:rPr>
          <w:u w:val="none"/>
        </w:rPr>
        <w:t>Background</w:t>
      </w:r>
    </w:p>
    <w:p w14:paraId="22767F75" w14:textId="77777777" w:rsidR="00C16705" w:rsidRPr="004D4E76" w:rsidRDefault="00C16705" w:rsidP="00C16705">
      <w:pPr>
        <w:pStyle w:val="Heading3"/>
        <w:rPr>
          <w:b w:val="0"/>
          <w:i/>
        </w:rPr>
      </w:pPr>
      <w:bookmarkStart w:id="3" w:name="_Toc457830573"/>
      <w:bookmarkStart w:id="4" w:name="_Toc457897139"/>
      <w:bookmarkStart w:id="5" w:name="_Toc460234895"/>
      <w:r w:rsidRPr="004D4E76">
        <w:rPr>
          <w:b w:val="0"/>
          <w:i/>
        </w:rPr>
        <w:t>Epidural steroid injections/selective nerve root blocks</w:t>
      </w:r>
      <w:bookmarkEnd w:id="3"/>
      <w:bookmarkEnd w:id="4"/>
      <w:bookmarkEnd w:id="5"/>
    </w:p>
    <w:p w14:paraId="3704631A" w14:textId="30D42432" w:rsidR="00C16705" w:rsidRPr="00980853" w:rsidRDefault="00C16705" w:rsidP="00C16705">
      <w:r>
        <w:t>There is great controversy regarding the effectiveness of invasive interventions for spinal pain. Epidural glucocorticoid injections have been used for pain control in patients with radiculopathy, spinal stenosis, and nonspecific low back pain despite inconsistent results as well as heterogeneous populations and interventions in randomized trials.</w:t>
      </w:r>
      <w:r w:rsidRPr="00A44311">
        <w:t xml:space="preserve"> Epidural injections are performed utilizing </w:t>
      </w:r>
      <w:r w:rsidR="00117E44">
        <w:t>three</w:t>
      </w:r>
      <w:r w:rsidRPr="00A44311">
        <w:t xml:space="preserve"> approaches in the lumbar spine: caudal, interlaminar, and transforaminal</w:t>
      </w:r>
      <w:r>
        <w:t xml:space="preserve">. Generally, candidates for epidural steroid injection are individuals who have acute radicular symptoms or neurogenic claudication unresponsive to traditional analgesics and rest, with significant impairment in activities of daily living. Epidural steroid injections have been used in the treatment of spinal stenosis for many years, and no validated long-term outcomes have been reported to substantiate their use. However, significant improvement in pain scores have been reported </w:t>
      </w:r>
      <w:r w:rsidR="00754E78">
        <w:t xml:space="preserve">in short-term outcomes up </w:t>
      </w:r>
      <w:r w:rsidR="0078409B">
        <w:t>to</w:t>
      </w:r>
      <w:r>
        <w:t xml:space="preserve"> </w:t>
      </w:r>
      <w:r w:rsidR="00117E44">
        <w:t>three</w:t>
      </w:r>
      <w:r>
        <w:t xml:space="preserve"> months</w:t>
      </w:r>
      <w:r w:rsidR="0078409B">
        <w:t xml:space="preserve"> after </w:t>
      </w:r>
      <w:r w:rsidR="0063604E">
        <w:t>injection</w:t>
      </w:r>
      <w:r>
        <w:t>.</w:t>
      </w:r>
      <w:r w:rsidR="00585293">
        <w:rPr>
          <w:vertAlign w:val="superscript"/>
        </w:rPr>
        <w:t>2</w:t>
      </w:r>
      <w:r>
        <w:t xml:space="preserve"> A</w:t>
      </w:r>
      <w:r w:rsidRPr="00907503">
        <w:t xml:space="preserve"> </w:t>
      </w:r>
      <w:r w:rsidR="0089729D">
        <w:t>selective nerve root block (</w:t>
      </w:r>
      <w:r>
        <w:t>SNRB</w:t>
      </w:r>
      <w:r w:rsidR="0089729D">
        <w:t>)</w:t>
      </w:r>
      <w:r>
        <w:t xml:space="preserve"> </w:t>
      </w:r>
      <w:r w:rsidRPr="00907503">
        <w:t>is primarily used to diagnose the specific source of nerve root pain</w:t>
      </w:r>
      <w:r w:rsidR="00BC34E2">
        <w:t xml:space="preserve">. </w:t>
      </w:r>
      <w:r>
        <w:t xml:space="preserve">In a SNRB, a </w:t>
      </w:r>
      <w:r w:rsidRPr="00073FAA">
        <w:t>local anesthetic</w:t>
      </w:r>
      <w:r w:rsidR="00BC34E2">
        <w:t xml:space="preserve"> is used. </w:t>
      </w:r>
      <w:r>
        <w:t xml:space="preserve">When used for therapeutic indications, </w:t>
      </w:r>
      <w:r w:rsidRPr="00CF5FA8">
        <w:t>a steroid is added</w:t>
      </w:r>
      <w:r w:rsidR="00F21F36">
        <w:t>,</w:t>
      </w:r>
      <w:r w:rsidRPr="00CF5FA8">
        <w:t xml:space="preserve"> and </w:t>
      </w:r>
      <w:r>
        <w:t>it is usually referred to as a s</w:t>
      </w:r>
      <w:r w:rsidRPr="00CF5FA8">
        <w:t xml:space="preserve">elective </w:t>
      </w:r>
      <w:r>
        <w:t>t</w:t>
      </w:r>
      <w:r w:rsidRPr="00CF5FA8">
        <w:t xml:space="preserve">ransforaminal </w:t>
      </w:r>
      <w:r>
        <w:t>e</w:t>
      </w:r>
      <w:r w:rsidRPr="00CF5FA8">
        <w:t xml:space="preserve">pidural </w:t>
      </w:r>
      <w:r>
        <w:t>s</w:t>
      </w:r>
      <w:r w:rsidRPr="00CF5FA8">
        <w:t xml:space="preserve">teroid </w:t>
      </w:r>
      <w:r>
        <w:t>i</w:t>
      </w:r>
      <w:r w:rsidRPr="00CF5FA8">
        <w:t>njection</w:t>
      </w:r>
      <w:r>
        <w:t>.</w:t>
      </w:r>
    </w:p>
    <w:p w14:paraId="3E5AADBE" w14:textId="77777777" w:rsidR="00C16705" w:rsidRDefault="00C16705" w:rsidP="00C16705"/>
    <w:p w14:paraId="37C82EEF" w14:textId="717808DA" w:rsidR="00C16705" w:rsidRDefault="00585293" w:rsidP="00C16705">
      <w:r>
        <w:t>A 2015</w:t>
      </w:r>
      <w:r w:rsidR="00C16705" w:rsidRPr="00F46267">
        <w:t xml:space="preserve"> meta-analysis</w:t>
      </w:r>
      <w:r>
        <w:t xml:space="preserve"> was conducted</w:t>
      </w:r>
      <w:r w:rsidR="00C16705" w:rsidRPr="00F46267">
        <w:t xml:space="preserve"> to assess the effects of various surgical and nonsurgical modalities, including epidural injections, used to treat lumbar disc herniation (LDH) or radiculitis</w:t>
      </w:r>
      <w:proofErr w:type="gramStart"/>
      <w:r w:rsidR="00C16705" w:rsidRPr="00F46267">
        <w:t>.</w:t>
      </w:r>
      <w:r w:rsidR="000E46B5">
        <w:rPr>
          <w:vertAlign w:val="superscript"/>
        </w:rPr>
        <w:t>3</w:t>
      </w:r>
      <w:proofErr w:type="gramEnd"/>
      <w:r w:rsidR="00C16705" w:rsidRPr="00F46267">
        <w:t xml:space="preserve"> A systematic literature search was conducted to identify </w:t>
      </w:r>
      <w:r w:rsidR="00C16705">
        <w:t>RCTs</w:t>
      </w:r>
      <w:r w:rsidR="00C16705" w:rsidRPr="00F46267">
        <w:t xml:space="preserve"> which compared the effect of local anesthetic with or without steroids. The outcomes included pain relief, functional improvement, opioid intake, and therapeutic procedural characteristics.</w:t>
      </w:r>
      <w:r w:rsidR="00C16705">
        <w:t xml:space="preserve"> </w:t>
      </w:r>
      <w:r w:rsidR="00C16705" w:rsidRPr="00F46267">
        <w:t xml:space="preserve">The reviewers concluded </w:t>
      </w:r>
      <w:r w:rsidR="00C16705">
        <w:t xml:space="preserve">that </w:t>
      </w:r>
      <w:r w:rsidR="00C16705" w:rsidRPr="00F46267">
        <w:t>the meta-analysis confirms that epidural injections of local anesthetic with or without steroids have beneficial but similar effects in the treatment of patients with chronic low back and lower extremity pain.</w:t>
      </w:r>
      <w:r w:rsidR="000E46B5">
        <w:rPr>
          <w:vertAlign w:val="superscript"/>
        </w:rPr>
        <w:t>3</w:t>
      </w:r>
    </w:p>
    <w:p w14:paraId="15BD69A8" w14:textId="77777777" w:rsidR="00C16705" w:rsidRDefault="00C16705" w:rsidP="00C16705"/>
    <w:p w14:paraId="1E8B1BEA" w14:textId="760583D9" w:rsidR="00C16705" w:rsidRDefault="00C16705" w:rsidP="00C16705">
      <w:pPr>
        <w:rPr>
          <w:vertAlign w:val="superscript"/>
        </w:rPr>
      </w:pPr>
      <w:r>
        <w:t>R</w:t>
      </w:r>
      <w:r w:rsidRPr="009A6AE4">
        <w:t xml:space="preserve">esults of a </w:t>
      </w:r>
      <w:r w:rsidR="00210A54">
        <w:t>two</w:t>
      </w:r>
      <w:r w:rsidR="00210A54" w:rsidRPr="009A6AE4">
        <w:t>-year</w:t>
      </w:r>
      <w:r w:rsidRPr="009A6AE4">
        <w:t xml:space="preserve"> follow-up of </w:t>
      </w:r>
      <w:r w:rsidR="00490BD8">
        <w:t>three</w:t>
      </w:r>
      <w:r w:rsidRPr="009A6AE4">
        <w:t xml:space="preserve"> randomized, double-blind, controlled trials, with a total of 360 patients with chronic persistent pain of disc herniation receiving either caudal, lumbar interlaminar or transforaminal epidural injections, showed similar efficacy of the </w:t>
      </w:r>
      <w:r w:rsidR="00490BD8">
        <w:t>three</w:t>
      </w:r>
      <w:r w:rsidRPr="009A6AE4">
        <w:t xml:space="preserve"> techniques with local anesthetic alone or local anesthetic with steroid</w:t>
      </w:r>
      <w:r>
        <w:t>.</w:t>
      </w:r>
      <w:r w:rsidR="000E46B5">
        <w:rPr>
          <w:vertAlign w:val="superscript"/>
        </w:rPr>
        <w:t>4</w:t>
      </w:r>
      <w:r w:rsidRPr="009A6AE4">
        <w:t xml:space="preserve"> Interlaminar</w:t>
      </w:r>
      <w:r>
        <w:t xml:space="preserve"> injections</w:t>
      </w:r>
      <w:r w:rsidRPr="009A6AE4">
        <w:t xml:space="preserve"> with steroids were superior to transforaminal at 12</w:t>
      </w:r>
      <w:r w:rsidR="006D3479">
        <w:t xml:space="preserve"> </w:t>
      </w:r>
      <w:r w:rsidRPr="009A6AE4">
        <w:t>months.</w:t>
      </w:r>
      <w:r w:rsidR="000E46B5">
        <w:rPr>
          <w:vertAlign w:val="superscript"/>
        </w:rPr>
        <w:t>4</w:t>
      </w:r>
    </w:p>
    <w:p w14:paraId="20572627" w14:textId="77777777" w:rsidR="007207F7" w:rsidRPr="000465DE" w:rsidRDefault="007207F7">
      <w:pPr>
        <w:rPr>
          <w:b/>
          <w:bCs/>
        </w:rPr>
      </w:pPr>
    </w:p>
    <w:p w14:paraId="755FF9B5" w14:textId="77777777" w:rsidR="00170B14" w:rsidRPr="00B777AF" w:rsidRDefault="00170B14" w:rsidP="00170B14">
      <w:pPr>
        <w:rPr>
          <w:b/>
        </w:rPr>
      </w:pPr>
      <w:bookmarkStart w:id="6" w:name="Coding_Implications"/>
      <w:r w:rsidRPr="00B777AF">
        <w:rPr>
          <w:b/>
        </w:rPr>
        <w:t>Coding Implications</w:t>
      </w:r>
    </w:p>
    <w:bookmarkEnd w:id="6"/>
    <w:p w14:paraId="7DFB9554" w14:textId="40899297"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2974AA" w:rsidRPr="00507DC0">
        <w:t>20</w:t>
      </w:r>
      <w:r w:rsidR="002974AA">
        <w:t>2</w:t>
      </w:r>
      <w:r w:rsidR="005850A4">
        <w:t>4</w:t>
      </w:r>
      <w:r w:rsidRPr="00507DC0">
        <w:t>, American Medical Association. All rights reserved. 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379CAC08" w14:textId="77777777" w:rsidR="00AF5490" w:rsidRPr="00A85489" w:rsidRDefault="00AF5490" w:rsidP="00AF5490"/>
    <w:tbl>
      <w:tblPr>
        <w:tblStyle w:val="TableGrid"/>
        <w:tblW w:w="5147" w:type="pct"/>
        <w:tblLook w:val="0020" w:firstRow="1" w:lastRow="0" w:firstColumn="0" w:lastColumn="0" w:noHBand="0" w:noVBand="0"/>
      </w:tblPr>
      <w:tblGrid>
        <w:gridCol w:w="1102"/>
        <w:gridCol w:w="8523"/>
      </w:tblGrid>
      <w:tr w:rsidR="00B777AF" w:rsidRPr="00B777AF" w14:paraId="54321C74" w14:textId="77777777" w:rsidTr="005C2616">
        <w:trPr>
          <w:tblHeader/>
        </w:trPr>
        <w:tc>
          <w:tcPr>
            <w:tcW w:w="1102" w:type="dxa"/>
            <w:shd w:val="clear" w:color="auto" w:fill="00548C"/>
          </w:tcPr>
          <w:p w14:paraId="108073C5" w14:textId="77777777" w:rsidR="00D36448" w:rsidRPr="00B777AF" w:rsidRDefault="00D36448" w:rsidP="006C5461">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8523" w:type="dxa"/>
            <w:shd w:val="clear" w:color="auto" w:fill="00548C"/>
          </w:tcPr>
          <w:p w14:paraId="2AE5FD45" w14:textId="77777777" w:rsidR="00D36448" w:rsidRPr="00B777AF" w:rsidRDefault="00D36448" w:rsidP="006C5461">
            <w:pPr>
              <w:rPr>
                <w:b/>
                <w:bCs/>
                <w:color w:val="FFFFFF" w:themeColor="background1"/>
              </w:rPr>
            </w:pPr>
            <w:r w:rsidRPr="00B777AF">
              <w:rPr>
                <w:b/>
                <w:color w:val="FFFFFF" w:themeColor="background1"/>
              </w:rPr>
              <w:t>Description</w:t>
            </w:r>
          </w:p>
        </w:tc>
      </w:tr>
      <w:tr w:rsidR="00AA6FCD" w:rsidRPr="00365424" w14:paraId="54F96F3D" w14:textId="77777777" w:rsidTr="005C2616">
        <w:tblPrEx>
          <w:tblLook w:val="04A0" w:firstRow="1" w:lastRow="0" w:firstColumn="1" w:lastColumn="0" w:noHBand="0" w:noVBand="1"/>
        </w:tblPrEx>
        <w:tc>
          <w:tcPr>
            <w:tcW w:w="1102" w:type="dxa"/>
          </w:tcPr>
          <w:p w14:paraId="6D46C2BB" w14:textId="66BB1387" w:rsidR="00AA6FCD" w:rsidRPr="00365424" w:rsidRDefault="00AA6FCD" w:rsidP="006C5461">
            <w:r w:rsidRPr="00940118">
              <w:t>64479</w:t>
            </w:r>
          </w:p>
        </w:tc>
        <w:tc>
          <w:tcPr>
            <w:tcW w:w="8523" w:type="dxa"/>
          </w:tcPr>
          <w:p w14:paraId="4EA96E4D" w14:textId="27FF106C" w:rsidR="00AA6FCD" w:rsidRPr="00365424" w:rsidRDefault="00AA6FCD" w:rsidP="006C5461">
            <w:r w:rsidRPr="00AA6FCD">
              <w:t>Injection(s), anesthetic agent</w:t>
            </w:r>
            <w:r w:rsidR="008A69E3">
              <w:t xml:space="preserve">(s) </w:t>
            </w:r>
            <w:r w:rsidRPr="00AA6FCD">
              <w:t>and/or steroid, transforaminal epidural, with imaging guidance (fluoroscopy or CT)</w:t>
            </w:r>
            <w:r w:rsidR="003012CC">
              <w:t>,</w:t>
            </w:r>
            <w:r w:rsidRPr="00AA6FCD">
              <w:t xml:space="preserve"> cervical or thoracic, single level</w:t>
            </w:r>
          </w:p>
        </w:tc>
      </w:tr>
      <w:tr w:rsidR="00AA6FCD" w:rsidRPr="00365424" w14:paraId="798549E5" w14:textId="77777777" w:rsidTr="005C2616">
        <w:tblPrEx>
          <w:tblLook w:val="04A0" w:firstRow="1" w:lastRow="0" w:firstColumn="1" w:lastColumn="0" w:noHBand="0" w:noVBand="1"/>
        </w:tblPrEx>
        <w:tc>
          <w:tcPr>
            <w:tcW w:w="1102" w:type="dxa"/>
          </w:tcPr>
          <w:p w14:paraId="42F4A831" w14:textId="60586D72" w:rsidR="00AA6FCD" w:rsidRDefault="00AA6FCD" w:rsidP="006C5461">
            <w:r>
              <w:t>64480</w:t>
            </w:r>
          </w:p>
        </w:tc>
        <w:tc>
          <w:tcPr>
            <w:tcW w:w="8523" w:type="dxa"/>
          </w:tcPr>
          <w:p w14:paraId="3EE53093" w14:textId="6BCA363A" w:rsidR="00AA6FCD" w:rsidRPr="00365424" w:rsidRDefault="00AA6FCD" w:rsidP="006C5461">
            <w:proofErr w:type="gramStart"/>
            <w:r w:rsidRPr="00AA6FCD">
              <w:t>Injection(s)</w:t>
            </w:r>
            <w:proofErr w:type="gramEnd"/>
            <w:r w:rsidRPr="00AA6FCD">
              <w:t>, anesthetic agent</w:t>
            </w:r>
            <w:r w:rsidR="008A69E3">
              <w:t>(s)</w:t>
            </w:r>
            <w:r w:rsidRPr="00AA6FCD">
              <w:t xml:space="preserve"> and/or steroid, transforaminal epidural, with imaging guidance (fluoroscopy or CT)</w:t>
            </w:r>
            <w:r w:rsidR="003012CC">
              <w:t>,</w:t>
            </w:r>
            <w:r w:rsidRPr="00AA6FCD">
              <w:t xml:space="preserve"> cervical or thoracic, each additional level (List separately in addition to code for primary procedure)</w:t>
            </w:r>
          </w:p>
        </w:tc>
      </w:tr>
      <w:tr w:rsidR="00C47655" w:rsidRPr="00365424" w14:paraId="59E60FD8" w14:textId="77777777" w:rsidTr="005C2616">
        <w:tblPrEx>
          <w:tblLook w:val="04A0" w:firstRow="1" w:lastRow="0" w:firstColumn="1" w:lastColumn="0" w:noHBand="0" w:noVBand="1"/>
        </w:tblPrEx>
        <w:tc>
          <w:tcPr>
            <w:tcW w:w="1102" w:type="dxa"/>
          </w:tcPr>
          <w:p w14:paraId="76C141E2" w14:textId="77777777" w:rsidR="00C47655" w:rsidRPr="00365424" w:rsidRDefault="00C47655" w:rsidP="006C5461">
            <w:r w:rsidRPr="00365424">
              <w:t>64483</w:t>
            </w:r>
          </w:p>
        </w:tc>
        <w:tc>
          <w:tcPr>
            <w:tcW w:w="8523" w:type="dxa"/>
          </w:tcPr>
          <w:p w14:paraId="6F097BFA" w14:textId="3705B2D8" w:rsidR="00C47655" w:rsidRPr="00365424" w:rsidRDefault="00C47655" w:rsidP="008A69E3">
            <w:proofErr w:type="gramStart"/>
            <w:r w:rsidRPr="00365424">
              <w:t>Injection</w:t>
            </w:r>
            <w:proofErr w:type="gramEnd"/>
            <w:r w:rsidRPr="00365424">
              <w:t>(s), anesthetic agent</w:t>
            </w:r>
            <w:r w:rsidR="008A69E3">
              <w:t xml:space="preserve">(s) </w:t>
            </w:r>
            <w:r w:rsidRPr="00365424">
              <w:t>and/or steroid, transforaminal epidural, with imaging guidance (fluoroscopy or CT)</w:t>
            </w:r>
            <w:r w:rsidR="005D7E44">
              <w:t>,</w:t>
            </w:r>
            <w:r w:rsidRPr="00365424">
              <w:t xml:space="preserve"> lumbar or sacral, single level</w:t>
            </w:r>
          </w:p>
        </w:tc>
      </w:tr>
      <w:tr w:rsidR="00C47655" w:rsidRPr="00365424" w14:paraId="225C5797" w14:textId="77777777" w:rsidTr="005C2616">
        <w:tblPrEx>
          <w:tblLook w:val="04A0" w:firstRow="1" w:lastRow="0" w:firstColumn="1" w:lastColumn="0" w:noHBand="0" w:noVBand="1"/>
        </w:tblPrEx>
        <w:tc>
          <w:tcPr>
            <w:tcW w:w="1102" w:type="dxa"/>
          </w:tcPr>
          <w:p w14:paraId="69FAAC34" w14:textId="77777777" w:rsidR="00C47655" w:rsidRPr="00365424" w:rsidRDefault="00C47655" w:rsidP="006C5461">
            <w:r w:rsidRPr="00365424">
              <w:t>64484</w:t>
            </w:r>
          </w:p>
        </w:tc>
        <w:tc>
          <w:tcPr>
            <w:tcW w:w="8523" w:type="dxa"/>
          </w:tcPr>
          <w:p w14:paraId="50AD45D2" w14:textId="78E4FA87" w:rsidR="00C47655" w:rsidRPr="00365424" w:rsidRDefault="00C47655" w:rsidP="006C5461">
            <w:r w:rsidRPr="00365424">
              <w:t>Injection(s), anesthetic agent</w:t>
            </w:r>
            <w:r w:rsidR="008A69E3">
              <w:t>(s)</w:t>
            </w:r>
            <w:r w:rsidRPr="00365424">
              <w:t xml:space="preserve"> and/or steroid, transforaminal epidural, with imaging guidance (fluoroscopy or CT)</w:t>
            </w:r>
            <w:r w:rsidR="003012CC">
              <w:t>,</w:t>
            </w:r>
            <w:r w:rsidRPr="00365424">
              <w:t xml:space="preserve"> lumbar or sacral, each additional level (List separately in addition to code for primary procedure)</w:t>
            </w:r>
          </w:p>
        </w:tc>
      </w:tr>
    </w:tbl>
    <w:p w14:paraId="5D8BE3BC" w14:textId="77777777" w:rsidR="00CA477B" w:rsidRDefault="00CA477B"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6920"/>
        <w:gridCol w:w="1468"/>
        <w:gridCol w:w="1260"/>
      </w:tblGrid>
      <w:tr w:rsidR="00B777AF" w:rsidRPr="00B777AF" w14:paraId="0ECC6E1F" w14:textId="77777777" w:rsidTr="00342C7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92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7" w:name="Revision_Log"/>
            <w:r w:rsidRPr="00B777AF">
              <w:rPr>
                <w:bCs w:val="0"/>
              </w:rPr>
              <w:t>Reviews</w:t>
            </w:r>
            <w:r>
              <w:rPr>
                <w:bCs w:val="0"/>
              </w:rPr>
              <w:t>, Revisions, and Approvals</w:t>
            </w:r>
            <w:bookmarkEnd w:id="7"/>
          </w:p>
        </w:tc>
        <w:tc>
          <w:tcPr>
            <w:tcW w:w="1468" w:type="dxa"/>
            <w:shd w:val="clear" w:color="auto" w:fill="00548C"/>
          </w:tcPr>
          <w:p w14:paraId="52F56111" w14:textId="6F030183" w:rsidR="00C91201" w:rsidRDefault="00C91201"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p>
          <w:p w14:paraId="5AE0D08E" w14:textId="29AFA90F"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AEAC84" w14:textId="77777777" w:rsidTr="00342C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20" w:type="dxa"/>
            <w:tcBorders>
              <w:top w:val="none" w:sz="0" w:space="0" w:color="auto"/>
              <w:left w:val="none" w:sz="0" w:space="0" w:color="auto"/>
              <w:bottom w:val="none" w:sz="0" w:space="0" w:color="auto"/>
              <w:right w:val="none" w:sz="0" w:space="0" w:color="auto"/>
            </w:tcBorders>
          </w:tcPr>
          <w:p w14:paraId="53A95A47" w14:textId="5DADFE57" w:rsidR="00B777AF" w:rsidRDefault="008804E8" w:rsidP="006C5461">
            <w:pPr>
              <w:tabs>
                <w:tab w:val="num" w:pos="720"/>
              </w:tabs>
            </w:pPr>
            <w:r>
              <w:t>SNRB and TFESI criteria reviewed and updated</w:t>
            </w:r>
            <w:r w:rsidR="00C47655">
              <w:t xml:space="preserve"> in CP.MP.118.</w:t>
            </w:r>
          </w:p>
        </w:tc>
        <w:tc>
          <w:tcPr>
            <w:tcW w:w="1468" w:type="dxa"/>
            <w:tcBorders>
              <w:top w:val="none" w:sz="0" w:space="0" w:color="auto"/>
              <w:bottom w:val="none" w:sz="0" w:space="0" w:color="auto"/>
            </w:tcBorders>
          </w:tcPr>
          <w:p w14:paraId="22F9266B" w14:textId="21609B8D" w:rsidR="00B777AF" w:rsidRDefault="008804E8" w:rsidP="005776FD">
            <w:pPr>
              <w:jc w:val="center"/>
              <w:cnfStyle w:val="000000100000" w:firstRow="0" w:lastRow="0" w:firstColumn="0" w:lastColumn="0" w:oddVBand="0" w:evenVBand="0" w:oddHBand="1" w:evenHBand="0" w:firstRowFirstColumn="0" w:firstRowLastColumn="0" w:lastRowFirstColumn="0" w:lastRowLastColumn="0"/>
            </w:pPr>
            <w:r>
              <w:t>04/18</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B439B6E" w14:textId="598051FF" w:rsidR="00B777AF" w:rsidRDefault="008804E8" w:rsidP="00857C10">
            <w:pPr>
              <w:jc w:val="center"/>
            </w:pPr>
            <w:r>
              <w:t>04/18</w:t>
            </w:r>
          </w:p>
        </w:tc>
      </w:tr>
      <w:tr w:rsidR="008A69E3" w14:paraId="3B13EC4B" w14:textId="77777777" w:rsidTr="00342C7E">
        <w:tc>
          <w:tcPr>
            <w:cnfStyle w:val="000010000000" w:firstRow="0" w:lastRow="0" w:firstColumn="0" w:lastColumn="0" w:oddVBand="1" w:evenVBand="0" w:oddHBand="0" w:evenHBand="0" w:firstRowFirstColumn="0" w:firstRowLastColumn="0" w:lastRowFirstColumn="0" w:lastRowLastColumn="0"/>
            <w:tcW w:w="6920" w:type="dxa"/>
          </w:tcPr>
          <w:p w14:paraId="60D04381" w14:textId="4BBCFA5C" w:rsidR="008A69E3" w:rsidRDefault="008A69E3" w:rsidP="008A69E3">
            <w:r>
              <w:t xml:space="preserve">Minor revision to description </w:t>
            </w:r>
            <w:proofErr w:type="gramStart"/>
            <w:r>
              <w:t>of  CPT</w:t>
            </w:r>
            <w:proofErr w:type="gramEnd"/>
            <w:r>
              <w:t xml:space="preserve"> 64479, 64480,</w:t>
            </w:r>
            <w:r w:rsidR="00552F6B">
              <w:t xml:space="preserve"> </w:t>
            </w:r>
            <w:r>
              <w:t>64483 and 64484</w:t>
            </w:r>
            <w:r w:rsidR="002F1574">
              <w:t>.  Replaced “member” with “members/enrollee” in the disclaimer.</w:t>
            </w:r>
          </w:p>
        </w:tc>
        <w:tc>
          <w:tcPr>
            <w:tcW w:w="1468" w:type="dxa"/>
          </w:tcPr>
          <w:p w14:paraId="30BA9C42" w14:textId="1B353D95" w:rsidR="008A69E3" w:rsidRDefault="008A69E3" w:rsidP="005776FD">
            <w:pPr>
              <w:jc w:val="center"/>
              <w:cnfStyle w:val="000000000000" w:firstRow="0" w:lastRow="0" w:firstColumn="0" w:lastColumn="0" w:oddVBand="0" w:evenVBand="0" w:oddHBand="0" w:evenHBand="0" w:firstRowFirstColumn="0" w:firstRowLastColumn="0" w:lastRowFirstColumn="0" w:lastRowLastColumn="0"/>
            </w:pPr>
            <w:r>
              <w:t>0</w:t>
            </w:r>
            <w:r w:rsidR="00C032B7">
              <w:t>4</w:t>
            </w:r>
            <w:r>
              <w:t>/21</w:t>
            </w:r>
          </w:p>
        </w:tc>
        <w:tc>
          <w:tcPr>
            <w:cnfStyle w:val="000010000000" w:firstRow="0" w:lastRow="0" w:firstColumn="0" w:lastColumn="0" w:oddVBand="1" w:evenVBand="0" w:oddHBand="0" w:evenHBand="0" w:firstRowFirstColumn="0" w:firstRowLastColumn="0" w:lastRowFirstColumn="0" w:lastRowLastColumn="0"/>
            <w:tcW w:w="1260" w:type="dxa"/>
          </w:tcPr>
          <w:p w14:paraId="02095524" w14:textId="77777777" w:rsidR="008A69E3" w:rsidRDefault="008A69E3" w:rsidP="00857C10">
            <w:pPr>
              <w:jc w:val="center"/>
            </w:pPr>
          </w:p>
        </w:tc>
      </w:tr>
      <w:tr w:rsidR="00E2791D" w14:paraId="461816F9" w14:textId="77777777" w:rsidTr="00342C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20" w:type="dxa"/>
          </w:tcPr>
          <w:p w14:paraId="10A8C73D" w14:textId="73DE60F2" w:rsidR="00E2791D" w:rsidRDefault="00E2791D" w:rsidP="000F5247">
            <w:r>
              <w:lastRenderedPageBreak/>
              <w:t>Annual review</w:t>
            </w:r>
            <w:r w:rsidR="00342C7E">
              <w:t>.</w:t>
            </w:r>
            <w:r w:rsidR="000F5247">
              <w:t xml:space="preserve"> </w:t>
            </w:r>
            <w:r>
              <w:t>References reviewed</w:t>
            </w:r>
            <w:r w:rsidR="00342C7E">
              <w:t xml:space="preserve"> </w:t>
            </w:r>
            <w:r w:rsidR="000F5247">
              <w:t>a</w:t>
            </w:r>
            <w:r w:rsidR="00342C7E">
              <w:t>nd updated.</w:t>
            </w:r>
            <w:r w:rsidR="000F5247">
              <w:t xml:space="preserve"> </w:t>
            </w:r>
            <w:r w:rsidR="00342C7E">
              <w:t>In policy statement, removed option for</w:t>
            </w:r>
            <w:r w:rsidR="000F5247">
              <w:t xml:space="preserve"> procedures</w:t>
            </w:r>
            <w:r w:rsidR="00342C7E">
              <w:t xml:space="preserve"> “without radiographic guidance.”</w:t>
            </w:r>
            <w:r w:rsidR="00BF4776">
              <w:rPr>
                <w:i/>
              </w:rPr>
              <w:t xml:space="preserve"> </w:t>
            </w:r>
            <w:r w:rsidR="00342C7E" w:rsidRPr="000F5247">
              <w:t>Reviewed by specialist.</w:t>
            </w:r>
            <w:r w:rsidR="00342C7E">
              <w:rPr>
                <w:i/>
              </w:rPr>
              <w:t xml:space="preserve"> </w:t>
            </w:r>
            <w:proofErr w:type="gramStart"/>
            <w:r w:rsidR="00342C7E">
              <w:t>Changed</w:t>
            </w:r>
            <w:proofErr w:type="gramEnd"/>
            <w:r w:rsidR="00342C7E">
              <w:t xml:space="preserve"> “Last Review Date” in header to </w:t>
            </w:r>
            <w:proofErr w:type="gramStart"/>
            <w:r w:rsidR="00342C7E">
              <w:t>“Date</w:t>
            </w:r>
            <w:proofErr w:type="gramEnd"/>
            <w:r w:rsidR="00342C7E">
              <w:t xml:space="preserve"> of Last Revision” and changed </w:t>
            </w:r>
            <w:proofErr w:type="gramStart"/>
            <w:r w:rsidR="00342C7E">
              <w:t>“Date”</w:t>
            </w:r>
            <w:proofErr w:type="gramEnd"/>
            <w:r w:rsidR="00342C7E">
              <w:t xml:space="preserve"> in </w:t>
            </w:r>
            <w:proofErr w:type="gramStart"/>
            <w:r w:rsidR="00342C7E">
              <w:t>Revision</w:t>
            </w:r>
            <w:proofErr w:type="gramEnd"/>
            <w:r w:rsidR="00342C7E">
              <w:t xml:space="preserve"> log to “Revision Date”.</w:t>
            </w:r>
          </w:p>
        </w:tc>
        <w:tc>
          <w:tcPr>
            <w:tcW w:w="1468" w:type="dxa"/>
          </w:tcPr>
          <w:p w14:paraId="35F030F3" w14:textId="615546C2" w:rsidR="00E2791D" w:rsidRDefault="00E2791D" w:rsidP="005776FD">
            <w:pPr>
              <w:jc w:val="center"/>
              <w:cnfStyle w:val="000000100000" w:firstRow="0" w:lastRow="0" w:firstColumn="0" w:lastColumn="0" w:oddVBand="0" w:evenVBand="0" w:oddHBand="1" w:evenHBand="0" w:firstRowFirstColumn="0" w:firstRowLastColumn="0" w:lastRowFirstColumn="0" w:lastRowLastColumn="0"/>
            </w:pPr>
            <w:r>
              <w:t>08/21</w:t>
            </w:r>
          </w:p>
        </w:tc>
        <w:tc>
          <w:tcPr>
            <w:cnfStyle w:val="000010000000" w:firstRow="0" w:lastRow="0" w:firstColumn="0" w:lastColumn="0" w:oddVBand="1" w:evenVBand="0" w:oddHBand="0" w:evenHBand="0" w:firstRowFirstColumn="0" w:firstRowLastColumn="0" w:lastRowFirstColumn="0" w:lastRowLastColumn="0"/>
            <w:tcW w:w="1260" w:type="dxa"/>
          </w:tcPr>
          <w:p w14:paraId="5A92A02F" w14:textId="3D7B425B" w:rsidR="00E2791D" w:rsidRDefault="00BC34E2" w:rsidP="00857C10">
            <w:pPr>
              <w:jc w:val="center"/>
            </w:pPr>
            <w:r>
              <w:t>08/21</w:t>
            </w:r>
          </w:p>
        </w:tc>
      </w:tr>
      <w:tr w:rsidR="004E1B54" w14:paraId="068E10F9" w14:textId="77777777" w:rsidTr="00342C7E">
        <w:tc>
          <w:tcPr>
            <w:cnfStyle w:val="000010000000" w:firstRow="0" w:lastRow="0" w:firstColumn="0" w:lastColumn="0" w:oddVBand="1" w:evenVBand="0" w:oddHBand="0" w:evenHBand="0" w:firstRowFirstColumn="0" w:firstRowLastColumn="0" w:lastRowFirstColumn="0" w:lastRowLastColumn="0"/>
            <w:tcW w:w="6920" w:type="dxa"/>
          </w:tcPr>
          <w:p w14:paraId="676990CE" w14:textId="6A7917FE" w:rsidR="004E1B54" w:rsidRDefault="004E1B54" w:rsidP="000F5247">
            <w:r>
              <w:t>Annu</w:t>
            </w:r>
            <w:r w:rsidR="000678AD">
              <w:t>a</w:t>
            </w:r>
            <w:r>
              <w:t xml:space="preserve">l review. </w:t>
            </w:r>
            <w:r w:rsidR="00B91C2A">
              <w:t>Criteria updated with grammatical and abbreviation changes</w:t>
            </w:r>
            <w:r w:rsidR="006E1F04">
              <w:t>. Background updated</w:t>
            </w:r>
            <w:r w:rsidR="00B91C2A">
              <w:t xml:space="preserve"> with no impa</w:t>
            </w:r>
            <w:r w:rsidR="006E1F04">
              <w:t xml:space="preserve">ct on criteria. </w:t>
            </w:r>
            <w:r w:rsidR="00307401">
              <w:t xml:space="preserve">Dashes </w:t>
            </w:r>
            <w:r w:rsidR="004C5367">
              <w:t xml:space="preserve">removed </w:t>
            </w:r>
            <w:r w:rsidR="008075DB">
              <w:t>from code ranges.</w:t>
            </w:r>
            <w:r w:rsidR="00B91C2A">
              <w:t xml:space="preserve"> </w:t>
            </w:r>
            <w:r w:rsidR="000678AD">
              <w:t>References reviewed and updated.</w:t>
            </w:r>
          </w:p>
        </w:tc>
        <w:tc>
          <w:tcPr>
            <w:tcW w:w="1468" w:type="dxa"/>
          </w:tcPr>
          <w:p w14:paraId="57E521DA" w14:textId="45BBAFAD" w:rsidR="004E1B54" w:rsidRDefault="006164D9" w:rsidP="005776FD">
            <w:pPr>
              <w:jc w:val="center"/>
              <w:cnfStyle w:val="000000000000" w:firstRow="0" w:lastRow="0" w:firstColumn="0" w:lastColumn="0" w:oddVBand="0" w:evenVBand="0" w:oddHBand="0" w:evenHBand="0" w:firstRowFirstColumn="0" w:firstRowLastColumn="0" w:lastRowFirstColumn="0" w:lastRowLastColumn="0"/>
            </w:pPr>
            <w:r>
              <w:t>08/22</w:t>
            </w:r>
          </w:p>
        </w:tc>
        <w:tc>
          <w:tcPr>
            <w:cnfStyle w:val="000010000000" w:firstRow="0" w:lastRow="0" w:firstColumn="0" w:lastColumn="0" w:oddVBand="1" w:evenVBand="0" w:oddHBand="0" w:evenHBand="0" w:firstRowFirstColumn="0" w:firstRowLastColumn="0" w:lastRowFirstColumn="0" w:lastRowLastColumn="0"/>
            <w:tcW w:w="1260" w:type="dxa"/>
          </w:tcPr>
          <w:p w14:paraId="0C507B12" w14:textId="0941B876" w:rsidR="004E1B54" w:rsidRDefault="002D2F74" w:rsidP="00857C10">
            <w:pPr>
              <w:jc w:val="center"/>
            </w:pPr>
            <w:r>
              <w:t>08/22</w:t>
            </w:r>
          </w:p>
        </w:tc>
      </w:tr>
      <w:tr w:rsidR="00CB62DC" w14:paraId="0CBF406E" w14:textId="77777777" w:rsidTr="00342C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20" w:type="dxa"/>
          </w:tcPr>
          <w:p w14:paraId="2D98B905" w14:textId="61E1F340" w:rsidR="00CB62DC" w:rsidRDefault="00CB62DC" w:rsidP="000F5247">
            <w:r>
              <w:t>Annual review</w:t>
            </w:r>
            <w:r w:rsidR="00EE4D95">
              <w:t>.</w:t>
            </w:r>
            <w:r w:rsidR="00CB0E21">
              <w:t xml:space="preserve"> ICD</w:t>
            </w:r>
            <w:r w:rsidR="00210A54">
              <w:t>-</w:t>
            </w:r>
            <w:r w:rsidR="00CB0E21">
              <w:t xml:space="preserve">10 </w:t>
            </w:r>
            <w:r w:rsidR="008A671C">
              <w:t>Code table removed.</w:t>
            </w:r>
            <w:r w:rsidR="00C103C8">
              <w:t xml:space="preserve"> </w:t>
            </w:r>
            <w:r w:rsidR="00AE7E96">
              <w:t>Mi</w:t>
            </w:r>
            <w:r w:rsidR="00210A54">
              <w:t>nor</w:t>
            </w:r>
            <w:r w:rsidR="001D24BC">
              <w:t xml:space="preserve"> </w:t>
            </w:r>
            <w:r w:rsidR="00AE7E96">
              <w:t>edits with no clinical significance.</w:t>
            </w:r>
            <w:r w:rsidR="002A680E">
              <w:t xml:space="preserve"> References reviewed and updated. Reviewed by </w:t>
            </w:r>
            <w:proofErr w:type="gramStart"/>
            <w:r w:rsidR="002A680E">
              <w:t>internal</w:t>
            </w:r>
            <w:proofErr w:type="gramEnd"/>
            <w:r w:rsidR="002A680E">
              <w:t xml:space="preserve"> specialist.</w:t>
            </w:r>
          </w:p>
        </w:tc>
        <w:tc>
          <w:tcPr>
            <w:tcW w:w="1468" w:type="dxa"/>
          </w:tcPr>
          <w:p w14:paraId="56FEC85D" w14:textId="55F88881" w:rsidR="00CB62DC" w:rsidRDefault="002A680E" w:rsidP="005776FD">
            <w:pPr>
              <w:jc w:val="center"/>
              <w:cnfStyle w:val="000000100000" w:firstRow="0" w:lastRow="0" w:firstColumn="0" w:lastColumn="0" w:oddVBand="0" w:evenVBand="0" w:oddHBand="1" w:evenHBand="0" w:firstRowFirstColumn="0" w:firstRowLastColumn="0" w:lastRowFirstColumn="0" w:lastRowLastColumn="0"/>
            </w:pPr>
            <w:r>
              <w:t>08/23</w:t>
            </w:r>
          </w:p>
        </w:tc>
        <w:tc>
          <w:tcPr>
            <w:cnfStyle w:val="000010000000" w:firstRow="0" w:lastRow="0" w:firstColumn="0" w:lastColumn="0" w:oddVBand="1" w:evenVBand="0" w:oddHBand="0" w:evenHBand="0" w:firstRowFirstColumn="0" w:firstRowLastColumn="0" w:lastRowFirstColumn="0" w:lastRowLastColumn="0"/>
            <w:tcW w:w="1260" w:type="dxa"/>
          </w:tcPr>
          <w:p w14:paraId="07596D35" w14:textId="53D6E3E4" w:rsidR="00CB62DC" w:rsidRDefault="00447FBA" w:rsidP="00857C10">
            <w:pPr>
              <w:jc w:val="center"/>
            </w:pPr>
            <w:r>
              <w:t>08/23</w:t>
            </w:r>
          </w:p>
        </w:tc>
      </w:tr>
      <w:tr w:rsidR="002974AA" w14:paraId="73273004" w14:textId="77777777" w:rsidTr="00342C7E">
        <w:tc>
          <w:tcPr>
            <w:cnfStyle w:val="000010000000" w:firstRow="0" w:lastRow="0" w:firstColumn="0" w:lastColumn="0" w:oddVBand="1" w:evenVBand="0" w:oddHBand="0" w:evenHBand="0" w:firstRowFirstColumn="0" w:firstRowLastColumn="0" w:lastRowFirstColumn="0" w:lastRowLastColumn="0"/>
            <w:tcW w:w="6920" w:type="dxa"/>
          </w:tcPr>
          <w:p w14:paraId="325A15B1" w14:textId="6CFCBAA4" w:rsidR="002974AA" w:rsidRDefault="002974AA" w:rsidP="000F5247">
            <w:r>
              <w:t>Annual review.</w:t>
            </w:r>
            <w:r w:rsidR="00E52842">
              <w:t xml:space="preserve"> In I.B.4.</w:t>
            </w:r>
            <w:r w:rsidR="006C0289">
              <w:t xml:space="preserve">a. and </w:t>
            </w:r>
            <w:r w:rsidR="00E52842">
              <w:t>c</w:t>
            </w:r>
            <w:r w:rsidR="006C0289">
              <w:t>.</w:t>
            </w:r>
            <w:r w:rsidR="00E52842">
              <w:t xml:space="preserve"> and II.B.5.</w:t>
            </w:r>
            <w:r w:rsidR="006C0289">
              <w:t xml:space="preserve">a. and </w:t>
            </w:r>
            <w:r w:rsidR="00E52842">
              <w:t xml:space="preserve">c. changed duration from six weeks to four weeks. </w:t>
            </w:r>
            <w:r w:rsidR="00E2233C">
              <w:t xml:space="preserve">Added Table 1 to give examples of particulate and non-particulate steroids. </w:t>
            </w:r>
            <w:r w:rsidR="00E52842">
              <w:t xml:space="preserve">References reviewed and updated. Reviewed by </w:t>
            </w:r>
            <w:proofErr w:type="gramStart"/>
            <w:r w:rsidR="00E52842">
              <w:t>external</w:t>
            </w:r>
            <w:proofErr w:type="gramEnd"/>
            <w:r w:rsidR="00E52842">
              <w:t xml:space="preserve"> specialist.</w:t>
            </w:r>
          </w:p>
        </w:tc>
        <w:tc>
          <w:tcPr>
            <w:tcW w:w="1468" w:type="dxa"/>
          </w:tcPr>
          <w:p w14:paraId="44FF0556" w14:textId="343F10BC" w:rsidR="002974AA" w:rsidRDefault="002974AA" w:rsidP="005776FD">
            <w:pPr>
              <w:jc w:val="center"/>
              <w:cnfStyle w:val="000000000000" w:firstRow="0" w:lastRow="0" w:firstColumn="0" w:lastColumn="0" w:oddVBand="0" w:evenVBand="0" w:oddHBand="0" w:evenHBand="0" w:firstRowFirstColumn="0" w:firstRowLastColumn="0" w:lastRowFirstColumn="0" w:lastRowLastColumn="0"/>
            </w:pPr>
            <w:r>
              <w:t>07/24</w:t>
            </w:r>
          </w:p>
        </w:tc>
        <w:tc>
          <w:tcPr>
            <w:cnfStyle w:val="000010000000" w:firstRow="0" w:lastRow="0" w:firstColumn="0" w:lastColumn="0" w:oddVBand="1" w:evenVBand="0" w:oddHBand="0" w:evenHBand="0" w:firstRowFirstColumn="0" w:firstRowLastColumn="0" w:lastRowFirstColumn="0" w:lastRowLastColumn="0"/>
            <w:tcW w:w="1260" w:type="dxa"/>
          </w:tcPr>
          <w:p w14:paraId="067C8C83" w14:textId="7EC35A0E" w:rsidR="002974AA" w:rsidRDefault="00DD3A5F" w:rsidP="00857C10">
            <w:pPr>
              <w:jc w:val="center"/>
            </w:pPr>
            <w:r>
              <w:t>07/24</w:t>
            </w:r>
          </w:p>
        </w:tc>
      </w:tr>
      <w:tr w:rsidR="005850A4" w14:paraId="3C1D4614" w14:textId="77777777" w:rsidTr="00342C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20" w:type="dxa"/>
          </w:tcPr>
          <w:p w14:paraId="4928F56E" w14:textId="77777777" w:rsidR="00145334" w:rsidRPr="00145334" w:rsidRDefault="005850A4" w:rsidP="00145334">
            <w:r>
              <w:t>Annual review.</w:t>
            </w:r>
            <w:r w:rsidR="00F128D2">
              <w:t xml:space="preserve"> </w:t>
            </w:r>
            <w:r w:rsidR="00145334" w:rsidRPr="00145334">
              <w:t xml:space="preserve">Added </w:t>
            </w:r>
            <w:proofErr w:type="gramStart"/>
            <w:r w:rsidR="00145334" w:rsidRPr="00145334">
              <w:t>note</w:t>
            </w:r>
            <w:proofErr w:type="gramEnd"/>
            <w:r w:rsidR="00145334" w:rsidRPr="00145334">
              <w:t xml:space="preserve"> in Description regarding policy for caudal or interlaminar epidural steroid injections. Removed anticoagulation therapy requirement in Criteria and added anticoagulation therapy as a note in Criteria. Updated Criteria II.D.3. from two months to three months regarding relief and functional improvement. Removed Criteria II.D.4. regarding length of time since last transforaminal epidural steroid injection (TFESI).</w:t>
            </w:r>
          </w:p>
          <w:p w14:paraId="30436475" w14:textId="51DA81C3" w:rsidR="005850A4" w:rsidRDefault="00F128D2" w:rsidP="000F5247">
            <w:r>
              <w:t xml:space="preserve">Coding and descriptions reviewed. References reviewed and updated. </w:t>
            </w:r>
            <w:r w:rsidR="001E5074">
              <w:t xml:space="preserve">Reviewed by internal specialist. </w:t>
            </w:r>
          </w:p>
        </w:tc>
        <w:tc>
          <w:tcPr>
            <w:tcW w:w="1468" w:type="dxa"/>
          </w:tcPr>
          <w:p w14:paraId="2471B645" w14:textId="528F7D87" w:rsidR="005850A4" w:rsidRDefault="005850A4" w:rsidP="005776FD">
            <w:pPr>
              <w:jc w:val="center"/>
              <w:cnfStyle w:val="000000100000" w:firstRow="0" w:lastRow="0" w:firstColumn="0" w:lastColumn="0" w:oddVBand="0" w:evenVBand="0" w:oddHBand="1" w:evenHBand="0" w:firstRowFirstColumn="0" w:firstRowLastColumn="0" w:lastRowFirstColumn="0" w:lastRowLastColumn="0"/>
            </w:pPr>
            <w:r>
              <w:t>07/25</w:t>
            </w:r>
          </w:p>
        </w:tc>
        <w:tc>
          <w:tcPr>
            <w:cnfStyle w:val="000010000000" w:firstRow="0" w:lastRow="0" w:firstColumn="0" w:lastColumn="0" w:oddVBand="1" w:evenVBand="0" w:oddHBand="0" w:evenHBand="0" w:firstRowFirstColumn="0" w:firstRowLastColumn="0" w:lastRowFirstColumn="0" w:lastRowLastColumn="0"/>
            <w:tcW w:w="1260" w:type="dxa"/>
          </w:tcPr>
          <w:p w14:paraId="396A3FC5" w14:textId="30E27F9F" w:rsidR="005850A4" w:rsidRDefault="001F04DE" w:rsidP="00857C10">
            <w:pPr>
              <w:jc w:val="center"/>
            </w:pPr>
            <w:r>
              <w:t>07/25</w:t>
            </w:r>
          </w:p>
        </w:tc>
      </w:tr>
    </w:tbl>
    <w:p w14:paraId="06F15EE0" w14:textId="77777777" w:rsidR="00521D17" w:rsidRDefault="00521D17" w:rsidP="00963062">
      <w:pPr>
        <w:pStyle w:val="Heading3"/>
        <w:sectPr w:rsidR="00521D17" w:rsidSect="00CB63DD">
          <w:type w:val="continuous"/>
          <w:pgSz w:w="12240" w:h="15840" w:code="1"/>
          <w:pgMar w:top="1440" w:right="1440" w:bottom="1440" w:left="1440" w:header="576" w:footer="288" w:gutter="0"/>
          <w:cols w:space="720"/>
          <w:titlePg/>
          <w:docGrid w:linePitch="360"/>
        </w:sectPr>
      </w:pPr>
    </w:p>
    <w:p w14:paraId="35E6E5A5" w14:textId="35408314" w:rsidR="00963062" w:rsidRPr="00521D17" w:rsidRDefault="003F3D44" w:rsidP="00521D17">
      <w:pPr>
        <w:pStyle w:val="Heading1"/>
        <w:rPr>
          <w:sz w:val="24"/>
        </w:rPr>
      </w:pPr>
      <w:r w:rsidRPr="00521D17">
        <w:rPr>
          <w:sz w:val="24"/>
        </w:rPr>
        <w:t>References</w:t>
      </w:r>
    </w:p>
    <w:p w14:paraId="2F1E64B5" w14:textId="1C263329" w:rsidR="00B83DC3" w:rsidRPr="00940118" w:rsidRDefault="00B83DC3" w:rsidP="0021468C">
      <w:pPr>
        <w:pStyle w:val="ListParagraph"/>
        <w:numPr>
          <w:ilvl w:val="0"/>
          <w:numId w:val="21"/>
        </w:numPr>
      </w:pPr>
      <w:bookmarkStart w:id="8" w:name="_Hlk172795962"/>
      <w:r w:rsidRPr="00940118">
        <w:t xml:space="preserve">Bicket MC, Benzon HT, Cohen SP. </w:t>
      </w:r>
      <w:r w:rsidR="00805155" w:rsidRPr="00940118">
        <w:t>Transforaminal Epidural Steroid Injections and Sel</w:t>
      </w:r>
      <w:r w:rsidR="00BC34E2" w:rsidRPr="00940118">
        <w:t xml:space="preserve">ective Nerve Root Blocks. In: </w:t>
      </w:r>
      <w:r w:rsidRPr="00940118">
        <w:t xml:space="preserve">Essentials of pain medicine (Fourth Edition). Chapter 63 –Elsevier. </w:t>
      </w:r>
      <w:r w:rsidRPr="00940118">
        <w:rPr>
          <w:bCs/>
        </w:rPr>
        <w:t>2018, p. 573</w:t>
      </w:r>
      <w:r w:rsidR="00BF2F7D" w:rsidRPr="00940118">
        <w:rPr>
          <w:bCs/>
        </w:rPr>
        <w:t xml:space="preserve"> to </w:t>
      </w:r>
      <w:r w:rsidRPr="00940118">
        <w:rPr>
          <w:bCs/>
        </w:rPr>
        <w:t>584.e2</w:t>
      </w:r>
      <w:r w:rsidR="00805155" w:rsidRPr="00940118">
        <w:rPr>
          <w:bCs/>
        </w:rPr>
        <w:t>.</w:t>
      </w:r>
      <w:r w:rsidR="00441E1F" w:rsidRPr="00940118">
        <w:t xml:space="preserve"> </w:t>
      </w:r>
      <w:hyperlink r:id="rId17" w:history="1">
        <w:r w:rsidR="0021468C" w:rsidRPr="00940118">
          <w:rPr>
            <w:rStyle w:val="Hyperlink"/>
            <w:bCs/>
          </w:rPr>
          <w:t>https://doi.org/10.1016/B978-0-323-40196-8.00063-2</w:t>
        </w:r>
      </w:hyperlink>
      <w:r w:rsidR="0021468C" w:rsidRPr="00940118">
        <w:rPr>
          <w:bCs/>
        </w:rPr>
        <w:t xml:space="preserve">. Accessed </w:t>
      </w:r>
      <w:r w:rsidR="005D48CD" w:rsidRPr="00940118">
        <w:rPr>
          <w:bCs/>
        </w:rPr>
        <w:t xml:space="preserve">June </w:t>
      </w:r>
      <w:r w:rsidR="0070775E" w:rsidRPr="00940118">
        <w:rPr>
          <w:bCs/>
        </w:rPr>
        <w:t>11</w:t>
      </w:r>
      <w:r w:rsidR="005D48CD" w:rsidRPr="00940118">
        <w:rPr>
          <w:bCs/>
        </w:rPr>
        <w:t>, 202</w:t>
      </w:r>
      <w:r w:rsidR="0070775E" w:rsidRPr="00940118">
        <w:rPr>
          <w:bCs/>
        </w:rPr>
        <w:t>5</w:t>
      </w:r>
      <w:r w:rsidR="00B3561E" w:rsidRPr="00940118">
        <w:rPr>
          <w:bCs/>
        </w:rPr>
        <w:t>.</w:t>
      </w:r>
    </w:p>
    <w:p w14:paraId="69CC01BC" w14:textId="5C73EB75" w:rsidR="006E3D87" w:rsidRPr="00940118" w:rsidRDefault="002E7DD1" w:rsidP="0021468C">
      <w:pPr>
        <w:pStyle w:val="ListParagraph"/>
        <w:numPr>
          <w:ilvl w:val="0"/>
          <w:numId w:val="21"/>
        </w:numPr>
      </w:pPr>
      <w:r w:rsidRPr="00940118">
        <w:t>Chou R, Hashimoto R, Friedly J, et al. Epidural Corticosteroid Injections for Radiculopathy and Spinal Stenosis: A Systematic Review and Meta-analysis. </w:t>
      </w:r>
      <w:r w:rsidRPr="00940118">
        <w:rPr>
          <w:i/>
        </w:rPr>
        <w:t>Ann Intern Med</w:t>
      </w:r>
      <w:r w:rsidRPr="00940118">
        <w:t>. 2015;163(5):373 to 381. doi:10.7326/M15-0934</w:t>
      </w:r>
    </w:p>
    <w:p w14:paraId="674B3BDA" w14:textId="04F33F63" w:rsidR="00CA2C1B" w:rsidRPr="00940118" w:rsidRDefault="00D260A0" w:rsidP="00B83DC3">
      <w:pPr>
        <w:pStyle w:val="ListParagraph"/>
        <w:numPr>
          <w:ilvl w:val="0"/>
          <w:numId w:val="21"/>
        </w:numPr>
      </w:pPr>
      <w:r w:rsidRPr="00940118">
        <w:t>Zhai J, Zhang L, Li M, et al. Epidural injection with or without steroid in managing chronic low back and lower extremity pain: a</w:t>
      </w:r>
      <w:r w:rsidR="00BC34E2" w:rsidRPr="00940118">
        <w:t xml:space="preserve"> </w:t>
      </w:r>
      <w:r w:rsidRPr="00940118">
        <w:t>meta-analysis of ten randomized controlled trials. </w:t>
      </w:r>
      <w:r w:rsidRPr="00940118">
        <w:rPr>
          <w:i/>
        </w:rPr>
        <w:t>Int J Clin Exp Med</w:t>
      </w:r>
      <w:r w:rsidRPr="00940118">
        <w:t>. 2015;8(6):8304</w:t>
      </w:r>
      <w:r w:rsidR="00BF2F7D" w:rsidRPr="00940118">
        <w:t xml:space="preserve"> to </w:t>
      </w:r>
      <w:r w:rsidRPr="00940118">
        <w:t>8316. Published 2015 Jun 15.</w:t>
      </w:r>
    </w:p>
    <w:p w14:paraId="39D48052" w14:textId="02D359A3" w:rsidR="00D260A0" w:rsidRPr="00940118" w:rsidRDefault="00D260A0" w:rsidP="00624811">
      <w:pPr>
        <w:pStyle w:val="ListParagraph"/>
        <w:numPr>
          <w:ilvl w:val="0"/>
          <w:numId w:val="21"/>
        </w:numPr>
      </w:pPr>
      <w:proofErr w:type="spellStart"/>
      <w:r w:rsidRPr="00940118">
        <w:t>Manchikanti</w:t>
      </w:r>
      <w:proofErr w:type="spellEnd"/>
      <w:r w:rsidRPr="00940118">
        <w:t xml:space="preserve"> L, Singh V, </w:t>
      </w:r>
      <w:proofErr w:type="spellStart"/>
      <w:r w:rsidRPr="00940118">
        <w:t>Pampati</w:t>
      </w:r>
      <w:proofErr w:type="spellEnd"/>
      <w:r w:rsidRPr="00940118">
        <w:t xml:space="preserve"> V, Falco FJ, Hirsch JA. Comparison of the efficacy of caudal, interlaminar, and transforaminal epidural injections in managing lumbar disc herniation: is one method superior to the other?</w:t>
      </w:r>
      <w:r w:rsidR="00D974D4" w:rsidRPr="00940118">
        <w:t>.</w:t>
      </w:r>
      <w:r w:rsidRPr="00940118">
        <w:t> </w:t>
      </w:r>
      <w:r w:rsidRPr="00940118">
        <w:rPr>
          <w:i/>
        </w:rPr>
        <w:t>Korean J Pain</w:t>
      </w:r>
      <w:r w:rsidRPr="00940118">
        <w:t>. 2015;28(1):11</w:t>
      </w:r>
      <w:r w:rsidR="00BF2F7D" w:rsidRPr="00940118">
        <w:t xml:space="preserve"> to </w:t>
      </w:r>
      <w:r w:rsidR="006C5461" w:rsidRPr="00940118">
        <w:t xml:space="preserve">21. </w:t>
      </w:r>
      <w:proofErr w:type="spellStart"/>
      <w:r w:rsidR="00174ADD" w:rsidRPr="00940118">
        <w:t>d</w:t>
      </w:r>
      <w:r w:rsidR="00B46B4B" w:rsidRPr="00940118">
        <w:t>oi</w:t>
      </w:r>
      <w:proofErr w:type="spellEnd"/>
      <w:r w:rsidR="00B46B4B" w:rsidRPr="00940118">
        <w:t>: 10.3344/</w:t>
      </w:r>
      <w:proofErr w:type="spellStart"/>
      <w:r w:rsidR="00B46B4B" w:rsidRPr="00940118">
        <w:t>kjp.2015.28.1.11</w:t>
      </w:r>
      <w:proofErr w:type="spellEnd"/>
      <w:r w:rsidR="00426A25" w:rsidRPr="00940118">
        <w:t xml:space="preserve"> </w:t>
      </w:r>
      <w:r w:rsidRPr="00940118">
        <w:t xml:space="preserve"> </w:t>
      </w:r>
    </w:p>
    <w:p w14:paraId="6AF7D542" w14:textId="37D75EAB" w:rsidR="00CA2C1B" w:rsidRPr="00940118" w:rsidRDefault="00CA2C1B" w:rsidP="00DE1083">
      <w:pPr>
        <w:pStyle w:val="ListParagraph"/>
        <w:numPr>
          <w:ilvl w:val="0"/>
          <w:numId w:val="21"/>
        </w:numPr>
      </w:pPr>
      <w:r w:rsidRPr="00940118">
        <w:t>American College of Occupational and Environmental Medicine</w:t>
      </w:r>
      <w:r w:rsidR="000A481D" w:rsidRPr="00940118">
        <w:t>.</w:t>
      </w:r>
      <w:r w:rsidRPr="00940118">
        <w:t xml:space="preserve"> Chronic Pain</w:t>
      </w:r>
      <w:r w:rsidR="000A7488" w:rsidRPr="00940118">
        <w:t xml:space="preserve"> Guideline</w:t>
      </w:r>
      <w:r w:rsidRPr="00940118">
        <w:t>.</w:t>
      </w:r>
      <w:r w:rsidR="00DE1083" w:rsidRPr="00940118">
        <w:t xml:space="preserve"> </w:t>
      </w:r>
      <w:hyperlink r:id="rId18" w:history="1">
        <w:r w:rsidR="00DE1083" w:rsidRPr="00940118">
          <w:rPr>
            <w:rStyle w:val="Hyperlink"/>
          </w:rPr>
          <w:t>https://www.dir.ca.gov/dwc/MTUS/ACOEM-Guidelines/Chronic-Pain-Guideline.pdf</w:t>
        </w:r>
      </w:hyperlink>
      <w:r w:rsidRPr="00940118">
        <w:t xml:space="preserve"> </w:t>
      </w:r>
      <w:r w:rsidR="00BC34E2" w:rsidRPr="00940118">
        <w:t xml:space="preserve">Published May 15, </w:t>
      </w:r>
      <w:r w:rsidR="00DE64AD" w:rsidRPr="00940118">
        <w:t>2017</w:t>
      </w:r>
      <w:r w:rsidR="00BC34E2" w:rsidRPr="00940118">
        <w:t xml:space="preserve">. </w:t>
      </w:r>
      <w:r w:rsidR="000A7488" w:rsidRPr="00940118">
        <w:t>Accessed</w:t>
      </w:r>
      <w:r w:rsidR="00733035" w:rsidRPr="00940118">
        <w:t xml:space="preserve"> </w:t>
      </w:r>
      <w:r w:rsidR="00C108CF" w:rsidRPr="00940118">
        <w:t>June</w:t>
      </w:r>
      <w:r w:rsidR="005A50D3" w:rsidRPr="00940118">
        <w:t xml:space="preserve"> 06, 2025</w:t>
      </w:r>
      <w:r w:rsidR="00733035" w:rsidRPr="00940118">
        <w:t>.</w:t>
      </w:r>
      <w:r w:rsidR="00DE64AD" w:rsidRPr="00940118">
        <w:t xml:space="preserve"> </w:t>
      </w:r>
    </w:p>
    <w:p w14:paraId="40BD482D" w14:textId="5BD40058" w:rsidR="00CA2C1B" w:rsidRPr="00940118" w:rsidRDefault="005D2564" w:rsidP="000C05C6">
      <w:pPr>
        <w:pStyle w:val="ListParagraph"/>
        <w:numPr>
          <w:ilvl w:val="0"/>
          <w:numId w:val="21"/>
        </w:numPr>
      </w:pPr>
      <w:r w:rsidRPr="00940118">
        <w:lastRenderedPageBreak/>
        <w:t xml:space="preserve">Chou R, Hashimoto R, Friedly J, et al. </w:t>
      </w:r>
      <w:r w:rsidRPr="00940118">
        <w:rPr>
          <w:i/>
        </w:rPr>
        <w:t>Pain Management Injection Therapies for Low Back Pain</w:t>
      </w:r>
      <w:r w:rsidRPr="00940118">
        <w:t xml:space="preserve">. Rockville (MD): Agency for Healthcare Research and </w:t>
      </w:r>
      <w:proofErr w:type="gramStart"/>
      <w:r w:rsidRPr="00940118">
        <w:t>Quality(</w:t>
      </w:r>
      <w:proofErr w:type="gramEnd"/>
      <w:r w:rsidRPr="00940118">
        <w:t xml:space="preserve">US); 2015. </w:t>
      </w:r>
    </w:p>
    <w:p w14:paraId="3886C249" w14:textId="1EDC9433" w:rsidR="00CA2C1B" w:rsidRPr="00940118" w:rsidRDefault="00CA2C1B" w:rsidP="00B83DC3">
      <w:pPr>
        <w:pStyle w:val="ListParagraph"/>
        <w:numPr>
          <w:ilvl w:val="0"/>
          <w:numId w:val="21"/>
        </w:numPr>
      </w:pPr>
      <w:r w:rsidRPr="00940118">
        <w:t>Chou R</w:t>
      </w:r>
      <w:r w:rsidR="00CA35CD" w:rsidRPr="00940118">
        <w:t xml:space="preserve">, Cohen </w:t>
      </w:r>
      <w:r w:rsidR="001F769E" w:rsidRPr="00940118">
        <w:t>SP</w:t>
      </w:r>
      <w:r w:rsidRPr="00940118">
        <w:t>. Subacute and chronic low back pain: Nonsurgical interventional treatment. UpToDate</w:t>
      </w:r>
      <w:r w:rsidR="005D1AD4" w:rsidRPr="00940118">
        <w:t xml:space="preserve">. </w:t>
      </w:r>
      <w:hyperlink r:id="rId19" w:history="1">
        <w:r w:rsidR="005D1AD4" w:rsidRPr="00940118">
          <w:rPr>
            <w:rStyle w:val="Hyperlink"/>
          </w:rPr>
          <w:t>www.uptodate.com</w:t>
        </w:r>
      </w:hyperlink>
      <w:r w:rsidR="005D1AD4" w:rsidRPr="00940118">
        <w:rPr>
          <w:rFonts w:ascii="Calibri" w:hAnsi="Calibri" w:cs="Calibri"/>
          <w:color w:val="0070C0"/>
          <w:sz w:val="22"/>
          <w:szCs w:val="22"/>
        </w:rPr>
        <w:t xml:space="preserve">. </w:t>
      </w:r>
      <w:r w:rsidR="005D1AD4" w:rsidRPr="00940118">
        <w:t xml:space="preserve">Published </w:t>
      </w:r>
      <w:r w:rsidR="001F769E" w:rsidRPr="00940118">
        <w:t>April 29, 2025</w:t>
      </w:r>
      <w:r w:rsidR="006C5461" w:rsidRPr="00940118">
        <w:t>.</w:t>
      </w:r>
      <w:r w:rsidR="005D1AD4" w:rsidRPr="00940118">
        <w:t xml:space="preserve"> </w:t>
      </w:r>
      <w:r w:rsidRPr="00940118">
        <w:t xml:space="preserve">Accessed </w:t>
      </w:r>
      <w:r w:rsidR="00CE1BD2" w:rsidRPr="00940118">
        <w:t xml:space="preserve">June </w:t>
      </w:r>
      <w:r w:rsidR="001F769E" w:rsidRPr="00940118">
        <w:t>06, 2025</w:t>
      </w:r>
      <w:r w:rsidR="002940A7" w:rsidRPr="00940118">
        <w:t xml:space="preserve">. </w:t>
      </w:r>
    </w:p>
    <w:p w14:paraId="24D83F7D" w14:textId="0B02F587" w:rsidR="00CA2C1B" w:rsidRPr="00940118" w:rsidRDefault="00AF3691" w:rsidP="00624811">
      <w:pPr>
        <w:pStyle w:val="ListParagraph"/>
        <w:numPr>
          <w:ilvl w:val="0"/>
          <w:numId w:val="21"/>
        </w:numPr>
      </w:pPr>
      <w:r w:rsidRPr="00940118">
        <w:t>Chou R, Qaseem A, Snow V, et al. Diagnosis and treatment of low back pain: a joint clinical practice guideline from the American College of Physicians and the American Pain Society [published correction appears in Ann Intern Med. 2008 Feb 5;148(3):247</w:t>
      </w:r>
      <w:r w:rsidR="00BF2F7D" w:rsidRPr="00940118">
        <w:t xml:space="preserve"> to </w:t>
      </w:r>
      <w:r w:rsidRPr="00940118">
        <w:t>8</w:t>
      </w:r>
      <w:r w:rsidR="003B5C7E" w:rsidRPr="00940118">
        <w:t xml:space="preserve">. </w:t>
      </w:r>
      <w:proofErr w:type="spellStart"/>
      <w:r w:rsidR="003B5C7E" w:rsidRPr="00940118">
        <w:t>doi</w:t>
      </w:r>
      <w:proofErr w:type="spellEnd"/>
      <w:r w:rsidR="003B5C7E" w:rsidRPr="00940118">
        <w:t>: 10.7326/0003-4819-148-3-200802050-00020.</w:t>
      </w:r>
      <w:r w:rsidRPr="00940118">
        <w:t>]. </w:t>
      </w:r>
      <w:r w:rsidRPr="00940118">
        <w:rPr>
          <w:i/>
        </w:rPr>
        <w:t>Ann Intern Med</w:t>
      </w:r>
      <w:r w:rsidRPr="00940118">
        <w:t>. 2007;147(7):478</w:t>
      </w:r>
      <w:r w:rsidR="005D36A7" w:rsidRPr="00940118">
        <w:t xml:space="preserve"> to </w:t>
      </w:r>
      <w:r w:rsidRPr="00940118">
        <w:t xml:space="preserve">491. </w:t>
      </w:r>
      <w:proofErr w:type="spellStart"/>
      <w:r w:rsidR="00B46B4B" w:rsidRPr="00940118">
        <w:t>doi</w:t>
      </w:r>
      <w:proofErr w:type="spellEnd"/>
      <w:r w:rsidR="00B46B4B" w:rsidRPr="00940118">
        <w:t>: 10.7326/0003-4819-147-7-200710020-00006</w:t>
      </w:r>
      <w:r w:rsidR="00B46B4B" w:rsidRPr="00940118" w:rsidDel="00AF3691">
        <w:t xml:space="preserve"> </w:t>
      </w:r>
    </w:p>
    <w:p w14:paraId="5553274E" w14:textId="46CE622E" w:rsidR="00B46B4B" w:rsidRPr="00940118" w:rsidRDefault="00B46B4B" w:rsidP="00B83DC3">
      <w:pPr>
        <w:pStyle w:val="ListParagraph"/>
        <w:numPr>
          <w:ilvl w:val="0"/>
          <w:numId w:val="21"/>
        </w:numPr>
      </w:pPr>
      <w:r w:rsidRPr="00940118">
        <w:t xml:space="preserve">Chou R, Loeser JD, Owens DK, et al. Interventional therapies, surgery, and interdisciplinary rehabilitation for low back pain: an evidence-based clinical practice guideline from the American Pain Society. </w:t>
      </w:r>
      <w:r w:rsidRPr="00940118">
        <w:rPr>
          <w:i/>
        </w:rPr>
        <w:t>Spine (Phila Pa 1976)</w:t>
      </w:r>
      <w:r w:rsidRPr="00940118">
        <w:t>. 2009;34(10):1066</w:t>
      </w:r>
      <w:r w:rsidR="005D36A7" w:rsidRPr="00940118">
        <w:t xml:space="preserve"> to </w:t>
      </w:r>
      <w:r w:rsidRPr="00940118">
        <w:t>1077. doi:10.1097/BRS.0b013e3181a1390d</w:t>
      </w:r>
      <w:r w:rsidRPr="00940118" w:rsidDel="00B46B4B">
        <w:t xml:space="preserve"> </w:t>
      </w:r>
    </w:p>
    <w:p w14:paraId="55421437" w14:textId="2D4FA3D2" w:rsidR="00CA2C1B" w:rsidRPr="00940118" w:rsidRDefault="00CA2C1B" w:rsidP="00B46B4B">
      <w:pPr>
        <w:pStyle w:val="ListParagraph"/>
        <w:numPr>
          <w:ilvl w:val="0"/>
          <w:numId w:val="21"/>
        </w:numPr>
      </w:pPr>
      <w:proofErr w:type="spellStart"/>
      <w:r w:rsidRPr="00940118">
        <w:t>Heggeness</w:t>
      </w:r>
      <w:proofErr w:type="spellEnd"/>
      <w:r w:rsidRPr="00940118">
        <w:t xml:space="preserve"> MH. AAOS endorses back pain guidelines. </w:t>
      </w:r>
      <w:r w:rsidR="00B46B4B" w:rsidRPr="00940118">
        <w:t xml:space="preserve">American Academy of </w:t>
      </w:r>
      <w:proofErr w:type="spellStart"/>
      <w:r w:rsidR="00B46B4B" w:rsidRPr="00940118">
        <w:t>Orthopaedic</w:t>
      </w:r>
      <w:proofErr w:type="spellEnd"/>
      <w:r w:rsidR="00B46B4B" w:rsidRPr="00940118">
        <w:t xml:space="preserve"> Surgeons</w:t>
      </w:r>
      <w:r w:rsidRPr="00940118">
        <w:t xml:space="preserve">. </w:t>
      </w:r>
      <w:hyperlink r:id="rId20" w:history="1">
        <w:r w:rsidR="00B46B4B" w:rsidRPr="00940118">
          <w:rPr>
            <w:rStyle w:val="Hyperlink"/>
          </w:rPr>
          <w:t>https://www.mainegeneral.org/app/files/public/6460f387-09dc-4968-b162-eee6121a1497/aaosbackpainguidelines.pdf</w:t>
        </w:r>
      </w:hyperlink>
      <w:r w:rsidR="00B46B4B" w:rsidRPr="00940118">
        <w:t>. Published</w:t>
      </w:r>
      <w:r w:rsidRPr="00940118">
        <w:t xml:space="preserve"> </w:t>
      </w:r>
      <w:r w:rsidR="00B46B4B" w:rsidRPr="00940118">
        <w:t>September</w:t>
      </w:r>
      <w:r w:rsidRPr="00940118">
        <w:t xml:space="preserve"> 2010. </w:t>
      </w:r>
      <w:r w:rsidR="00B46B4B" w:rsidRPr="00940118">
        <w:t xml:space="preserve">Accessed </w:t>
      </w:r>
      <w:r w:rsidR="00113B6A" w:rsidRPr="00940118">
        <w:t xml:space="preserve">June </w:t>
      </w:r>
      <w:r w:rsidR="004A4BC0" w:rsidRPr="00940118">
        <w:t>20</w:t>
      </w:r>
      <w:r w:rsidR="00113B6A" w:rsidRPr="00940118">
        <w:t>, 202</w:t>
      </w:r>
      <w:r w:rsidR="004A4BC0" w:rsidRPr="00940118">
        <w:t>5</w:t>
      </w:r>
      <w:r w:rsidR="007F2E37" w:rsidRPr="00940118">
        <w:t>.</w:t>
      </w:r>
    </w:p>
    <w:p w14:paraId="630E72D2" w14:textId="1A254018" w:rsidR="00CA2C1B" w:rsidRPr="00624811" w:rsidRDefault="00A55A8D" w:rsidP="00B83DC3">
      <w:pPr>
        <w:pStyle w:val="ListParagraph"/>
        <w:numPr>
          <w:ilvl w:val="0"/>
          <w:numId w:val="21"/>
        </w:numPr>
      </w:pPr>
      <w:proofErr w:type="spellStart"/>
      <w:r w:rsidRPr="00342C7E">
        <w:t>Manchikanti</w:t>
      </w:r>
      <w:proofErr w:type="spellEnd"/>
      <w:r w:rsidRPr="00342C7E">
        <w:t xml:space="preserve"> L, Datta S, Derby R, et al. A critical review of the American Pain Society clinical practice guidelines for interventional techniques: part 1. Diagnostic interventions.</w:t>
      </w:r>
      <w:r w:rsidRPr="00342C7E">
        <w:rPr>
          <w:rFonts w:ascii="Segoe UI" w:hAnsi="Segoe UI" w:cs="Segoe UI"/>
          <w:shd w:val="clear" w:color="auto" w:fill="FFFFFF"/>
        </w:rPr>
        <w:t> </w:t>
      </w:r>
      <w:r w:rsidRPr="00342C7E">
        <w:rPr>
          <w:i/>
          <w:iCs/>
          <w:shd w:val="clear" w:color="auto" w:fill="FFFFFF"/>
        </w:rPr>
        <w:t>Pain Physician</w:t>
      </w:r>
      <w:r w:rsidRPr="00342C7E">
        <w:rPr>
          <w:rFonts w:ascii="Segoe UI" w:hAnsi="Segoe UI" w:cs="Segoe UI"/>
          <w:shd w:val="clear" w:color="auto" w:fill="FFFFFF"/>
        </w:rPr>
        <w:t xml:space="preserve">. </w:t>
      </w:r>
      <w:r w:rsidRPr="00342C7E">
        <w:t>2010;13(3</w:t>
      </w:r>
      <w:proofErr w:type="gramStart"/>
      <w:r w:rsidRPr="00342C7E">
        <w:t>):E</w:t>
      </w:r>
      <w:proofErr w:type="gramEnd"/>
      <w:r w:rsidRPr="00342C7E">
        <w:t>141</w:t>
      </w:r>
      <w:r w:rsidR="005D36A7">
        <w:t xml:space="preserve"> to </w:t>
      </w:r>
      <w:r w:rsidRPr="00342C7E">
        <w:t>E174.</w:t>
      </w:r>
      <w:r w:rsidR="00800225" w:rsidRPr="00800225">
        <w:rPr>
          <w:rFonts w:ascii="Segoe UI" w:hAnsi="Segoe UI" w:cs="Segoe UI"/>
          <w:color w:val="212121"/>
          <w:shd w:val="clear" w:color="auto" w:fill="FFFFFF"/>
        </w:rPr>
        <w:t xml:space="preserve"> </w:t>
      </w:r>
    </w:p>
    <w:p w14:paraId="3C57D142" w14:textId="22263315" w:rsidR="00CA2C1B" w:rsidRPr="00624811" w:rsidRDefault="003E701A" w:rsidP="00B83DC3">
      <w:pPr>
        <w:pStyle w:val="ListParagraph"/>
        <w:numPr>
          <w:ilvl w:val="0"/>
          <w:numId w:val="21"/>
        </w:numPr>
      </w:pPr>
      <w:proofErr w:type="spellStart"/>
      <w:r w:rsidRPr="00342C7E">
        <w:t>Manchikanti</w:t>
      </w:r>
      <w:proofErr w:type="spellEnd"/>
      <w:r w:rsidRPr="00342C7E">
        <w:t xml:space="preserve"> L, Datta S, Gupta S, et al. A critical review of the American Pain Society clinical practice guidelines for interventional techniques: part 2. Therapeutic interventions</w:t>
      </w:r>
      <w:r w:rsidRPr="00342C7E">
        <w:rPr>
          <w:rFonts w:ascii="Segoe UI" w:hAnsi="Segoe UI" w:cs="Segoe UI"/>
          <w:shd w:val="clear" w:color="auto" w:fill="FFFFFF"/>
        </w:rPr>
        <w:t>. </w:t>
      </w:r>
      <w:r w:rsidRPr="00342C7E">
        <w:rPr>
          <w:i/>
          <w:iCs/>
          <w:shd w:val="clear" w:color="auto" w:fill="FFFFFF"/>
        </w:rPr>
        <w:t>Pain Physician</w:t>
      </w:r>
      <w:r w:rsidRPr="00342C7E">
        <w:rPr>
          <w:rFonts w:ascii="Segoe UI" w:hAnsi="Segoe UI" w:cs="Segoe UI"/>
          <w:shd w:val="clear" w:color="auto" w:fill="FFFFFF"/>
        </w:rPr>
        <w:t xml:space="preserve">. </w:t>
      </w:r>
      <w:r w:rsidRPr="00342C7E">
        <w:t>2010;13(4</w:t>
      </w:r>
      <w:proofErr w:type="gramStart"/>
      <w:r w:rsidRPr="00342C7E">
        <w:t>):E</w:t>
      </w:r>
      <w:proofErr w:type="gramEnd"/>
      <w:r w:rsidRPr="00342C7E">
        <w:t>215</w:t>
      </w:r>
      <w:r w:rsidR="005D36A7">
        <w:t xml:space="preserve"> to </w:t>
      </w:r>
      <w:r w:rsidRPr="00342C7E">
        <w:t>E264.</w:t>
      </w:r>
      <w:r w:rsidR="00E3524D">
        <w:t xml:space="preserve"> </w:t>
      </w:r>
    </w:p>
    <w:p w14:paraId="1003AB32" w14:textId="2E826042" w:rsidR="00CA2C1B" w:rsidRPr="00624811" w:rsidRDefault="00F56007" w:rsidP="00B83DC3">
      <w:pPr>
        <w:pStyle w:val="ListParagraph"/>
        <w:numPr>
          <w:ilvl w:val="0"/>
          <w:numId w:val="21"/>
        </w:numPr>
      </w:pPr>
      <w:proofErr w:type="spellStart"/>
      <w:r w:rsidRPr="00342C7E">
        <w:t>Manchikanti</w:t>
      </w:r>
      <w:proofErr w:type="spellEnd"/>
      <w:r w:rsidRPr="00342C7E">
        <w:t xml:space="preserve"> L, Abdi S, Atluri S, et al. An update of comprehensive evidence-based guidelines for interventional techniques in chronic spinal pain. Part II: guidance and recommendations</w:t>
      </w:r>
      <w:r w:rsidRPr="00342C7E">
        <w:rPr>
          <w:rFonts w:ascii="Segoe UI" w:hAnsi="Segoe UI" w:cs="Segoe UI"/>
          <w:shd w:val="clear" w:color="auto" w:fill="FFFFFF"/>
        </w:rPr>
        <w:t>. </w:t>
      </w:r>
      <w:r w:rsidRPr="00342C7E">
        <w:rPr>
          <w:i/>
          <w:iCs/>
          <w:shd w:val="clear" w:color="auto" w:fill="FFFFFF"/>
        </w:rPr>
        <w:t>Pain Physician</w:t>
      </w:r>
      <w:r w:rsidRPr="00342C7E">
        <w:rPr>
          <w:rFonts w:ascii="Segoe UI" w:hAnsi="Segoe UI" w:cs="Segoe UI"/>
          <w:shd w:val="clear" w:color="auto" w:fill="FFFFFF"/>
        </w:rPr>
        <w:t xml:space="preserve">. </w:t>
      </w:r>
      <w:r w:rsidRPr="00342C7E">
        <w:t>2013;16(2 Suppl</w:t>
      </w:r>
      <w:proofErr w:type="gramStart"/>
      <w:r w:rsidRPr="00342C7E">
        <w:t>):S</w:t>
      </w:r>
      <w:proofErr w:type="gramEnd"/>
      <w:r w:rsidRPr="00342C7E">
        <w:t>49</w:t>
      </w:r>
      <w:r w:rsidR="005D36A7">
        <w:t xml:space="preserve"> to </w:t>
      </w:r>
      <w:r w:rsidRPr="00342C7E">
        <w:t>S283.</w:t>
      </w:r>
    </w:p>
    <w:p w14:paraId="77CB44F3" w14:textId="59A12C09" w:rsidR="00CA2C1B" w:rsidRPr="00624811" w:rsidRDefault="00F56007" w:rsidP="00B83DC3">
      <w:pPr>
        <w:pStyle w:val="ListParagraph"/>
        <w:numPr>
          <w:ilvl w:val="0"/>
          <w:numId w:val="21"/>
        </w:numPr>
      </w:pPr>
      <w:r w:rsidRPr="00342C7E">
        <w:t>Novak S, Nemeth WC. The basis for recommending repeating epidural steroid injections for radicular low back pain: a literature review</w:t>
      </w:r>
      <w:r w:rsidRPr="00342C7E">
        <w:rPr>
          <w:rFonts w:ascii="Segoe UI" w:hAnsi="Segoe UI" w:cs="Segoe UI"/>
          <w:shd w:val="clear" w:color="auto" w:fill="FFFFFF"/>
        </w:rPr>
        <w:t>. </w:t>
      </w:r>
      <w:r w:rsidRPr="00342C7E">
        <w:rPr>
          <w:i/>
          <w:iCs/>
          <w:shd w:val="clear" w:color="auto" w:fill="FFFFFF"/>
        </w:rPr>
        <w:t xml:space="preserve">Arch Phys Med </w:t>
      </w:r>
      <w:proofErr w:type="spellStart"/>
      <w:r w:rsidRPr="00342C7E">
        <w:rPr>
          <w:i/>
          <w:iCs/>
          <w:shd w:val="clear" w:color="auto" w:fill="FFFFFF"/>
        </w:rPr>
        <w:t>Rehabil</w:t>
      </w:r>
      <w:proofErr w:type="spellEnd"/>
      <w:r w:rsidRPr="00342C7E">
        <w:rPr>
          <w:rFonts w:ascii="Segoe UI" w:hAnsi="Segoe UI" w:cs="Segoe UI"/>
          <w:shd w:val="clear" w:color="auto" w:fill="FFFFFF"/>
        </w:rPr>
        <w:t xml:space="preserve">. </w:t>
      </w:r>
      <w:r w:rsidRPr="00342C7E">
        <w:t>2008;89(3):543</w:t>
      </w:r>
      <w:r w:rsidR="005D36A7">
        <w:t xml:space="preserve"> to </w:t>
      </w:r>
      <w:r w:rsidRPr="00342C7E">
        <w:t xml:space="preserve">552. </w:t>
      </w:r>
      <w:r w:rsidRPr="00624811">
        <w:t xml:space="preserve"> </w:t>
      </w:r>
      <w:proofErr w:type="gramStart"/>
      <w:r w:rsidR="00211F79" w:rsidRPr="00210A54">
        <w:rPr>
          <w:color w:val="212121"/>
          <w:shd w:val="clear" w:color="auto" w:fill="FFFFFF"/>
        </w:rPr>
        <w:t>doi:10.1016/j.apmr</w:t>
      </w:r>
      <w:proofErr w:type="gramEnd"/>
      <w:r w:rsidR="00211F79" w:rsidRPr="00210A54">
        <w:rPr>
          <w:color w:val="212121"/>
          <w:shd w:val="clear" w:color="auto" w:fill="FFFFFF"/>
        </w:rPr>
        <w:t>.2007.11.008</w:t>
      </w:r>
      <w:r w:rsidRPr="00624811">
        <w:t xml:space="preserve"> </w:t>
      </w:r>
    </w:p>
    <w:p w14:paraId="07ADE8E8" w14:textId="4CF7E2CF" w:rsidR="00CA2C1B" w:rsidRPr="00624811" w:rsidRDefault="00F274FC" w:rsidP="00B83DC3">
      <w:pPr>
        <w:pStyle w:val="ListParagraph"/>
        <w:numPr>
          <w:ilvl w:val="0"/>
          <w:numId w:val="21"/>
        </w:numPr>
      </w:pPr>
      <w:r w:rsidRPr="00F274FC">
        <w:t xml:space="preserve">Staal JB, de Bie R, de Vet HC, Hildebrandt J, </w:t>
      </w:r>
      <w:proofErr w:type="spellStart"/>
      <w:r w:rsidRPr="00F274FC">
        <w:t>Nelemans</w:t>
      </w:r>
      <w:proofErr w:type="spellEnd"/>
      <w:r w:rsidRPr="00F274FC">
        <w:t xml:space="preserve"> P. Injection therapy for subacute and chronic low-back pain. </w:t>
      </w:r>
      <w:r w:rsidRPr="00F274FC">
        <w:rPr>
          <w:i/>
          <w:iCs/>
        </w:rPr>
        <w:t>Cochrane Database Syst Rev</w:t>
      </w:r>
      <w:r w:rsidRPr="00F274FC">
        <w:t xml:space="preserve">. 2008;2008(3):CD001824. Published 2008 Jul 16. </w:t>
      </w:r>
      <w:proofErr w:type="gramStart"/>
      <w:r w:rsidRPr="00F274FC">
        <w:t>doi:10.1002/14651858.CD001824.pub3</w:t>
      </w:r>
      <w:proofErr w:type="gramEnd"/>
      <w:r>
        <w:t xml:space="preserve"> </w:t>
      </w:r>
    </w:p>
    <w:p w14:paraId="1D6BB295" w14:textId="72FE7ACE" w:rsidR="00CA2C1B" w:rsidRPr="00940118" w:rsidRDefault="00F56007" w:rsidP="00B83DC3">
      <w:pPr>
        <w:pStyle w:val="ListParagraph"/>
        <w:numPr>
          <w:ilvl w:val="0"/>
          <w:numId w:val="21"/>
        </w:numPr>
      </w:pPr>
      <w:proofErr w:type="spellStart"/>
      <w:r w:rsidRPr="00342C7E">
        <w:t>Vorobeychik</w:t>
      </w:r>
      <w:proofErr w:type="spellEnd"/>
      <w:r w:rsidRPr="00342C7E">
        <w:t xml:space="preserve"> Y, Sharma A, Smith CC, et al. The Effectiveness and Risks of Non-Image-Guided Lumbar Interlaminar Epidural Steroid Injections: A Systematic Review with Comprehensive Analysis of the Published Data</w:t>
      </w:r>
      <w:r>
        <w:rPr>
          <w:rFonts w:ascii="Segoe UI" w:hAnsi="Segoe UI" w:cs="Segoe UI"/>
          <w:color w:val="212121"/>
          <w:shd w:val="clear" w:color="auto" w:fill="FFFFFF"/>
        </w:rPr>
        <w:t>. </w:t>
      </w:r>
      <w:r w:rsidRPr="00342C7E">
        <w:rPr>
          <w:i/>
          <w:iCs/>
          <w:color w:val="212121"/>
          <w:shd w:val="clear" w:color="auto" w:fill="FFFFFF"/>
        </w:rPr>
        <w:t>Pain Med</w:t>
      </w:r>
      <w:r>
        <w:rPr>
          <w:rFonts w:ascii="Segoe UI" w:hAnsi="Segoe UI" w:cs="Segoe UI"/>
          <w:color w:val="212121"/>
          <w:shd w:val="clear" w:color="auto" w:fill="FFFFFF"/>
        </w:rPr>
        <w:t xml:space="preserve">. </w:t>
      </w:r>
      <w:r w:rsidRPr="00342C7E">
        <w:t>2016;17(12):2185</w:t>
      </w:r>
      <w:r w:rsidR="005D36A7">
        <w:t xml:space="preserve"> to </w:t>
      </w:r>
      <w:r w:rsidRPr="00342C7E">
        <w:t xml:space="preserve">2202. </w:t>
      </w:r>
      <w:r w:rsidR="00A871F0" w:rsidRPr="00940118">
        <w:rPr>
          <w:color w:val="212121"/>
          <w:shd w:val="clear" w:color="auto" w:fill="FFFFFF"/>
        </w:rPr>
        <w:t>doi:10.1093/pm/pnw091</w:t>
      </w:r>
    </w:p>
    <w:p w14:paraId="01962F73" w14:textId="72C0710E" w:rsidR="00624811" w:rsidRPr="00940118" w:rsidRDefault="00357EA1">
      <w:pPr>
        <w:pStyle w:val="ListParagraph"/>
        <w:numPr>
          <w:ilvl w:val="0"/>
          <w:numId w:val="21"/>
        </w:numPr>
      </w:pPr>
      <w:r w:rsidRPr="00940118">
        <w:rPr>
          <w:shd w:val="clear" w:color="auto" w:fill="FFFFFF"/>
        </w:rPr>
        <w:t xml:space="preserve">Singh JR, Cardozo E, </w:t>
      </w:r>
      <w:proofErr w:type="spellStart"/>
      <w:r w:rsidRPr="00940118">
        <w:rPr>
          <w:shd w:val="clear" w:color="auto" w:fill="FFFFFF"/>
        </w:rPr>
        <w:t>Christolias</w:t>
      </w:r>
      <w:proofErr w:type="spellEnd"/>
      <w:r w:rsidRPr="00940118">
        <w:rPr>
          <w:shd w:val="clear" w:color="auto" w:fill="FFFFFF"/>
        </w:rPr>
        <w:t xml:space="preserve"> GC. The Clinical Efficacy for Two-Level Transforaminal Epidural Steroid Injections. </w:t>
      </w:r>
      <w:r w:rsidRPr="00940118">
        <w:rPr>
          <w:i/>
          <w:iCs/>
          <w:shd w:val="clear" w:color="auto" w:fill="FFFFFF"/>
        </w:rPr>
        <w:t>PM R</w:t>
      </w:r>
      <w:r w:rsidRPr="00940118">
        <w:rPr>
          <w:shd w:val="clear" w:color="auto" w:fill="FFFFFF"/>
        </w:rPr>
        <w:t>. 2017;9(4):377</w:t>
      </w:r>
      <w:r w:rsidR="005D36A7" w:rsidRPr="00940118">
        <w:rPr>
          <w:shd w:val="clear" w:color="auto" w:fill="FFFFFF"/>
        </w:rPr>
        <w:t xml:space="preserve"> to </w:t>
      </w:r>
      <w:r w:rsidRPr="00940118">
        <w:rPr>
          <w:shd w:val="clear" w:color="auto" w:fill="FFFFFF"/>
        </w:rPr>
        <w:t xml:space="preserve">382. </w:t>
      </w:r>
      <w:proofErr w:type="gramStart"/>
      <w:r w:rsidRPr="00940118">
        <w:rPr>
          <w:shd w:val="clear" w:color="auto" w:fill="FFFFFF"/>
        </w:rPr>
        <w:t>doi:10.1016/j.pmrj</w:t>
      </w:r>
      <w:proofErr w:type="gramEnd"/>
      <w:r w:rsidRPr="00940118">
        <w:rPr>
          <w:shd w:val="clear" w:color="auto" w:fill="FFFFFF"/>
        </w:rPr>
        <w:t>.2016.08.030</w:t>
      </w:r>
      <w:r w:rsidR="007B57BA" w:rsidRPr="00940118">
        <w:rPr>
          <w:shd w:val="clear" w:color="auto" w:fill="FFFFFF"/>
        </w:rPr>
        <w:t xml:space="preserve"> </w:t>
      </w:r>
    </w:p>
    <w:p w14:paraId="040F166A" w14:textId="5BBE0AB7" w:rsidR="00CA2C1B" w:rsidRPr="00940118" w:rsidRDefault="006C5461">
      <w:pPr>
        <w:pStyle w:val="ListParagraph"/>
        <w:numPr>
          <w:ilvl w:val="0"/>
          <w:numId w:val="21"/>
        </w:numPr>
        <w:rPr>
          <w:shd w:val="clear" w:color="auto" w:fill="FFFFFF"/>
        </w:rPr>
      </w:pPr>
      <w:r w:rsidRPr="00940118">
        <w:rPr>
          <w:shd w:val="clear" w:color="auto" w:fill="FFFFFF"/>
        </w:rPr>
        <w:t>Smith CC, Booker T, Schaufele MK, Weiss P. Interlaminar versus transforaminal epidural steroid injections for the treatment of symptomatic lumbar spinal stenosis. </w:t>
      </w:r>
      <w:r w:rsidRPr="003C4002">
        <w:rPr>
          <w:i/>
          <w:iCs/>
          <w:shd w:val="clear" w:color="auto" w:fill="FFFFFF"/>
        </w:rPr>
        <w:t>Pain Med</w:t>
      </w:r>
      <w:r w:rsidRPr="00940118">
        <w:rPr>
          <w:shd w:val="clear" w:color="auto" w:fill="FFFFFF"/>
        </w:rPr>
        <w:t>. 2010;11(10):1511</w:t>
      </w:r>
      <w:r w:rsidR="005D36A7" w:rsidRPr="00940118">
        <w:rPr>
          <w:shd w:val="clear" w:color="auto" w:fill="FFFFFF"/>
        </w:rPr>
        <w:t xml:space="preserve"> to </w:t>
      </w:r>
      <w:r w:rsidRPr="00940118">
        <w:rPr>
          <w:shd w:val="clear" w:color="auto" w:fill="FFFFFF"/>
        </w:rPr>
        <w:t>1515.</w:t>
      </w:r>
      <w:r w:rsidR="00624811" w:rsidRPr="00940118">
        <w:rPr>
          <w:shd w:val="clear" w:color="auto" w:fill="FFFFFF"/>
        </w:rPr>
        <w:t xml:space="preserve"> </w:t>
      </w:r>
      <w:proofErr w:type="spellStart"/>
      <w:r w:rsidR="00624811" w:rsidRPr="00940118">
        <w:rPr>
          <w:shd w:val="clear" w:color="auto" w:fill="FFFFFF"/>
        </w:rPr>
        <w:t>doi</w:t>
      </w:r>
      <w:proofErr w:type="spellEnd"/>
      <w:r w:rsidR="00624811" w:rsidRPr="00940118">
        <w:rPr>
          <w:shd w:val="clear" w:color="auto" w:fill="FFFFFF"/>
        </w:rPr>
        <w:t>: 10.1111/</w:t>
      </w:r>
      <w:proofErr w:type="spellStart"/>
      <w:r w:rsidR="00624811" w:rsidRPr="00940118">
        <w:rPr>
          <w:shd w:val="clear" w:color="auto" w:fill="FFFFFF"/>
        </w:rPr>
        <w:t>j.1526-4637.</w:t>
      </w:r>
      <w:proofErr w:type="gramStart"/>
      <w:r w:rsidR="00624811" w:rsidRPr="00940118">
        <w:rPr>
          <w:shd w:val="clear" w:color="auto" w:fill="FFFFFF"/>
        </w:rPr>
        <w:t>2010.00932.x</w:t>
      </w:r>
      <w:proofErr w:type="spellEnd"/>
      <w:proofErr w:type="gramEnd"/>
      <w:r w:rsidR="00126C51" w:rsidRPr="00940118">
        <w:rPr>
          <w:shd w:val="clear" w:color="auto" w:fill="FFFFFF"/>
        </w:rPr>
        <w:t xml:space="preserve"> </w:t>
      </w:r>
      <w:r w:rsidR="008D4619" w:rsidRPr="00940118">
        <w:rPr>
          <w:shd w:val="clear" w:color="auto" w:fill="FFFFFF"/>
        </w:rPr>
        <w:t xml:space="preserve"> </w:t>
      </w:r>
    </w:p>
    <w:p w14:paraId="51DB9D33" w14:textId="24ADE639" w:rsidR="00CA2C1B" w:rsidRPr="00940118" w:rsidRDefault="006C5461" w:rsidP="00B83DC3">
      <w:pPr>
        <w:pStyle w:val="ListParagraph"/>
        <w:numPr>
          <w:ilvl w:val="0"/>
          <w:numId w:val="21"/>
        </w:numPr>
      </w:pPr>
      <w:r w:rsidRPr="00940118">
        <w:rPr>
          <w:shd w:val="clear" w:color="auto" w:fill="FFFFFF"/>
        </w:rPr>
        <w:t>Schaufele MK, Hatch L, Jones W. Interlaminar versus transforaminal epidural injections for the treatment of symptomatic lumbar intervertebral disc herniations. </w:t>
      </w:r>
      <w:r w:rsidRPr="003C4002">
        <w:rPr>
          <w:i/>
          <w:iCs/>
          <w:shd w:val="clear" w:color="auto" w:fill="FFFFFF"/>
        </w:rPr>
        <w:t>Pain Physician</w:t>
      </w:r>
      <w:r w:rsidRPr="00940118">
        <w:rPr>
          <w:shd w:val="clear" w:color="auto" w:fill="FFFFFF"/>
        </w:rPr>
        <w:t>.</w:t>
      </w:r>
      <w:r w:rsidRPr="00940118">
        <w:rPr>
          <w:rFonts w:ascii="Segoe UI" w:hAnsi="Segoe UI" w:cs="Segoe UI"/>
          <w:color w:val="212121"/>
          <w:shd w:val="clear" w:color="auto" w:fill="FFFFFF"/>
        </w:rPr>
        <w:t xml:space="preserve"> </w:t>
      </w:r>
      <w:r w:rsidRPr="00940118">
        <w:t>2006;9(4):361</w:t>
      </w:r>
      <w:r w:rsidR="005D36A7" w:rsidRPr="00940118">
        <w:t xml:space="preserve"> to </w:t>
      </w:r>
      <w:r w:rsidRPr="00940118">
        <w:t xml:space="preserve">366. </w:t>
      </w:r>
    </w:p>
    <w:p w14:paraId="7604C06E" w14:textId="3E65E715" w:rsidR="00963062" w:rsidRPr="00940118" w:rsidRDefault="00D2283F">
      <w:pPr>
        <w:pStyle w:val="ListParagraph"/>
        <w:numPr>
          <w:ilvl w:val="0"/>
          <w:numId w:val="21"/>
        </w:numPr>
        <w:rPr>
          <w:shd w:val="clear" w:color="auto" w:fill="FFFFFF"/>
        </w:rPr>
      </w:pPr>
      <w:r w:rsidRPr="00940118">
        <w:lastRenderedPageBreak/>
        <w:t xml:space="preserve">Chang-Chien GC, Knezevic NN, McCormick Z, Chu SK, </w:t>
      </w:r>
      <w:proofErr w:type="spellStart"/>
      <w:r w:rsidRPr="00940118">
        <w:t>Trescot</w:t>
      </w:r>
      <w:proofErr w:type="spellEnd"/>
      <w:r w:rsidRPr="00940118">
        <w:t xml:space="preserve"> AM, Candido </w:t>
      </w:r>
      <w:proofErr w:type="spellStart"/>
      <w:r w:rsidRPr="00940118">
        <w:t>KD</w:t>
      </w:r>
      <w:proofErr w:type="spellEnd"/>
      <w:r w:rsidRPr="00940118">
        <w:t xml:space="preserve">. </w:t>
      </w:r>
      <w:r w:rsidRPr="00940118">
        <w:rPr>
          <w:shd w:val="clear" w:color="auto" w:fill="FFFFFF"/>
        </w:rPr>
        <w:t>Transforaminal versus interlaminar approaches to epidural steroid injections: a systematic review of comparative studies for lumbosacral radicular pain</w:t>
      </w:r>
      <w:r w:rsidRPr="003C4002">
        <w:rPr>
          <w:i/>
          <w:iCs/>
          <w:shd w:val="clear" w:color="auto" w:fill="FFFFFF"/>
        </w:rPr>
        <w:t>. Pain Physician</w:t>
      </w:r>
      <w:r w:rsidRPr="00940118">
        <w:rPr>
          <w:shd w:val="clear" w:color="auto" w:fill="FFFFFF"/>
        </w:rPr>
        <w:t>. 2014;17(4</w:t>
      </w:r>
      <w:proofErr w:type="gramStart"/>
      <w:r w:rsidRPr="00940118">
        <w:rPr>
          <w:shd w:val="clear" w:color="auto" w:fill="FFFFFF"/>
        </w:rPr>
        <w:t>):E</w:t>
      </w:r>
      <w:proofErr w:type="gramEnd"/>
      <w:r w:rsidRPr="00940118">
        <w:rPr>
          <w:shd w:val="clear" w:color="auto" w:fill="FFFFFF"/>
        </w:rPr>
        <w:t>509</w:t>
      </w:r>
      <w:r w:rsidR="005D36A7" w:rsidRPr="00940118">
        <w:rPr>
          <w:shd w:val="clear" w:color="auto" w:fill="FFFFFF"/>
        </w:rPr>
        <w:t xml:space="preserve"> to </w:t>
      </w:r>
      <w:r w:rsidRPr="00940118">
        <w:rPr>
          <w:shd w:val="clear" w:color="auto" w:fill="FFFFFF"/>
        </w:rPr>
        <w:t>E524.</w:t>
      </w:r>
      <w:r w:rsidR="00A05C55" w:rsidRPr="00940118">
        <w:rPr>
          <w:shd w:val="clear" w:color="auto" w:fill="FFFFFF"/>
        </w:rPr>
        <w:t xml:space="preserve"> </w:t>
      </w:r>
    </w:p>
    <w:p w14:paraId="66E9FFF1" w14:textId="0EEE8858" w:rsidR="00CD604A" w:rsidRPr="00940118" w:rsidRDefault="00BC34E2" w:rsidP="00CD604A">
      <w:pPr>
        <w:pStyle w:val="ListParagraph"/>
        <w:numPr>
          <w:ilvl w:val="0"/>
          <w:numId w:val="21"/>
        </w:numPr>
      </w:pPr>
      <w:r w:rsidRPr="00940118">
        <w:t>Kothari MJ</w:t>
      </w:r>
      <w:r w:rsidR="003A56A6" w:rsidRPr="00940118">
        <w:t>, Chuang K</w:t>
      </w:r>
      <w:r w:rsidRPr="00940118">
        <w:t xml:space="preserve">. </w:t>
      </w:r>
      <w:r w:rsidR="00CD604A" w:rsidRPr="00940118">
        <w:t>Treatment and prognosis of cervical radiculopathy.</w:t>
      </w:r>
      <w:r w:rsidR="00624811" w:rsidRPr="00940118">
        <w:t xml:space="preserve"> Up</w:t>
      </w:r>
      <w:r w:rsidR="004A0727" w:rsidRPr="00940118">
        <w:t>T</w:t>
      </w:r>
      <w:r w:rsidR="00624811" w:rsidRPr="00940118">
        <w:t xml:space="preserve">oDate. </w:t>
      </w:r>
      <w:hyperlink r:id="rId21" w:history="1">
        <w:r w:rsidR="00624811" w:rsidRPr="00940118">
          <w:rPr>
            <w:rStyle w:val="Hyperlink"/>
          </w:rPr>
          <w:t>www.uptodate.com</w:t>
        </w:r>
      </w:hyperlink>
      <w:r w:rsidR="00624811" w:rsidRPr="00940118">
        <w:t xml:space="preserve">. </w:t>
      </w:r>
      <w:r w:rsidRPr="00940118">
        <w:t xml:space="preserve">Published </w:t>
      </w:r>
      <w:r w:rsidR="00C509DD" w:rsidRPr="00940118">
        <w:t>April 01, 2025</w:t>
      </w:r>
      <w:r w:rsidR="00C3320D" w:rsidRPr="00940118">
        <w:t xml:space="preserve">. Accessed </w:t>
      </w:r>
      <w:r w:rsidR="007B3B46" w:rsidRPr="00940118">
        <w:t xml:space="preserve">June </w:t>
      </w:r>
      <w:r w:rsidR="00A82B46" w:rsidRPr="00940118">
        <w:t>25</w:t>
      </w:r>
      <w:r w:rsidR="007B3B46" w:rsidRPr="00940118">
        <w:t>, 202</w:t>
      </w:r>
      <w:r w:rsidR="00A82B46" w:rsidRPr="00940118">
        <w:t>5</w:t>
      </w:r>
      <w:r w:rsidR="00C3320D" w:rsidRPr="00940118">
        <w:t xml:space="preserve">.  </w:t>
      </w:r>
    </w:p>
    <w:p w14:paraId="65A3A252" w14:textId="5BD39034" w:rsidR="004C7285" w:rsidRPr="00940118" w:rsidRDefault="00BA6E80" w:rsidP="00CD604A">
      <w:pPr>
        <w:pStyle w:val="ListParagraph"/>
        <w:numPr>
          <w:ilvl w:val="0"/>
          <w:numId w:val="21"/>
        </w:numPr>
      </w:pPr>
      <w:proofErr w:type="spellStart"/>
      <w:r w:rsidRPr="00940118">
        <w:t>Manchikanta</w:t>
      </w:r>
      <w:proofErr w:type="spellEnd"/>
      <w:r w:rsidRPr="00940118">
        <w:t xml:space="preserve"> L,</w:t>
      </w:r>
      <w:r w:rsidR="00BC34E2" w:rsidRPr="00940118">
        <w:t xml:space="preserve"> Knezevic NN, N</w:t>
      </w:r>
      <w:r w:rsidR="00E8712C" w:rsidRPr="00940118">
        <w:t>a</w:t>
      </w:r>
      <w:r w:rsidR="00BC34E2" w:rsidRPr="00940118">
        <w:t xml:space="preserve">vani A, et al. </w:t>
      </w:r>
      <w:r w:rsidRPr="00940118">
        <w:t>Epidural Interventions in the Management of Chro</w:t>
      </w:r>
      <w:r w:rsidR="00554D99" w:rsidRPr="00940118">
        <w:t>n</w:t>
      </w:r>
      <w:r w:rsidRPr="00940118">
        <w:t xml:space="preserve">ic Spinal Pain: American Society of Interventional Pain Physicians (ASIPP) Comprehensive Evidence Based Guidelines. </w:t>
      </w:r>
      <w:r w:rsidR="00A41E9F" w:rsidRPr="00940118">
        <w:rPr>
          <w:i/>
          <w:iCs/>
          <w:color w:val="212121"/>
          <w:shd w:val="clear" w:color="auto" w:fill="FFFFFF"/>
        </w:rPr>
        <w:t>Pain Physician</w:t>
      </w:r>
      <w:r w:rsidR="00A41E9F" w:rsidRPr="00940118">
        <w:rPr>
          <w:color w:val="212121"/>
          <w:shd w:val="clear" w:color="auto" w:fill="FFFFFF"/>
        </w:rPr>
        <w:t>. 2021;24(S1</w:t>
      </w:r>
      <w:proofErr w:type="gramStart"/>
      <w:r w:rsidR="00A41E9F" w:rsidRPr="00940118">
        <w:rPr>
          <w:color w:val="212121"/>
          <w:shd w:val="clear" w:color="auto" w:fill="FFFFFF"/>
        </w:rPr>
        <w:t>):S</w:t>
      </w:r>
      <w:proofErr w:type="gramEnd"/>
      <w:r w:rsidR="00A41E9F" w:rsidRPr="00940118">
        <w:rPr>
          <w:color w:val="212121"/>
          <w:shd w:val="clear" w:color="auto" w:fill="FFFFFF"/>
        </w:rPr>
        <w:t>27-S208.</w:t>
      </w:r>
    </w:p>
    <w:p w14:paraId="30AB6260" w14:textId="347F59C2" w:rsidR="00554D99" w:rsidRPr="00940118" w:rsidRDefault="006B6809" w:rsidP="00CD604A">
      <w:pPr>
        <w:pStyle w:val="ListParagraph"/>
        <w:numPr>
          <w:ilvl w:val="0"/>
          <w:numId w:val="21"/>
        </w:numPr>
      </w:pPr>
      <w:r w:rsidRPr="00940118">
        <w:t xml:space="preserve">Evolving </w:t>
      </w:r>
      <w:r w:rsidR="003B4DF9" w:rsidRPr="00940118">
        <w:t>E</w:t>
      </w:r>
      <w:r w:rsidR="00624811" w:rsidRPr="00940118">
        <w:t xml:space="preserve">vidence </w:t>
      </w:r>
      <w:r w:rsidR="003B4DF9" w:rsidRPr="00940118">
        <w:t>R</w:t>
      </w:r>
      <w:r w:rsidR="00624811" w:rsidRPr="00940118">
        <w:t>eview</w:t>
      </w:r>
      <w:r w:rsidR="00D52A28" w:rsidRPr="00940118">
        <w:t>.</w:t>
      </w:r>
      <w:r w:rsidR="00624811" w:rsidRPr="00940118">
        <w:t xml:space="preserve"> Epidural steroid injections for the treatment of thoracic spine pain</w:t>
      </w:r>
      <w:r w:rsidRPr="00940118">
        <w:t xml:space="preserve">. Hayes. </w:t>
      </w:r>
      <w:hyperlink r:id="rId22" w:history="1">
        <w:r w:rsidRPr="00940118">
          <w:rPr>
            <w:rStyle w:val="Hyperlink"/>
          </w:rPr>
          <w:t>www.hayesinc.com</w:t>
        </w:r>
      </w:hyperlink>
      <w:r w:rsidRPr="00940118">
        <w:rPr>
          <w:rStyle w:val="Hyperlink"/>
        </w:rPr>
        <w:t>.</w:t>
      </w:r>
      <w:r w:rsidRPr="00940118">
        <w:rPr>
          <w:rFonts w:ascii="Calibri" w:hAnsi="Calibri" w:cs="Calibri"/>
          <w:sz w:val="22"/>
          <w:szCs w:val="22"/>
        </w:rPr>
        <w:t xml:space="preserve">  </w:t>
      </w:r>
      <w:r w:rsidR="00BC34E2" w:rsidRPr="00940118">
        <w:t>Published July 23, 2021</w:t>
      </w:r>
      <w:r w:rsidR="00CE04D9" w:rsidRPr="00940118">
        <w:t xml:space="preserve"> </w:t>
      </w:r>
      <w:r w:rsidR="00C719DE" w:rsidRPr="00940118">
        <w:t>(</w:t>
      </w:r>
      <w:r w:rsidR="009E5201" w:rsidRPr="00940118">
        <w:t>a</w:t>
      </w:r>
      <w:r w:rsidR="00C719DE" w:rsidRPr="00940118">
        <w:t xml:space="preserve">nnual </w:t>
      </w:r>
      <w:r w:rsidR="009E5201" w:rsidRPr="00940118">
        <w:t>r</w:t>
      </w:r>
      <w:r w:rsidR="00C719DE" w:rsidRPr="00940118">
        <w:t xml:space="preserve">eview </w:t>
      </w:r>
      <w:r w:rsidR="009E5201" w:rsidRPr="00940118">
        <w:t>August 1</w:t>
      </w:r>
      <w:r w:rsidR="00A167B0" w:rsidRPr="00940118">
        <w:t>3</w:t>
      </w:r>
      <w:r w:rsidR="009E5201" w:rsidRPr="00940118">
        <w:t>, 2024</w:t>
      </w:r>
      <w:r w:rsidR="00C719DE" w:rsidRPr="00940118">
        <w:t>).</w:t>
      </w:r>
      <w:r w:rsidR="00BC34E2" w:rsidRPr="00940118">
        <w:t xml:space="preserve"> </w:t>
      </w:r>
      <w:r w:rsidRPr="00940118">
        <w:t xml:space="preserve">Accessed </w:t>
      </w:r>
      <w:r w:rsidR="00590AE5" w:rsidRPr="00940118">
        <w:t xml:space="preserve">June </w:t>
      </w:r>
      <w:r w:rsidR="009E5201" w:rsidRPr="00940118">
        <w:t>25</w:t>
      </w:r>
      <w:r w:rsidR="00590AE5" w:rsidRPr="00940118">
        <w:t>, 202</w:t>
      </w:r>
      <w:r w:rsidR="009E5201" w:rsidRPr="00940118">
        <w:t>5</w:t>
      </w:r>
      <w:r w:rsidR="00697AF1" w:rsidRPr="00940118">
        <w:t xml:space="preserve">. </w:t>
      </w:r>
    </w:p>
    <w:p w14:paraId="7458C344" w14:textId="19F48B4D" w:rsidR="00BA74D9" w:rsidRPr="00940118" w:rsidRDefault="001274C2" w:rsidP="00BA74D9">
      <w:pPr>
        <w:pStyle w:val="ListParagraph"/>
        <w:numPr>
          <w:ilvl w:val="0"/>
          <w:numId w:val="21"/>
        </w:numPr>
        <w:rPr>
          <w:color w:val="000000"/>
        </w:rPr>
      </w:pPr>
      <w:r w:rsidRPr="00940118">
        <w:rPr>
          <w:color w:val="000000"/>
        </w:rPr>
        <w:t xml:space="preserve">American Society of Anesthesiologists. </w:t>
      </w:r>
      <w:r w:rsidR="00BA74D9" w:rsidRPr="00940118">
        <w:rPr>
          <w:color w:val="000000"/>
        </w:rPr>
        <w:t>Practice Guidelines for Chronic Pain Management. </w:t>
      </w:r>
      <w:r w:rsidR="00BA74D9" w:rsidRPr="00940118">
        <w:rPr>
          <w:i/>
          <w:iCs/>
          <w:color w:val="000000"/>
        </w:rPr>
        <w:t>Anesthesiology</w:t>
      </w:r>
      <w:r w:rsidR="00BA74D9" w:rsidRPr="00940118">
        <w:rPr>
          <w:color w:val="000000"/>
        </w:rPr>
        <w:t xml:space="preserve">. 2010;112(4):810-833. </w:t>
      </w:r>
    </w:p>
    <w:p w14:paraId="4C7B19ED" w14:textId="77777777" w:rsidR="00644755" w:rsidRPr="00940118" w:rsidRDefault="00644755" w:rsidP="00644755">
      <w:pPr>
        <w:pStyle w:val="ListParagraph"/>
        <w:numPr>
          <w:ilvl w:val="0"/>
          <w:numId w:val="21"/>
        </w:numPr>
        <w:spacing w:before="100" w:beforeAutospacing="1" w:after="100" w:afterAutospacing="1"/>
        <w:rPr>
          <w:rFonts w:ascii="Calibri" w:hAnsi="Calibri" w:cs="Calibri"/>
          <w:color w:val="000000"/>
          <w:sz w:val="27"/>
          <w:szCs w:val="27"/>
        </w:rPr>
      </w:pPr>
      <w:r w:rsidRPr="00940118">
        <w:rPr>
          <w:color w:val="212121"/>
          <w:shd w:val="clear" w:color="auto" w:fill="FFFFFF"/>
        </w:rPr>
        <w:t>Derby R, Lee SH, Date ES, Lee JH, Lee CH. Size and aggregation of corticosteroids used for epidural injections. </w:t>
      </w:r>
      <w:r w:rsidRPr="00940118">
        <w:rPr>
          <w:i/>
          <w:iCs/>
          <w:color w:val="212121"/>
          <w:shd w:val="clear" w:color="auto" w:fill="FFFFFF"/>
        </w:rPr>
        <w:t>Pain Med</w:t>
      </w:r>
      <w:r w:rsidRPr="00940118">
        <w:rPr>
          <w:color w:val="212121"/>
          <w:shd w:val="clear" w:color="auto" w:fill="FFFFFF"/>
        </w:rPr>
        <w:t>. 2008;9(2):227-234. doi:10.1111/j.1526-4637.</w:t>
      </w:r>
      <w:proofErr w:type="gramStart"/>
      <w:r w:rsidRPr="00940118">
        <w:rPr>
          <w:color w:val="212121"/>
          <w:shd w:val="clear" w:color="auto" w:fill="FFFFFF"/>
        </w:rPr>
        <w:t>2007.00341.x</w:t>
      </w:r>
      <w:proofErr w:type="gramEnd"/>
    </w:p>
    <w:p w14:paraId="2A9E966C" w14:textId="4A7C5371" w:rsidR="007238C1" w:rsidRPr="003C4002" w:rsidRDefault="007238C1" w:rsidP="007238C1">
      <w:pPr>
        <w:pStyle w:val="ListParagraph"/>
        <w:numPr>
          <w:ilvl w:val="0"/>
          <w:numId w:val="21"/>
        </w:numPr>
      </w:pPr>
      <w:r w:rsidRPr="00940118">
        <w:rPr>
          <w:color w:val="222222"/>
          <w:shd w:val="clear" w:color="auto" w:fill="FFFFFF"/>
        </w:rPr>
        <w:t>Dietrich, T.J., Sutter, R., Froehlich, J.M. </w:t>
      </w:r>
      <w:r w:rsidRPr="00940118">
        <w:rPr>
          <w:i/>
          <w:iCs/>
          <w:color w:val="222222"/>
          <w:shd w:val="clear" w:color="auto" w:fill="FFFFFF"/>
        </w:rPr>
        <w:t>et al.</w:t>
      </w:r>
      <w:r w:rsidRPr="00940118">
        <w:rPr>
          <w:color w:val="222222"/>
          <w:shd w:val="clear" w:color="auto" w:fill="FFFFFF"/>
        </w:rPr>
        <w:t> Particulate versus non-particulate steroids for lumbar transforaminal or interlaminar epidural steroid injections: an update. </w:t>
      </w:r>
      <w:r w:rsidRPr="00940118">
        <w:rPr>
          <w:i/>
          <w:iCs/>
          <w:color w:val="222222"/>
          <w:shd w:val="clear" w:color="auto" w:fill="FFFFFF"/>
        </w:rPr>
        <w:t xml:space="preserve">Skeletal </w:t>
      </w:r>
      <w:proofErr w:type="spellStart"/>
      <w:r w:rsidRPr="00940118">
        <w:rPr>
          <w:i/>
          <w:iCs/>
          <w:color w:val="222222"/>
          <w:shd w:val="clear" w:color="auto" w:fill="FFFFFF"/>
        </w:rPr>
        <w:t>Radiol</w:t>
      </w:r>
      <w:proofErr w:type="spellEnd"/>
      <w:r w:rsidRPr="00940118">
        <w:rPr>
          <w:color w:val="222222"/>
          <w:shd w:val="clear" w:color="auto" w:fill="FFFFFF"/>
        </w:rPr>
        <w:t xml:space="preserve"> 44, 149–155 (2015). </w:t>
      </w:r>
      <w:bookmarkEnd w:id="8"/>
      <w:r w:rsidR="008F5EF5" w:rsidRPr="00940118">
        <w:rPr>
          <w:color w:val="222222"/>
          <w:shd w:val="clear" w:color="auto" w:fill="FFFFFF"/>
        </w:rPr>
        <w:fldChar w:fldCharType="begin"/>
      </w:r>
      <w:r w:rsidR="008F5EF5" w:rsidRPr="00940118">
        <w:rPr>
          <w:color w:val="222222"/>
          <w:shd w:val="clear" w:color="auto" w:fill="FFFFFF"/>
        </w:rPr>
        <w:instrText>HYPERLINK "https://doi.org/10.1007/s00256-014-2048-6"</w:instrText>
      </w:r>
      <w:r w:rsidR="008F5EF5" w:rsidRPr="00940118">
        <w:rPr>
          <w:color w:val="222222"/>
          <w:shd w:val="clear" w:color="auto" w:fill="FFFFFF"/>
        </w:rPr>
      </w:r>
      <w:r w:rsidR="008F5EF5" w:rsidRPr="00940118">
        <w:rPr>
          <w:color w:val="222222"/>
          <w:shd w:val="clear" w:color="auto" w:fill="FFFFFF"/>
        </w:rPr>
        <w:fldChar w:fldCharType="separate"/>
      </w:r>
      <w:r w:rsidR="008F5EF5" w:rsidRPr="00940118">
        <w:rPr>
          <w:rStyle w:val="Hyperlink"/>
          <w:shd w:val="clear" w:color="auto" w:fill="FFFFFF"/>
        </w:rPr>
        <w:t>https://doi.org/10.1007/s00256-014-2048-6</w:t>
      </w:r>
      <w:r w:rsidR="008F5EF5" w:rsidRPr="00940118">
        <w:rPr>
          <w:color w:val="222222"/>
          <w:shd w:val="clear" w:color="auto" w:fill="FFFFFF"/>
        </w:rPr>
        <w:fldChar w:fldCharType="end"/>
      </w:r>
    </w:p>
    <w:p w14:paraId="1A593331" w14:textId="40C60246" w:rsidR="008F5EF5" w:rsidRPr="003C4002" w:rsidRDefault="008F5EF5" w:rsidP="007238C1">
      <w:pPr>
        <w:pStyle w:val="ListParagraph"/>
        <w:numPr>
          <w:ilvl w:val="0"/>
          <w:numId w:val="21"/>
        </w:numPr>
      </w:pPr>
      <w:r w:rsidRPr="00940118">
        <w:rPr>
          <w:color w:val="222222"/>
          <w:shd w:val="clear" w:color="auto" w:fill="FFFFFF"/>
        </w:rPr>
        <w:t>L</w:t>
      </w:r>
      <w:r w:rsidR="00633144">
        <w:rPr>
          <w:color w:val="222222"/>
          <w:shd w:val="clear" w:color="auto" w:fill="FFFFFF"/>
        </w:rPr>
        <w:t xml:space="preserve">ocal </w:t>
      </w:r>
      <w:r w:rsidR="00633144" w:rsidRPr="00633144">
        <w:rPr>
          <w:color w:val="222222"/>
          <w:shd w:val="clear" w:color="auto" w:fill="FFFFFF"/>
        </w:rPr>
        <w:t xml:space="preserve">coverage determination: </w:t>
      </w:r>
      <w:r w:rsidR="008136A0">
        <w:rPr>
          <w:color w:val="222222"/>
          <w:shd w:val="clear" w:color="auto" w:fill="FFFFFF"/>
        </w:rPr>
        <w:t>e</w:t>
      </w:r>
      <w:r w:rsidR="0000568D" w:rsidRPr="0000568D">
        <w:rPr>
          <w:color w:val="222222"/>
          <w:shd w:val="clear" w:color="auto" w:fill="FFFFFF"/>
        </w:rPr>
        <w:t xml:space="preserve">pidural </w:t>
      </w:r>
      <w:r w:rsidR="008136A0">
        <w:rPr>
          <w:color w:val="222222"/>
          <w:shd w:val="clear" w:color="auto" w:fill="FFFFFF"/>
        </w:rPr>
        <w:t>s</w:t>
      </w:r>
      <w:r w:rsidR="0000568D" w:rsidRPr="0000568D">
        <w:rPr>
          <w:color w:val="222222"/>
          <w:shd w:val="clear" w:color="auto" w:fill="FFFFFF"/>
        </w:rPr>
        <w:t xml:space="preserve">teroid </w:t>
      </w:r>
      <w:r w:rsidR="008136A0">
        <w:rPr>
          <w:color w:val="222222"/>
          <w:shd w:val="clear" w:color="auto" w:fill="FFFFFF"/>
        </w:rPr>
        <w:t>i</w:t>
      </w:r>
      <w:r w:rsidR="0000568D" w:rsidRPr="0000568D">
        <w:rPr>
          <w:color w:val="222222"/>
          <w:shd w:val="clear" w:color="auto" w:fill="FFFFFF"/>
        </w:rPr>
        <w:t xml:space="preserve">njections for </w:t>
      </w:r>
      <w:r w:rsidR="008136A0">
        <w:rPr>
          <w:color w:val="222222"/>
          <w:shd w:val="clear" w:color="auto" w:fill="FFFFFF"/>
        </w:rPr>
        <w:t>p</w:t>
      </w:r>
      <w:r w:rsidR="0000568D" w:rsidRPr="0000568D">
        <w:rPr>
          <w:color w:val="222222"/>
          <w:shd w:val="clear" w:color="auto" w:fill="FFFFFF"/>
        </w:rPr>
        <w:t xml:space="preserve">ain </w:t>
      </w:r>
      <w:r w:rsidR="008136A0">
        <w:rPr>
          <w:color w:val="222222"/>
          <w:shd w:val="clear" w:color="auto" w:fill="FFFFFF"/>
        </w:rPr>
        <w:t>m</w:t>
      </w:r>
      <w:r w:rsidR="0000568D" w:rsidRPr="0000568D">
        <w:rPr>
          <w:color w:val="222222"/>
          <w:shd w:val="clear" w:color="auto" w:fill="FFFFFF"/>
        </w:rPr>
        <w:t>anagement</w:t>
      </w:r>
      <w:r w:rsidR="00633144" w:rsidRPr="00633144">
        <w:rPr>
          <w:color w:val="222222"/>
          <w:shd w:val="clear" w:color="auto" w:fill="FFFFFF"/>
        </w:rPr>
        <w:t xml:space="preserve"> (</w:t>
      </w:r>
      <w:r w:rsidR="008136A0" w:rsidRPr="008136A0">
        <w:rPr>
          <w:color w:val="222222"/>
          <w:shd w:val="clear" w:color="auto" w:fill="FFFFFF"/>
        </w:rPr>
        <w:t>L39240</w:t>
      </w:r>
      <w:r w:rsidR="00633144" w:rsidRPr="00633144">
        <w:rPr>
          <w:color w:val="222222"/>
          <w:shd w:val="clear" w:color="auto" w:fill="FFFFFF"/>
        </w:rPr>
        <w:t xml:space="preserve">). Centers for Medicare and Medicaid Services Web site. </w:t>
      </w:r>
      <w:hyperlink r:id="rId23" w:history="1">
        <w:r w:rsidR="008136A0" w:rsidRPr="008136A0">
          <w:rPr>
            <w:rStyle w:val="Hyperlink"/>
            <w:shd w:val="clear" w:color="auto" w:fill="FFFFFF"/>
          </w:rPr>
          <w:t>http://www.cms.hhs.gov/mcd/search.asp</w:t>
        </w:r>
        <w:r w:rsidR="008136A0" w:rsidRPr="00197C4B">
          <w:rPr>
            <w:rStyle w:val="Hyperlink"/>
            <w:shd w:val="clear" w:color="auto" w:fill="FFFFFF"/>
          </w:rPr>
          <w:t>. Published June 19</w:t>
        </w:r>
      </w:hyperlink>
      <w:r w:rsidR="008136A0">
        <w:rPr>
          <w:color w:val="222222"/>
          <w:shd w:val="clear" w:color="auto" w:fill="FFFFFF"/>
        </w:rPr>
        <w:t>, 2022</w:t>
      </w:r>
      <w:r w:rsidR="00633144" w:rsidRPr="00633144">
        <w:rPr>
          <w:color w:val="222222"/>
          <w:shd w:val="clear" w:color="auto" w:fill="FFFFFF"/>
        </w:rPr>
        <w:t xml:space="preserve">. Accessed </w:t>
      </w:r>
      <w:r w:rsidR="008136A0">
        <w:rPr>
          <w:color w:val="222222"/>
          <w:shd w:val="clear" w:color="auto" w:fill="FFFFFF"/>
        </w:rPr>
        <w:t>June 25, 2025</w:t>
      </w:r>
      <w:r w:rsidR="00633144" w:rsidRPr="00633144">
        <w:rPr>
          <w:color w:val="222222"/>
          <w:shd w:val="clear" w:color="auto" w:fill="FFFFFF"/>
        </w:rPr>
        <w:t xml:space="preserve">.  </w:t>
      </w:r>
    </w:p>
    <w:p w14:paraId="3A6E9A9F" w14:textId="40D46F62" w:rsidR="008F5EF5" w:rsidRPr="00940118" w:rsidRDefault="008F5EF5" w:rsidP="007238C1">
      <w:pPr>
        <w:pStyle w:val="ListParagraph"/>
        <w:numPr>
          <w:ilvl w:val="0"/>
          <w:numId w:val="21"/>
        </w:numPr>
      </w:pPr>
      <w:r w:rsidRPr="00940118">
        <w:rPr>
          <w:color w:val="222222"/>
          <w:shd w:val="clear" w:color="auto" w:fill="FFFFFF"/>
        </w:rPr>
        <w:t xml:space="preserve">American Society of Interventional Pain Physicians. An Algorithmic Approach to Epidural Steroid Injections. </w:t>
      </w:r>
      <w:hyperlink r:id="rId24" w:history="1">
        <w:r w:rsidR="00895CDE" w:rsidRPr="00940118">
          <w:rPr>
            <w:rStyle w:val="Hyperlink"/>
            <w:shd w:val="clear" w:color="auto" w:fill="FFFFFF"/>
          </w:rPr>
          <w:t>https://asipp.org/an-algorithmic-approach-to-epidural-steroid-injections-2/</w:t>
        </w:r>
      </w:hyperlink>
      <w:r w:rsidR="00895CDE" w:rsidRPr="00940118">
        <w:rPr>
          <w:color w:val="222222"/>
          <w:shd w:val="clear" w:color="auto" w:fill="FFFFFF"/>
        </w:rPr>
        <w:t xml:space="preserve">. Accessed June 25, 2025. </w:t>
      </w:r>
    </w:p>
    <w:p w14:paraId="2F5745D5" w14:textId="77777777" w:rsidR="00DD6ADB" w:rsidRDefault="00DD6ADB" w:rsidP="003C4002"/>
    <w:p w14:paraId="21F4A294" w14:textId="77777777" w:rsidR="00DD6ADB" w:rsidRPr="00146C6E" w:rsidRDefault="00C06257" w:rsidP="00146C6E">
      <w:pPr>
        <w:rPr>
          <w:rFonts w:eastAsiaTheme="minorHAnsi"/>
          <w:b/>
          <w:u w:val="single"/>
        </w:rPr>
      </w:pPr>
      <w:bookmarkStart w:id="9" w:name="Important_Reminder"/>
      <w:r w:rsidRPr="00146C6E">
        <w:rPr>
          <w:rFonts w:eastAsiaTheme="minorHAnsi"/>
          <w:b/>
          <w:bCs/>
          <w:u w:val="single"/>
        </w:rPr>
        <w:t>Important R</w:t>
      </w:r>
      <w:r w:rsidR="005D7B81" w:rsidRPr="00146C6E">
        <w:rPr>
          <w:rFonts w:eastAsiaTheme="minorHAnsi"/>
          <w:b/>
          <w:bCs/>
          <w:u w:val="single"/>
        </w:rPr>
        <w:t>eminder</w:t>
      </w:r>
      <w:bookmarkEnd w:id="9"/>
    </w:p>
    <w:p w14:paraId="410DD996"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6BD753AD"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2F1574">
        <w:rPr>
          <w:rFonts w:eastAsiaTheme="minorHAnsi"/>
        </w:rPr>
        <w:t>members/enrollee</w:t>
      </w:r>
      <w:r w:rsidRPr="00146C6E">
        <w:rPr>
          <w:rFonts w:eastAsiaTheme="minorHAnsi"/>
        </w:rPr>
        <w:t xml:space="preserve">s.  This clinical policy is not intended to recommend treatment for </w:t>
      </w:r>
      <w:r w:rsidR="002F1574">
        <w:rPr>
          <w:rFonts w:eastAsiaTheme="minorHAnsi"/>
        </w:rPr>
        <w:t>members/enrollee</w:t>
      </w:r>
      <w:r w:rsidRPr="00146C6E">
        <w:rPr>
          <w:rFonts w:eastAsiaTheme="minorHAnsi"/>
        </w:rPr>
        <w:t xml:space="preserve">s. </w:t>
      </w:r>
      <w:r w:rsidR="002F1574">
        <w:rPr>
          <w:rFonts w:eastAsiaTheme="minorHAnsi"/>
        </w:rPr>
        <w:t>Members/enrollee</w:t>
      </w:r>
      <w:r w:rsidRPr="00146C6E">
        <w:rPr>
          <w:rFonts w:eastAsiaTheme="minorHAnsi"/>
        </w:rPr>
        <w:t xml:space="preserve">s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1BF4D1F3"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2F1574">
        <w:rPr>
          <w:rFonts w:eastAsiaTheme="minorHAnsi"/>
        </w:rPr>
        <w:t>members/enrollee</w:t>
      </w:r>
      <w:r w:rsidRPr="00146C6E">
        <w:rPr>
          <w:rFonts w:eastAsiaTheme="minorHAnsi"/>
        </w:rPr>
        <w:t xml:space="preserve">s and their representatives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w:t>
      </w:r>
      <w:r w:rsidR="002F1574">
        <w:rPr>
          <w:rFonts w:eastAsiaTheme="minorHAnsi"/>
        </w:rPr>
        <w:t>members/enrollee</w:t>
      </w:r>
      <w:r w:rsidRPr="00146C6E">
        <w:rPr>
          <w:rFonts w:eastAsiaTheme="minorHAnsi"/>
        </w:rPr>
        <w:t xml:space="preserve">s and their representatives agree to be bound by such terms and conditions by providing services to </w:t>
      </w:r>
      <w:r w:rsidR="002F1574">
        <w:rPr>
          <w:rFonts w:eastAsiaTheme="minorHAnsi"/>
        </w:rPr>
        <w:t>members/enrollee</w:t>
      </w:r>
      <w:r w:rsidRPr="00146C6E">
        <w:rPr>
          <w:rFonts w:eastAsiaTheme="minorHAnsi"/>
        </w:rPr>
        <w:t xml:space="preserve">s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1A2717CB"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2F1574">
        <w:rPr>
          <w:rFonts w:eastAsiaTheme="minorHAnsi"/>
          <w:b/>
          <w:color w:val="000000"/>
        </w:rPr>
        <w:t>members/enrollee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68C88948"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2F1574">
        <w:rPr>
          <w:rFonts w:eastAsiaTheme="minorHAnsi"/>
          <w:b/>
          <w:bCs/>
          <w:color w:val="000000"/>
        </w:rPr>
        <w:t>members/enrollee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5"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4BC706B8" w14:textId="0EC7533C"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2D598D9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235C" w14:textId="77777777" w:rsidR="000C1713" w:rsidRDefault="000C1713">
      <w:r>
        <w:separator/>
      </w:r>
    </w:p>
  </w:endnote>
  <w:endnote w:type="continuationSeparator" w:id="0">
    <w:p w14:paraId="763C4FE0" w14:textId="77777777" w:rsidR="000C1713" w:rsidRDefault="000C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0C45" w14:textId="77777777" w:rsidR="00580918" w:rsidRDefault="0058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50F538CA" w:rsidR="006C5461" w:rsidRPr="00D574CA" w:rsidRDefault="006C5461" w:rsidP="00D574CA">
    <w:pPr>
      <w:pStyle w:val="Footer"/>
      <w:jc w:val="center"/>
    </w:pPr>
    <w:r>
      <w:t xml:space="preserve">Page </w:t>
    </w:r>
    <w:r>
      <w:rPr>
        <w:b/>
        <w:bCs/>
      </w:rPr>
      <w:fldChar w:fldCharType="begin"/>
    </w:r>
    <w:r>
      <w:rPr>
        <w:b/>
        <w:bCs/>
      </w:rPr>
      <w:instrText xml:space="preserve"> PAGE </w:instrText>
    </w:r>
    <w:r>
      <w:rPr>
        <w:b/>
        <w:bCs/>
      </w:rPr>
      <w:fldChar w:fldCharType="separate"/>
    </w:r>
    <w:r w:rsidR="00BC34E2">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BC34E2">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3939118E" w:rsidR="006C5461" w:rsidRDefault="006C5461" w:rsidP="002C6AAB">
    <w:pPr>
      <w:pStyle w:val="Footer"/>
      <w:jc w:val="center"/>
    </w:pPr>
    <w:r>
      <w:t xml:space="preserve">Page </w:t>
    </w:r>
    <w:r>
      <w:fldChar w:fldCharType="begin"/>
    </w:r>
    <w:r>
      <w:instrText xml:space="preserve"> PAGE   \* MERGEFORMAT </w:instrText>
    </w:r>
    <w:r>
      <w:fldChar w:fldCharType="separate"/>
    </w:r>
    <w:r w:rsidR="00BC34E2">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BC34E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F1B2" w14:textId="77777777" w:rsidR="000C1713" w:rsidRDefault="000C1713">
      <w:r>
        <w:separator/>
      </w:r>
    </w:p>
  </w:footnote>
  <w:footnote w:type="continuationSeparator" w:id="0">
    <w:p w14:paraId="0DA4D7D0" w14:textId="77777777" w:rsidR="000C1713" w:rsidRDefault="000C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F27D" w14:textId="77777777" w:rsidR="00580918" w:rsidRDefault="00580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77777777" w:rsidR="006C5461" w:rsidRPr="00B777AF" w:rsidRDefault="006C5461"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77032B8A" w:rsidR="006C5461" w:rsidRPr="00B777AF" w:rsidRDefault="006C5461" w:rsidP="00B777AF">
    <w:pPr>
      <w:rPr>
        <w:color w:val="00548C"/>
      </w:rPr>
    </w:pPr>
    <w:proofErr w:type="spellStart"/>
    <w:r>
      <w:rPr>
        <w:rFonts w:ascii="Times New Roman Bold" w:hAnsi="Times New Roman Bold"/>
        <w:b/>
        <w:bCs/>
        <w:color w:val="00548C"/>
      </w:rPr>
      <w:t>SNRB</w:t>
    </w:r>
    <w:proofErr w:type="spellEnd"/>
    <w:r>
      <w:rPr>
        <w:rFonts w:ascii="Times New Roman Bold" w:hAnsi="Times New Roman Bold"/>
        <w:b/>
        <w:bCs/>
        <w:color w:val="00548C"/>
      </w:rPr>
      <w:t>/</w:t>
    </w:r>
    <w:proofErr w:type="spellStart"/>
    <w:r>
      <w:rPr>
        <w:rFonts w:ascii="Times New Roman Bold" w:hAnsi="Times New Roman Bold"/>
        <w:b/>
        <w:bCs/>
        <w:color w:val="00548C"/>
      </w:rPr>
      <w:t>TFESI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77777777" w:rsidR="006C5461" w:rsidRDefault="006C5461"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40519"/>
    <w:multiLevelType w:val="hybridMultilevel"/>
    <w:tmpl w:val="20B0870C"/>
    <w:lvl w:ilvl="0" w:tplc="5E3A3952">
      <w:start w:val="1"/>
      <w:numFmt w:val="decimal"/>
      <w:lvlText w:val="%1."/>
      <w:lvlJc w:val="left"/>
      <w:pPr>
        <w:ind w:left="900" w:hanging="360"/>
      </w:pPr>
      <w:rPr>
        <w:rFonts w:hint="default"/>
        <w:b w:val="0"/>
        <w:i w:val="0"/>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E8F3570"/>
    <w:multiLevelType w:val="hybridMultilevel"/>
    <w:tmpl w:val="818407EA"/>
    <w:lvl w:ilvl="0" w:tplc="F6081B58">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D0D4C"/>
    <w:multiLevelType w:val="hybridMultilevel"/>
    <w:tmpl w:val="CD5CC3C0"/>
    <w:lvl w:ilvl="0" w:tplc="21B0E7D6">
      <w:start w:val="3"/>
      <w:numFmt w:val="upperLetter"/>
      <w:lvlText w:val="%1."/>
      <w:lvlJc w:val="left"/>
      <w:pPr>
        <w:ind w:left="108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E7663"/>
    <w:multiLevelType w:val="hybridMultilevel"/>
    <w:tmpl w:val="E5DA8D64"/>
    <w:lvl w:ilvl="0" w:tplc="B99C0ADA">
      <w:start w:val="1"/>
      <w:numFmt w:val="bullet"/>
      <w:lvlText w:val=""/>
      <w:lvlJc w:val="left"/>
      <w:pPr>
        <w:ind w:left="1080" w:hanging="360"/>
      </w:pPr>
      <w:rPr>
        <w:rFonts w:ascii="Symbol" w:hAnsi="Symbol"/>
      </w:rPr>
    </w:lvl>
    <w:lvl w:ilvl="1" w:tplc="A2A64484">
      <w:start w:val="1"/>
      <w:numFmt w:val="bullet"/>
      <w:lvlText w:val=""/>
      <w:lvlJc w:val="left"/>
      <w:pPr>
        <w:ind w:left="1080" w:hanging="360"/>
      </w:pPr>
      <w:rPr>
        <w:rFonts w:ascii="Symbol" w:hAnsi="Symbol"/>
      </w:rPr>
    </w:lvl>
    <w:lvl w:ilvl="2" w:tplc="C92E9E8A">
      <w:start w:val="1"/>
      <w:numFmt w:val="bullet"/>
      <w:lvlText w:val=""/>
      <w:lvlJc w:val="left"/>
      <w:pPr>
        <w:ind w:left="1080" w:hanging="360"/>
      </w:pPr>
      <w:rPr>
        <w:rFonts w:ascii="Symbol" w:hAnsi="Symbol"/>
      </w:rPr>
    </w:lvl>
    <w:lvl w:ilvl="3" w:tplc="C25CBFC0">
      <w:start w:val="1"/>
      <w:numFmt w:val="bullet"/>
      <w:lvlText w:val=""/>
      <w:lvlJc w:val="left"/>
      <w:pPr>
        <w:ind w:left="1080" w:hanging="360"/>
      </w:pPr>
      <w:rPr>
        <w:rFonts w:ascii="Symbol" w:hAnsi="Symbol"/>
      </w:rPr>
    </w:lvl>
    <w:lvl w:ilvl="4" w:tplc="DBD286A0">
      <w:start w:val="1"/>
      <w:numFmt w:val="bullet"/>
      <w:lvlText w:val=""/>
      <w:lvlJc w:val="left"/>
      <w:pPr>
        <w:ind w:left="1080" w:hanging="360"/>
      </w:pPr>
      <w:rPr>
        <w:rFonts w:ascii="Symbol" w:hAnsi="Symbol"/>
      </w:rPr>
    </w:lvl>
    <w:lvl w:ilvl="5" w:tplc="39D89232">
      <w:start w:val="1"/>
      <w:numFmt w:val="bullet"/>
      <w:lvlText w:val=""/>
      <w:lvlJc w:val="left"/>
      <w:pPr>
        <w:ind w:left="1080" w:hanging="360"/>
      </w:pPr>
      <w:rPr>
        <w:rFonts w:ascii="Symbol" w:hAnsi="Symbol"/>
      </w:rPr>
    </w:lvl>
    <w:lvl w:ilvl="6" w:tplc="1CC86EA4">
      <w:start w:val="1"/>
      <w:numFmt w:val="bullet"/>
      <w:lvlText w:val=""/>
      <w:lvlJc w:val="left"/>
      <w:pPr>
        <w:ind w:left="1080" w:hanging="360"/>
      </w:pPr>
      <w:rPr>
        <w:rFonts w:ascii="Symbol" w:hAnsi="Symbol"/>
      </w:rPr>
    </w:lvl>
    <w:lvl w:ilvl="7" w:tplc="FEE685FE">
      <w:start w:val="1"/>
      <w:numFmt w:val="bullet"/>
      <w:lvlText w:val=""/>
      <w:lvlJc w:val="left"/>
      <w:pPr>
        <w:ind w:left="1080" w:hanging="360"/>
      </w:pPr>
      <w:rPr>
        <w:rFonts w:ascii="Symbol" w:hAnsi="Symbol"/>
      </w:rPr>
    </w:lvl>
    <w:lvl w:ilvl="8" w:tplc="E93654DA">
      <w:start w:val="1"/>
      <w:numFmt w:val="bullet"/>
      <w:lvlText w:val=""/>
      <w:lvlJc w:val="left"/>
      <w:pPr>
        <w:ind w:left="1080" w:hanging="360"/>
      </w:pPr>
      <w:rPr>
        <w:rFonts w:ascii="Symbol" w:hAnsi="Symbol"/>
      </w:rPr>
    </w:lvl>
  </w:abstractNum>
  <w:abstractNum w:abstractNumId="6"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E73F5E"/>
    <w:multiLevelType w:val="hybridMultilevel"/>
    <w:tmpl w:val="2CE46AB2"/>
    <w:lvl w:ilvl="0" w:tplc="796EF4DC">
      <w:start w:val="2"/>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43275"/>
    <w:multiLevelType w:val="hybridMultilevel"/>
    <w:tmpl w:val="BFC8E5B4"/>
    <w:lvl w:ilvl="0" w:tplc="D8586666">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411F0"/>
    <w:multiLevelType w:val="hybridMultilevel"/>
    <w:tmpl w:val="0DD62B52"/>
    <w:lvl w:ilvl="0" w:tplc="D76A90BE">
      <w:start w:val="1"/>
      <w:numFmt w:val="upperLetter"/>
      <w:lvlText w:val="%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6269FB"/>
    <w:multiLevelType w:val="hybridMultilevel"/>
    <w:tmpl w:val="7B76F36C"/>
    <w:lvl w:ilvl="0" w:tplc="0186E3A6">
      <w:start w:val="1"/>
      <w:numFmt w:val="upperLetter"/>
      <w:lvlText w:val="%1."/>
      <w:lvlJc w:val="left"/>
      <w:pPr>
        <w:ind w:left="900" w:hanging="360"/>
      </w:pPr>
      <w:rPr>
        <w:rFonts w:hint="default"/>
        <w:b w:val="0"/>
        <w:bCs/>
        <w:i w:val="0"/>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F6542"/>
    <w:multiLevelType w:val="hybridMultilevel"/>
    <w:tmpl w:val="960CC452"/>
    <w:lvl w:ilvl="0" w:tplc="12A235D8">
      <w:start w:val="1"/>
      <w:numFmt w:val="upperLetter"/>
      <w:lvlText w:val="%1."/>
      <w:lvlJc w:val="left"/>
      <w:pPr>
        <w:ind w:left="900" w:hanging="360"/>
      </w:pPr>
      <w:rPr>
        <w:rFonts w:hint="default"/>
        <w:b w:val="0"/>
        <w:bCs/>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A54DC"/>
    <w:multiLevelType w:val="hybridMultilevel"/>
    <w:tmpl w:val="709691A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4D270D3"/>
    <w:multiLevelType w:val="hybridMultilevel"/>
    <w:tmpl w:val="F252F776"/>
    <w:lvl w:ilvl="0" w:tplc="9BF48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A5ED6"/>
    <w:multiLevelType w:val="hybridMultilevel"/>
    <w:tmpl w:val="01D6D59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0B60C2"/>
    <w:multiLevelType w:val="hybridMultilevel"/>
    <w:tmpl w:val="818407EA"/>
    <w:lvl w:ilvl="0" w:tplc="F6081B58">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15:restartNumberingAfterBreak="0">
    <w:nsid w:val="5C8B1A41"/>
    <w:multiLevelType w:val="hybridMultilevel"/>
    <w:tmpl w:val="C08E9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5745B2"/>
    <w:multiLevelType w:val="hybridMultilevel"/>
    <w:tmpl w:val="134CB56A"/>
    <w:lvl w:ilvl="0" w:tplc="13D41ACA">
      <w:start w:val="1"/>
      <w:numFmt w:val="bullet"/>
      <w:lvlText w:val=""/>
      <w:lvlJc w:val="left"/>
      <w:pPr>
        <w:ind w:left="1080" w:hanging="360"/>
      </w:pPr>
      <w:rPr>
        <w:rFonts w:ascii="Symbol" w:hAnsi="Symbol"/>
      </w:rPr>
    </w:lvl>
    <w:lvl w:ilvl="1" w:tplc="2E6077DE">
      <w:start w:val="1"/>
      <w:numFmt w:val="bullet"/>
      <w:lvlText w:val=""/>
      <w:lvlJc w:val="left"/>
      <w:pPr>
        <w:ind w:left="1080" w:hanging="360"/>
      </w:pPr>
      <w:rPr>
        <w:rFonts w:ascii="Symbol" w:hAnsi="Symbol"/>
      </w:rPr>
    </w:lvl>
    <w:lvl w:ilvl="2" w:tplc="FEB057BE">
      <w:start w:val="1"/>
      <w:numFmt w:val="bullet"/>
      <w:lvlText w:val=""/>
      <w:lvlJc w:val="left"/>
      <w:pPr>
        <w:ind w:left="1080" w:hanging="360"/>
      </w:pPr>
      <w:rPr>
        <w:rFonts w:ascii="Symbol" w:hAnsi="Symbol"/>
      </w:rPr>
    </w:lvl>
    <w:lvl w:ilvl="3" w:tplc="9BA8E1A0">
      <w:start w:val="1"/>
      <w:numFmt w:val="bullet"/>
      <w:lvlText w:val=""/>
      <w:lvlJc w:val="left"/>
      <w:pPr>
        <w:ind w:left="1080" w:hanging="360"/>
      </w:pPr>
      <w:rPr>
        <w:rFonts w:ascii="Symbol" w:hAnsi="Symbol"/>
      </w:rPr>
    </w:lvl>
    <w:lvl w:ilvl="4" w:tplc="77E02C28">
      <w:start w:val="1"/>
      <w:numFmt w:val="bullet"/>
      <w:lvlText w:val=""/>
      <w:lvlJc w:val="left"/>
      <w:pPr>
        <w:ind w:left="1080" w:hanging="360"/>
      </w:pPr>
      <w:rPr>
        <w:rFonts w:ascii="Symbol" w:hAnsi="Symbol"/>
      </w:rPr>
    </w:lvl>
    <w:lvl w:ilvl="5" w:tplc="787CA166">
      <w:start w:val="1"/>
      <w:numFmt w:val="bullet"/>
      <w:lvlText w:val=""/>
      <w:lvlJc w:val="left"/>
      <w:pPr>
        <w:ind w:left="1080" w:hanging="360"/>
      </w:pPr>
      <w:rPr>
        <w:rFonts w:ascii="Symbol" w:hAnsi="Symbol"/>
      </w:rPr>
    </w:lvl>
    <w:lvl w:ilvl="6" w:tplc="3E04ADD2">
      <w:start w:val="1"/>
      <w:numFmt w:val="bullet"/>
      <w:lvlText w:val=""/>
      <w:lvlJc w:val="left"/>
      <w:pPr>
        <w:ind w:left="1080" w:hanging="360"/>
      </w:pPr>
      <w:rPr>
        <w:rFonts w:ascii="Symbol" w:hAnsi="Symbol"/>
      </w:rPr>
    </w:lvl>
    <w:lvl w:ilvl="7" w:tplc="C97E82F6">
      <w:start w:val="1"/>
      <w:numFmt w:val="bullet"/>
      <w:lvlText w:val=""/>
      <w:lvlJc w:val="left"/>
      <w:pPr>
        <w:ind w:left="1080" w:hanging="360"/>
      </w:pPr>
      <w:rPr>
        <w:rFonts w:ascii="Symbol" w:hAnsi="Symbol"/>
      </w:rPr>
    </w:lvl>
    <w:lvl w:ilvl="8" w:tplc="8A740010">
      <w:start w:val="1"/>
      <w:numFmt w:val="bullet"/>
      <w:lvlText w:val=""/>
      <w:lvlJc w:val="left"/>
      <w:pPr>
        <w:ind w:left="1080" w:hanging="360"/>
      </w:pPr>
      <w:rPr>
        <w:rFonts w:ascii="Symbol" w:hAnsi="Symbol"/>
      </w:rPr>
    </w:lvl>
  </w:abstractNum>
  <w:abstractNum w:abstractNumId="30"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53589"/>
    <w:multiLevelType w:val="hybridMultilevel"/>
    <w:tmpl w:val="5336AEA0"/>
    <w:lvl w:ilvl="0" w:tplc="E384D2F4">
      <w:start w:val="1"/>
      <w:numFmt w:val="decimal"/>
      <w:lvlText w:val="%1."/>
      <w:lvlJc w:val="left"/>
      <w:pPr>
        <w:ind w:left="1170" w:hanging="360"/>
      </w:pPr>
      <w:rPr>
        <w:rFonts w:hint="default"/>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56B64"/>
    <w:multiLevelType w:val="hybridMultilevel"/>
    <w:tmpl w:val="4C549802"/>
    <w:lvl w:ilvl="0" w:tplc="CA64FEA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C304B2"/>
    <w:multiLevelType w:val="hybridMultilevel"/>
    <w:tmpl w:val="6B0AD3C2"/>
    <w:lvl w:ilvl="0" w:tplc="D8586666">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4E5CEB"/>
    <w:multiLevelType w:val="hybridMultilevel"/>
    <w:tmpl w:val="3882437C"/>
    <w:lvl w:ilvl="0" w:tplc="794A8C4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480028074">
    <w:abstractNumId w:val="38"/>
  </w:num>
  <w:num w:numId="2" w16cid:durableId="1468623773">
    <w:abstractNumId w:val="0"/>
  </w:num>
  <w:num w:numId="3" w16cid:durableId="616327709">
    <w:abstractNumId w:val="13"/>
  </w:num>
  <w:num w:numId="4" w16cid:durableId="761730862">
    <w:abstractNumId w:val="17"/>
  </w:num>
  <w:num w:numId="5" w16cid:durableId="549650745">
    <w:abstractNumId w:val="18"/>
  </w:num>
  <w:num w:numId="6" w16cid:durableId="1181697942">
    <w:abstractNumId w:val="30"/>
  </w:num>
  <w:num w:numId="7" w16cid:durableId="1675375362">
    <w:abstractNumId w:val="32"/>
  </w:num>
  <w:num w:numId="8" w16cid:durableId="1367563055">
    <w:abstractNumId w:val="3"/>
  </w:num>
  <w:num w:numId="9" w16cid:durableId="478036044">
    <w:abstractNumId w:val="25"/>
  </w:num>
  <w:num w:numId="10" w16cid:durableId="207306168">
    <w:abstractNumId w:val="11"/>
  </w:num>
  <w:num w:numId="11" w16cid:durableId="786120390">
    <w:abstractNumId w:val="37"/>
  </w:num>
  <w:num w:numId="12" w16cid:durableId="1728649530">
    <w:abstractNumId w:val="16"/>
  </w:num>
  <w:num w:numId="13" w16cid:durableId="454835008">
    <w:abstractNumId w:val="14"/>
  </w:num>
  <w:num w:numId="14" w16cid:durableId="392196252">
    <w:abstractNumId w:val="8"/>
  </w:num>
  <w:num w:numId="15" w16cid:durableId="829559016">
    <w:abstractNumId w:val="12"/>
  </w:num>
  <w:num w:numId="16" w16cid:durableId="1334793918">
    <w:abstractNumId w:val="34"/>
  </w:num>
  <w:num w:numId="17" w16cid:durableId="1299457339">
    <w:abstractNumId w:val="26"/>
  </w:num>
  <w:num w:numId="18" w16cid:durableId="2070418352">
    <w:abstractNumId w:val="20"/>
  </w:num>
  <w:num w:numId="19" w16cid:durableId="1424909218">
    <w:abstractNumId w:val="10"/>
  </w:num>
  <w:num w:numId="20" w16cid:durableId="1149900123">
    <w:abstractNumId w:val="6"/>
  </w:num>
  <w:num w:numId="21" w16cid:durableId="1624264963">
    <w:abstractNumId w:val="28"/>
  </w:num>
  <w:num w:numId="22" w16cid:durableId="1366175594">
    <w:abstractNumId w:val="19"/>
  </w:num>
  <w:num w:numId="23" w16cid:durableId="175850111">
    <w:abstractNumId w:val="33"/>
  </w:num>
  <w:num w:numId="24" w16cid:durableId="235558301">
    <w:abstractNumId w:val="7"/>
  </w:num>
  <w:num w:numId="25" w16cid:durableId="631180256">
    <w:abstractNumId w:val="31"/>
  </w:num>
  <w:num w:numId="26" w16cid:durableId="1862474168">
    <w:abstractNumId w:val="4"/>
  </w:num>
  <w:num w:numId="27" w16cid:durableId="1522284305">
    <w:abstractNumId w:val="9"/>
  </w:num>
  <w:num w:numId="28" w16cid:durableId="205214807">
    <w:abstractNumId w:val="35"/>
  </w:num>
  <w:num w:numId="29" w16cid:durableId="96682606">
    <w:abstractNumId w:val="15"/>
  </w:num>
  <w:num w:numId="30" w16cid:durableId="451020830">
    <w:abstractNumId w:val="21"/>
  </w:num>
  <w:num w:numId="31" w16cid:durableId="2120102356">
    <w:abstractNumId w:val="22"/>
  </w:num>
  <w:num w:numId="32" w16cid:durableId="1074821443">
    <w:abstractNumId w:val="24"/>
  </w:num>
  <w:num w:numId="33" w16cid:durableId="193738446">
    <w:abstractNumId w:val="23"/>
  </w:num>
  <w:num w:numId="34" w16cid:durableId="783884656">
    <w:abstractNumId w:val="1"/>
  </w:num>
  <w:num w:numId="35" w16cid:durableId="2045860758">
    <w:abstractNumId w:val="2"/>
  </w:num>
  <w:num w:numId="36" w16cid:durableId="923033661">
    <w:abstractNumId w:val="36"/>
  </w:num>
  <w:num w:numId="37" w16cid:durableId="825516409">
    <w:abstractNumId w:val="27"/>
  </w:num>
  <w:num w:numId="38" w16cid:durableId="1821263260">
    <w:abstractNumId w:val="29"/>
  </w:num>
  <w:num w:numId="39" w16cid:durableId="1238633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568D"/>
    <w:rsid w:val="00014BA1"/>
    <w:rsid w:val="00023F75"/>
    <w:rsid w:val="000300B9"/>
    <w:rsid w:val="00032D3F"/>
    <w:rsid w:val="0003758F"/>
    <w:rsid w:val="00040F88"/>
    <w:rsid w:val="0004333B"/>
    <w:rsid w:val="000465DE"/>
    <w:rsid w:val="0004733E"/>
    <w:rsid w:val="000501B3"/>
    <w:rsid w:val="00060509"/>
    <w:rsid w:val="000671CC"/>
    <w:rsid w:val="000678AD"/>
    <w:rsid w:val="00080242"/>
    <w:rsid w:val="00083740"/>
    <w:rsid w:val="00084F40"/>
    <w:rsid w:val="00094136"/>
    <w:rsid w:val="000A2B1B"/>
    <w:rsid w:val="000A481D"/>
    <w:rsid w:val="000A7488"/>
    <w:rsid w:val="000C05C6"/>
    <w:rsid w:val="000C1713"/>
    <w:rsid w:val="000C1E94"/>
    <w:rsid w:val="000D0C3B"/>
    <w:rsid w:val="000D40D3"/>
    <w:rsid w:val="000D5B42"/>
    <w:rsid w:val="000E1F4D"/>
    <w:rsid w:val="000E46B5"/>
    <w:rsid w:val="000E62F1"/>
    <w:rsid w:val="000E69E5"/>
    <w:rsid w:val="000F10C2"/>
    <w:rsid w:val="000F5247"/>
    <w:rsid w:val="000F7EF9"/>
    <w:rsid w:val="001107DF"/>
    <w:rsid w:val="001112A2"/>
    <w:rsid w:val="00113B6A"/>
    <w:rsid w:val="001148A8"/>
    <w:rsid w:val="00117E44"/>
    <w:rsid w:val="00121958"/>
    <w:rsid w:val="00122C27"/>
    <w:rsid w:val="00125292"/>
    <w:rsid w:val="00126C51"/>
    <w:rsid w:val="00126C7A"/>
    <w:rsid w:val="001274C2"/>
    <w:rsid w:val="00133A69"/>
    <w:rsid w:val="00133B0F"/>
    <w:rsid w:val="0013545F"/>
    <w:rsid w:val="001372C7"/>
    <w:rsid w:val="0014316D"/>
    <w:rsid w:val="001433F7"/>
    <w:rsid w:val="00145334"/>
    <w:rsid w:val="00146C6E"/>
    <w:rsid w:val="00153927"/>
    <w:rsid w:val="00153E3B"/>
    <w:rsid w:val="00162350"/>
    <w:rsid w:val="00170B14"/>
    <w:rsid w:val="00174ADD"/>
    <w:rsid w:val="00174FCB"/>
    <w:rsid w:val="001818D7"/>
    <w:rsid w:val="00182114"/>
    <w:rsid w:val="00185104"/>
    <w:rsid w:val="001962BE"/>
    <w:rsid w:val="00196689"/>
    <w:rsid w:val="00196935"/>
    <w:rsid w:val="0019746F"/>
    <w:rsid w:val="001A4CB4"/>
    <w:rsid w:val="001B3E49"/>
    <w:rsid w:val="001D0D34"/>
    <w:rsid w:val="001D24BC"/>
    <w:rsid w:val="001D70D4"/>
    <w:rsid w:val="001E03F4"/>
    <w:rsid w:val="001E5074"/>
    <w:rsid w:val="001E7D12"/>
    <w:rsid w:val="001F04DE"/>
    <w:rsid w:val="001F5271"/>
    <w:rsid w:val="001F547C"/>
    <w:rsid w:val="001F636B"/>
    <w:rsid w:val="001F6DBD"/>
    <w:rsid w:val="001F769E"/>
    <w:rsid w:val="0020675F"/>
    <w:rsid w:val="002076C9"/>
    <w:rsid w:val="00210A54"/>
    <w:rsid w:val="00211F79"/>
    <w:rsid w:val="0021468C"/>
    <w:rsid w:val="00220736"/>
    <w:rsid w:val="00230AB3"/>
    <w:rsid w:val="00230FE4"/>
    <w:rsid w:val="00233651"/>
    <w:rsid w:val="002346C7"/>
    <w:rsid w:val="00243F55"/>
    <w:rsid w:val="00250279"/>
    <w:rsid w:val="00254020"/>
    <w:rsid w:val="0025452A"/>
    <w:rsid w:val="0025781D"/>
    <w:rsid w:val="00262438"/>
    <w:rsid w:val="00283B1F"/>
    <w:rsid w:val="00285997"/>
    <w:rsid w:val="002864C5"/>
    <w:rsid w:val="00287CF7"/>
    <w:rsid w:val="00293266"/>
    <w:rsid w:val="002940A7"/>
    <w:rsid w:val="002974AA"/>
    <w:rsid w:val="0029772B"/>
    <w:rsid w:val="002A39EE"/>
    <w:rsid w:val="002A680E"/>
    <w:rsid w:val="002B0582"/>
    <w:rsid w:val="002B2869"/>
    <w:rsid w:val="002B3DA3"/>
    <w:rsid w:val="002B4A02"/>
    <w:rsid w:val="002C2878"/>
    <w:rsid w:val="002C4ADA"/>
    <w:rsid w:val="002C6AAB"/>
    <w:rsid w:val="002D019A"/>
    <w:rsid w:val="002D1D00"/>
    <w:rsid w:val="002D2F74"/>
    <w:rsid w:val="002D351B"/>
    <w:rsid w:val="002D78C4"/>
    <w:rsid w:val="002E2B6E"/>
    <w:rsid w:val="002E408E"/>
    <w:rsid w:val="002E48E7"/>
    <w:rsid w:val="002E5306"/>
    <w:rsid w:val="002E7835"/>
    <w:rsid w:val="002E7DD1"/>
    <w:rsid w:val="002F1574"/>
    <w:rsid w:val="003012CC"/>
    <w:rsid w:val="003023B5"/>
    <w:rsid w:val="003026F4"/>
    <w:rsid w:val="00303C47"/>
    <w:rsid w:val="00307401"/>
    <w:rsid w:val="003134A9"/>
    <w:rsid w:val="003140D6"/>
    <w:rsid w:val="00315D1F"/>
    <w:rsid w:val="00322A30"/>
    <w:rsid w:val="00330E27"/>
    <w:rsid w:val="00332CB3"/>
    <w:rsid w:val="00336E37"/>
    <w:rsid w:val="00340AC6"/>
    <w:rsid w:val="00342C7E"/>
    <w:rsid w:val="00350BB0"/>
    <w:rsid w:val="00350F22"/>
    <w:rsid w:val="00357EA1"/>
    <w:rsid w:val="00366562"/>
    <w:rsid w:val="003839AF"/>
    <w:rsid w:val="003840CC"/>
    <w:rsid w:val="003902E9"/>
    <w:rsid w:val="003947F5"/>
    <w:rsid w:val="00396A8D"/>
    <w:rsid w:val="003A02BD"/>
    <w:rsid w:val="003A2F2B"/>
    <w:rsid w:val="003A56A6"/>
    <w:rsid w:val="003B0506"/>
    <w:rsid w:val="003B4AE0"/>
    <w:rsid w:val="003B4DF9"/>
    <w:rsid w:val="003B5C7E"/>
    <w:rsid w:val="003C4002"/>
    <w:rsid w:val="003D0ED7"/>
    <w:rsid w:val="003D5245"/>
    <w:rsid w:val="003D586D"/>
    <w:rsid w:val="003D7BE7"/>
    <w:rsid w:val="003E701A"/>
    <w:rsid w:val="003F3D44"/>
    <w:rsid w:val="004021C0"/>
    <w:rsid w:val="0040485F"/>
    <w:rsid w:val="00406E53"/>
    <w:rsid w:val="00426A25"/>
    <w:rsid w:val="004304AB"/>
    <w:rsid w:val="00434EB0"/>
    <w:rsid w:val="00441E1F"/>
    <w:rsid w:val="00442BB3"/>
    <w:rsid w:val="00447FBA"/>
    <w:rsid w:val="004662B2"/>
    <w:rsid w:val="004663FB"/>
    <w:rsid w:val="004705D2"/>
    <w:rsid w:val="00472C6C"/>
    <w:rsid w:val="00473466"/>
    <w:rsid w:val="0047774E"/>
    <w:rsid w:val="00477900"/>
    <w:rsid w:val="00480151"/>
    <w:rsid w:val="004806B5"/>
    <w:rsid w:val="00480C09"/>
    <w:rsid w:val="00490BD8"/>
    <w:rsid w:val="00493710"/>
    <w:rsid w:val="00496BCF"/>
    <w:rsid w:val="00497AED"/>
    <w:rsid w:val="004A0727"/>
    <w:rsid w:val="004A0F16"/>
    <w:rsid w:val="004A386B"/>
    <w:rsid w:val="004A4BC0"/>
    <w:rsid w:val="004A5FD8"/>
    <w:rsid w:val="004C0FF4"/>
    <w:rsid w:val="004C144E"/>
    <w:rsid w:val="004C5367"/>
    <w:rsid w:val="004C7108"/>
    <w:rsid w:val="004C7285"/>
    <w:rsid w:val="004E09CC"/>
    <w:rsid w:val="004E0A21"/>
    <w:rsid w:val="004E0B99"/>
    <w:rsid w:val="004E104A"/>
    <w:rsid w:val="004E1B54"/>
    <w:rsid w:val="004E7F8F"/>
    <w:rsid w:val="004F6394"/>
    <w:rsid w:val="00501446"/>
    <w:rsid w:val="00505830"/>
    <w:rsid w:val="005103B8"/>
    <w:rsid w:val="00511C5C"/>
    <w:rsid w:val="005129A0"/>
    <w:rsid w:val="00521D17"/>
    <w:rsid w:val="00525D19"/>
    <w:rsid w:val="00532AE0"/>
    <w:rsid w:val="0053453B"/>
    <w:rsid w:val="00534648"/>
    <w:rsid w:val="005423D4"/>
    <w:rsid w:val="00545E11"/>
    <w:rsid w:val="00552F6B"/>
    <w:rsid w:val="005537B0"/>
    <w:rsid w:val="00554D99"/>
    <w:rsid w:val="00564B5E"/>
    <w:rsid w:val="00567DCA"/>
    <w:rsid w:val="005776FD"/>
    <w:rsid w:val="005801CE"/>
    <w:rsid w:val="00580918"/>
    <w:rsid w:val="00583376"/>
    <w:rsid w:val="005850A4"/>
    <w:rsid w:val="00585293"/>
    <w:rsid w:val="00590AE5"/>
    <w:rsid w:val="00594ECF"/>
    <w:rsid w:val="005971B8"/>
    <w:rsid w:val="005A50D3"/>
    <w:rsid w:val="005B16F7"/>
    <w:rsid w:val="005C17DF"/>
    <w:rsid w:val="005C2616"/>
    <w:rsid w:val="005C2CB3"/>
    <w:rsid w:val="005C3607"/>
    <w:rsid w:val="005C3DDD"/>
    <w:rsid w:val="005D009F"/>
    <w:rsid w:val="005D1AD4"/>
    <w:rsid w:val="005D2564"/>
    <w:rsid w:val="005D2EA3"/>
    <w:rsid w:val="005D36A7"/>
    <w:rsid w:val="005D48CD"/>
    <w:rsid w:val="005D4D08"/>
    <w:rsid w:val="005D5146"/>
    <w:rsid w:val="005D7B81"/>
    <w:rsid w:val="005D7E44"/>
    <w:rsid w:val="005E411E"/>
    <w:rsid w:val="005F051C"/>
    <w:rsid w:val="005F1540"/>
    <w:rsid w:val="005F67F0"/>
    <w:rsid w:val="0060667F"/>
    <w:rsid w:val="006164D9"/>
    <w:rsid w:val="00616D80"/>
    <w:rsid w:val="00622D52"/>
    <w:rsid w:val="00624811"/>
    <w:rsid w:val="00632782"/>
    <w:rsid w:val="00633144"/>
    <w:rsid w:val="006340C0"/>
    <w:rsid w:val="0063604E"/>
    <w:rsid w:val="0063639C"/>
    <w:rsid w:val="00640D2E"/>
    <w:rsid w:val="006413BF"/>
    <w:rsid w:val="00641C62"/>
    <w:rsid w:val="00644755"/>
    <w:rsid w:val="006474BB"/>
    <w:rsid w:val="00647539"/>
    <w:rsid w:val="006522C3"/>
    <w:rsid w:val="00654D60"/>
    <w:rsid w:val="00657E19"/>
    <w:rsid w:val="00663DB0"/>
    <w:rsid w:val="006664E9"/>
    <w:rsid w:val="0067019C"/>
    <w:rsid w:val="0068433F"/>
    <w:rsid w:val="00695699"/>
    <w:rsid w:val="00697AF1"/>
    <w:rsid w:val="006A774A"/>
    <w:rsid w:val="006B07B3"/>
    <w:rsid w:val="006B6809"/>
    <w:rsid w:val="006B7BC2"/>
    <w:rsid w:val="006C0289"/>
    <w:rsid w:val="006C5461"/>
    <w:rsid w:val="006C5D1F"/>
    <w:rsid w:val="006C74DF"/>
    <w:rsid w:val="006D3479"/>
    <w:rsid w:val="006E1F04"/>
    <w:rsid w:val="006E3D87"/>
    <w:rsid w:val="006E5A26"/>
    <w:rsid w:val="006F1FD7"/>
    <w:rsid w:val="006F2B22"/>
    <w:rsid w:val="006F4D70"/>
    <w:rsid w:val="007014D3"/>
    <w:rsid w:val="00701538"/>
    <w:rsid w:val="007075DD"/>
    <w:rsid w:val="0070775E"/>
    <w:rsid w:val="0071395A"/>
    <w:rsid w:val="007163E2"/>
    <w:rsid w:val="00717FE5"/>
    <w:rsid w:val="007207F7"/>
    <w:rsid w:val="007231B1"/>
    <w:rsid w:val="007238C1"/>
    <w:rsid w:val="00724F5E"/>
    <w:rsid w:val="00731470"/>
    <w:rsid w:val="00733035"/>
    <w:rsid w:val="00744250"/>
    <w:rsid w:val="00744876"/>
    <w:rsid w:val="00747276"/>
    <w:rsid w:val="00750443"/>
    <w:rsid w:val="007530F6"/>
    <w:rsid w:val="00754E78"/>
    <w:rsid w:val="00771D4C"/>
    <w:rsid w:val="007756B8"/>
    <w:rsid w:val="007764CE"/>
    <w:rsid w:val="0078409B"/>
    <w:rsid w:val="007921F4"/>
    <w:rsid w:val="00792ABF"/>
    <w:rsid w:val="007A0BCC"/>
    <w:rsid w:val="007B07AE"/>
    <w:rsid w:val="007B3B46"/>
    <w:rsid w:val="007B50D0"/>
    <w:rsid w:val="007B57BA"/>
    <w:rsid w:val="007C3715"/>
    <w:rsid w:val="007C6382"/>
    <w:rsid w:val="007D45C5"/>
    <w:rsid w:val="007D4801"/>
    <w:rsid w:val="007D5F29"/>
    <w:rsid w:val="007F1F19"/>
    <w:rsid w:val="007F27B3"/>
    <w:rsid w:val="007F2E37"/>
    <w:rsid w:val="00800225"/>
    <w:rsid w:val="00800C33"/>
    <w:rsid w:val="00805155"/>
    <w:rsid w:val="008075DB"/>
    <w:rsid w:val="008136A0"/>
    <w:rsid w:val="00814159"/>
    <w:rsid w:val="00815A47"/>
    <w:rsid w:val="00817ACF"/>
    <w:rsid w:val="00834994"/>
    <w:rsid w:val="008351CD"/>
    <w:rsid w:val="00837743"/>
    <w:rsid w:val="0084069B"/>
    <w:rsid w:val="0084096A"/>
    <w:rsid w:val="00842D18"/>
    <w:rsid w:val="00857C10"/>
    <w:rsid w:val="008649E0"/>
    <w:rsid w:val="00875924"/>
    <w:rsid w:val="00877EC7"/>
    <w:rsid w:val="008804E8"/>
    <w:rsid w:val="00891C35"/>
    <w:rsid w:val="00895780"/>
    <w:rsid w:val="00895CDE"/>
    <w:rsid w:val="00896118"/>
    <w:rsid w:val="00896E94"/>
    <w:rsid w:val="0089729D"/>
    <w:rsid w:val="008A21E4"/>
    <w:rsid w:val="008A4F95"/>
    <w:rsid w:val="008A671C"/>
    <w:rsid w:val="008A69E3"/>
    <w:rsid w:val="008B0705"/>
    <w:rsid w:val="008B5095"/>
    <w:rsid w:val="008B6D4C"/>
    <w:rsid w:val="008C2ADA"/>
    <w:rsid w:val="008C6B3A"/>
    <w:rsid w:val="008C71B0"/>
    <w:rsid w:val="008D4619"/>
    <w:rsid w:val="008E5538"/>
    <w:rsid w:val="008F2046"/>
    <w:rsid w:val="008F2923"/>
    <w:rsid w:val="008F3561"/>
    <w:rsid w:val="008F5EF5"/>
    <w:rsid w:val="00902C9B"/>
    <w:rsid w:val="0091067F"/>
    <w:rsid w:val="009135E0"/>
    <w:rsid w:val="00915CA4"/>
    <w:rsid w:val="00927035"/>
    <w:rsid w:val="00931E1D"/>
    <w:rsid w:val="00932355"/>
    <w:rsid w:val="009345F4"/>
    <w:rsid w:val="00940118"/>
    <w:rsid w:val="00943EAD"/>
    <w:rsid w:val="009447D6"/>
    <w:rsid w:val="0094649A"/>
    <w:rsid w:val="00950820"/>
    <w:rsid w:val="0095482D"/>
    <w:rsid w:val="009554E7"/>
    <w:rsid w:val="00957578"/>
    <w:rsid w:val="00961071"/>
    <w:rsid w:val="00963062"/>
    <w:rsid w:val="009632C5"/>
    <w:rsid w:val="0096551B"/>
    <w:rsid w:val="009735FA"/>
    <w:rsid w:val="009736DB"/>
    <w:rsid w:val="009779F3"/>
    <w:rsid w:val="00977ECA"/>
    <w:rsid w:val="00980A25"/>
    <w:rsid w:val="00982180"/>
    <w:rsid w:val="00983A30"/>
    <w:rsid w:val="00985A8A"/>
    <w:rsid w:val="009866D0"/>
    <w:rsid w:val="0099192A"/>
    <w:rsid w:val="009928B2"/>
    <w:rsid w:val="009A5178"/>
    <w:rsid w:val="009A6BBE"/>
    <w:rsid w:val="009B4807"/>
    <w:rsid w:val="009C0A55"/>
    <w:rsid w:val="009C61B2"/>
    <w:rsid w:val="009C76F9"/>
    <w:rsid w:val="009D5928"/>
    <w:rsid w:val="009E5201"/>
    <w:rsid w:val="009E6F29"/>
    <w:rsid w:val="00A000EB"/>
    <w:rsid w:val="00A05C55"/>
    <w:rsid w:val="00A167B0"/>
    <w:rsid w:val="00A20AF3"/>
    <w:rsid w:val="00A20F73"/>
    <w:rsid w:val="00A2277E"/>
    <w:rsid w:val="00A30D0F"/>
    <w:rsid w:val="00A41599"/>
    <w:rsid w:val="00A41876"/>
    <w:rsid w:val="00A41969"/>
    <w:rsid w:val="00A41E61"/>
    <w:rsid w:val="00A41E9F"/>
    <w:rsid w:val="00A55A8D"/>
    <w:rsid w:val="00A60413"/>
    <w:rsid w:val="00A65EBF"/>
    <w:rsid w:val="00A76DC4"/>
    <w:rsid w:val="00A82B46"/>
    <w:rsid w:val="00A83658"/>
    <w:rsid w:val="00A85489"/>
    <w:rsid w:val="00A86BC5"/>
    <w:rsid w:val="00A871F0"/>
    <w:rsid w:val="00A87B1F"/>
    <w:rsid w:val="00A91054"/>
    <w:rsid w:val="00A91775"/>
    <w:rsid w:val="00AA0C19"/>
    <w:rsid w:val="00AA253F"/>
    <w:rsid w:val="00AA336E"/>
    <w:rsid w:val="00AA428E"/>
    <w:rsid w:val="00AA6FCD"/>
    <w:rsid w:val="00AB417A"/>
    <w:rsid w:val="00AB41B7"/>
    <w:rsid w:val="00AC4E9C"/>
    <w:rsid w:val="00AD1AA6"/>
    <w:rsid w:val="00AE2006"/>
    <w:rsid w:val="00AE4312"/>
    <w:rsid w:val="00AE7E96"/>
    <w:rsid w:val="00AF0948"/>
    <w:rsid w:val="00AF1F2A"/>
    <w:rsid w:val="00AF30EF"/>
    <w:rsid w:val="00AF3691"/>
    <w:rsid w:val="00AF3D8A"/>
    <w:rsid w:val="00AF51B8"/>
    <w:rsid w:val="00AF5490"/>
    <w:rsid w:val="00AF5722"/>
    <w:rsid w:val="00B008E5"/>
    <w:rsid w:val="00B012AC"/>
    <w:rsid w:val="00B015DF"/>
    <w:rsid w:val="00B2207E"/>
    <w:rsid w:val="00B30DDD"/>
    <w:rsid w:val="00B32BBF"/>
    <w:rsid w:val="00B3561E"/>
    <w:rsid w:val="00B42A82"/>
    <w:rsid w:val="00B4633B"/>
    <w:rsid w:val="00B46B4B"/>
    <w:rsid w:val="00B60193"/>
    <w:rsid w:val="00B60CD7"/>
    <w:rsid w:val="00B72115"/>
    <w:rsid w:val="00B77494"/>
    <w:rsid w:val="00B777AF"/>
    <w:rsid w:val="00B8063A"/>
    <w:rsid w:val="00B80AA4"/>
    <w:rsid w:val="00B81789"/>
    <w:rsid w:val="00B83DC3"/>
    <w:rsid w:val="00B87533"/>
    <w:rsid w:val="00B91C2A"/>
    <w:rsid w:val="00B92DF1"/>
    <w:rsid w:val="00B9744E"/>
    <w:rsid w:val="00BA5197"/>
    <w:rsid w:val="00BA57FF"/>
    <w:rsid w:val="00BA65D9"/>
    <w:rsid w:val="00BA6E80"/>
    <w:rsid w:val="00BA74D9"/>
    <w:rsid w:val="00BB6ED2"/>
    <w:rsid w:val="00BC34E2"/>
    <w:rsid w:val="00BE0198"/>
    <w:rsid w:val="00BE3F5F"/>
    <w:rsid w:val="00BE4EEB"/>
    <w:rsid w:val="00BE7833"/>
    <w:rsid w:val="00BF222C"/>
    <w:rsid w:val="00BF2F7D"/>
    <w:rsid w:val="00BF33B0"/>
    <w:rsid w:val="00BF4150"/>
    <w:rsid w:val="00BF4776"/>
    <w:rsid w:val="00BF6EA0"/>
    <w:rsid w:val="00C01AA6"/>
    <w:rsid w:val="00C032B7"/>
    <w:rsid w:val="00C0540B"/>
    <w:rsid w:val="00C06257"/>
    <w:rsid w:val="00C0674C"/>
    <w:rsid w:val="00C079B0"/>
    <w:rsid w:val="00C103C8"/>
    <w:rsid w:val="00C108CF"/>
    <w:rsid w:val="00C1271B"/>
    <w:rsid w:val="00C14250"/>
    <w:rsid w:val="00C14BC8"/>
    <w:rsid w:val="00C16705"/>
    <w:rsid w:val="00C21CCD"/>
    <w:rsid w:val="00C2297C"/>
    <w:rsid w:val="00C27D7D"/>
    <w:rsid w:val="00C3100D"/>
    <w:rsid w:val="00C3320D"/>
    <w:rsid w:val="00C34012"/>
    <w:rsid w:val="00C412F4"/>
    <w:rsid w:val="00C432CB"/>
    <w:rsid w:val="00C47655"/>
    <w:rsid w:val="00C509DD"/>
    <w:rsid w:val="00C51DAE"/>
    <w:rsid w:val="00C52B45"/>
    <w:rsid w:val="00C55BEF"/>
    <w:rsid w:val="00C55DA5"/>
    <w:rsid w:val="00C571FB"/>
    <w:rsid w:val="00C64BB4"/>
    <w:rsid w:val="00C719DE"/>
    <w:rsid w:val="00C73CF5"/>
    <w:rsid w:val="00C75BD4"/>
    <w:rsid w:val="00C91201"/>
    <w:rsid w:val="00C916DB"/>
    <w:rsid w:val="00C96847"/>
    <w:rsid w:val="00CA136F"/>
    <w:rsid w:val="00CA2C1B"/>
    <w:rsid w:val="00CA35CD"/>
    <w:rsid w:val="00CA40B8"/>
    <w:rsid w:val="00CA477B"/>
    <w:rsid w:val="00CA53B9"/>
    <w:rsid w:val="00CA5C08"/>
    <w:rsid w:val="00CA72D4"/>
    <w:rsid w:val="00CB0E21"/>
    <w:rsid w:val="00CB45E8"/>
    <w:rsid w:val="00CB62DC"/>
    <w:rsid w:val="00CB63DD"/>
    <w:rsid w:val="00CC049E"/>
    <w:rsid w:val="00CC4A40"/>
    <w:rsid w:val="00CD3804"/>
    <w:rsid w:val="00CD604A"/>
    <w:rsid w:val="00CE04D9"/>
    <w:rsid w:val="00CE1388"/>
    <w:rsid w:val="00CE1BD2"/>
    <w:rsid w:val="00CE3160"/>
    <w:rsid w:val="00CE5FD5"/>
    <w:rsid w:val="00CE6153"/>
    <w:rsid w:val="00CF0A29"/>
    <w:rsid w:val="00CF2624"/>
    <w:rsid w:val="00D16B77"/>
    <w:rsid w:val="00D22096"/>
    <w:rsid w:val="00D2283F"/>
    <w:rsid w:val="00D233AC"/>
    <w:rsid w:val="00D260A0"/>
    <w:rsid w:val="00D27BDF"/>
    <w:rsid w:val="00D331B0"/>
    <w:rsid w:val="00D35A4C"/>
    <w:rsid w:val="00D36448"/>
    <w:rsid w:val="00D37120"/>
    <w:rsid w:val="00D52A28"/>
    <w:rsid w:val="00D530F1"/>
    <w:rsid w:val="00D537B8"/>
    <w:rsid w:val="00D554C6"/>
    <w:rsid w:val="00D574CA"/>
    <w:rsid w:val="00D64976"/>
    <w:rsid w:val="00D661CF"/>
    <w:rsid w:val="00D71BC4"/>
    <w:rsid w:val="00D7345E"/>
    <w:rsid w:val="00D82E80"/>
    <w:rsid w:val="00D84804"/>
    <w:rsid w:val="00D974D4"/>
    <w:rsid w:val="00D97965"/>
    <w:rsid w:val="00DA6D7E"/>
    <w:rsid w:val="00DB1DE9"/>
    <w:rsid w:val="00DB7073"/>
    <w:rsid w:val="00DB7DA7"/>
    <w:rsid w:val="00DC3EA2"/>
    <w:rsid w:val="00DD025A"/>
    <w:rsid w:val="00DD3A5F"/>
    <w:rsid w:val="00DD5BCC"/>
    <w:rsid w:val="00DD6ADB"/>
    <w:rsid w:val="00DD7D7A"/>
    <w:rsid w:val="00DE1083"/>
    <w:rsid w:val="00DE18E2"/>
    <w:rsid w:val="00DE64AD"/>
    <w:rsid w:val="00DE6FD0"/>
    <w:rsid w:val="00DF7983"/>
    <w:rsid w:val="00E05B3A"/>
    <w:rsid w:val="00E16E75"/>
    <w:rsid w:val="00E2233C"/>
    <w:rsid w:val="00E225B5"/>
    <w:rsid w:val="00E22E29"/>
    <w:rsid w:val="00E254FC"/>
    <w:rsid w:val="00E2791D"/>
    <w:rsid w:val="00E3524D"/>
    <w:rsid w:val="00E413F0"/>
    <w:rsid w:val="00E427E5"/>
    <w:rsid w:val="00E52842"/>
    <w:rsid w:val="00E57F2E"/>
    <w:rsid w:val="00E649C4"/>
    <w:rsid w:val="00E65EAA"/>
    <w:rsid w:val="00E704EB"/>
    <w:rsid w:val="00E76101"/>
    <w:rsid w:val="00E8002B"/>
    <w:rsid w:val="00E801DA"/>
    <w:rsid w:val="00E8712C"/>
    <w:rsid w:val="00E95869"/>
    <w:rsid w:val="00E97C17"/>
    <w:rsid w:val="00EA3809"/>
    <w:rsid w:val="00EA792D"/>
    <w:rsid w:val="00EB2CCA"/>
    <w:rsid w:val="00EB5ED0"/>
    <w:rsid w:val="00EC4C57"/>
    <w:rsid w:val="00EC74BC"/>
    <w:rsid w:val="00EC75A8"/>
    <w:rsid w:val="00ED0A0D"/>
    <w:rsid w:val="00ED0BFA"/>
    <w:rsid w:val="00ED4CF7"/>
    <w:rsid w:val="00ED5F98"/>
    <w:rsid w:val="00EE16C6"/>
    <w:rsid w:val="00EE4ACA"/>
    <w:rsid w:val="00EE4D95"/>
    <w:rsid w:val="00EF3E0D"/>
    <w:rsid w:val="00EF478B"/>
    <w:rsid w:val="00F0120D"/>
    <w:rsid w:val="00F03DC0"/>
    <w:rsid w:val="00F10B8C"/>
    <w:rsid w:val="00F128D2"/>
    <w:rsid w:val="00F21D2C"/>
    <w:rsid w:val="00F21F36"/>
    <w:rsid w:val="00F2705D"/>
    <w:rsid w:val="00F274FC"/>
    <w:rsid w:val="00F3149E"/>
    <w:rsid w:val="00F32D33"/>
    <w:rsid w:val="00F32E9A"/>
    <w:rsid w:val="00F422E1"/>
    <w:rsid w:val="00F56007"/>
    <w:rsid w:val="00F63814"/>
    <w:rsid w:val="00F67BBD"/>
    <w:rsid w:val="00F71F8E"/>
    <w:rsid w:val="00F73999"/>
    <w:rsid w:val="00F74762"/>
    <w:rsid w:val="00F80DF1"/>
    <w:rsid w:val="00F86101"/>
    <w:rsid w:val="00F93C11"/>
    <w:rsid w:val="00F95133"/>
    <w:rsid w:val="00F97B5E"/>
    <w:rsid w:val="00FA0EEE"/>
    <w:rsid w:val="00FB0592"/>
    <w:rsid w:val="00FB139B"/>
    <w:rsid w:val="00FB19CC"/>
    <w:rsid w:val="00FB301F"/>
    <w:rsid w:val="00FD09CB"/>
    <w:rsid w:val="00FD5EFB"/>
    <w:rsid w:val="00FE290A"/>
    <w:rsid w:val="00FF0728"/>
    <w:rsid w:val="00FF4164"/>
    <w:rsid w:val="00FF4844"/>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AF59BBFC-B21D-4A1D-9F2F-23CBB687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customStyle="1" w:styleId="Heading1Char">
    <w:name w:val="Heading 1 Char"/>
    <w:basedOn w:val="DefaultParagraphFont"/>
    <w:link w:val="Heading1"/>
    <w:rsid w:val="00C27D7D"/>
    <w:rPr>
      <w:rFonts w:eastAsia="Arial Unicode MS"/>
      <w:b/>
      <w:bCs/>
      <w:szCs w:val="12"/>
    </w:rPr>
  </w:style>
  <w:style w:type="character" w:styleId="UnresolvedMention">
    <w:name w:val="Unresolved Mention"/>
    <w:basedOn w:val="DefaultParagraphFont"/>
    <w:uiPriority w:val="99"/>
    <w:semiHidden/>
    <w:unhideWhenUsed/>
    <w:rsid w:val="00E704EB"/>
    <w:rPr>
      <w:color w:val="605E5C"/>
      <w:shd w:val="clear" w:color="auto" w:fill="E1DFDD"/>
    </w:rPr>
  </w:style>
  <w:style w:type="paragraph" w:styleId="Revision">
    <w:name w:val="Revision"/>
    <w:hidden/>
    <w:uiPriority w:val="99"/>
    <w:semiHidden/>
    <w:rsid w:val="00567D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062673287">
      <w:bodyDiv w:val="1"/>
      <w:marLeft w:val="0"/>
      <w:marRight w:val="0"/>
      <w:marTop w:val="0"/>
      <w:marBottom w:val="0"/>
      <w:divBdr>
        <w:top w:val="none" w:sz="0" w:space="0" w:color="auto"/>
        <w:left w:val="none" w:sz="0" w:space="0" w:color="auto"/>
        <w:bottom w:val="none" w:sz="0" w:space="0" w:color="auto"/>
        <w:right w:val="none" w:sz="0" w:space="0" w:color="auto"/>
      </w:divBdr>
      <w:divsChild>
        <w:div w:id="7290375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ir.ca.gov/dwc/MTUS/ACOEM-Guidelines/Chronic-Pain-Guidelin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1016/B978-0-323-40196-8.00063-2" TargetMode="External"/><Relationship Id="rId25"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inegeneral.org/app/files/public/6460f387-09dc-4968-b162-eee6121a1497/aaosbackpain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sipp.org/an-algorithmic-approach-to-epidural-steroid-injections-2/"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ms.hhs.gov/mcd/search.asp.%20Published%20June%2019" TargetMode="Externa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ayesinc.co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0ED7-EAA5-44B0-93E6-0FB39DA75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C5E422-1F02-4F1A-AB2A-32ABB5A1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63690F-EFD9-478B-AE3F-750118304661}">
  <ds:schemaRefs>
    <ds:schemaRef ds:uri="http://schemas.microsoft.com/sharepoint/v3/contenttype/forms"/>
  </ds:schemaRefs>
</ds:datastoreItem>
</file>

<file path=customXml/itemProps4.xml><?xml version="1.0" encoding="utf-8"?>
<ds:datastoreItem xmlns:ds="http://schemas.openxmlformats.org/officeDocument/2006/customXml" ds:itemID="{F028F056-C177-4825-9245-67298F70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3363</Words>
  <Characters>21356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2023-07-07T20:55:00Z</cp:lastPrinted>
  <dcterms:created xsi:type="dcterms:W3CDTF">2025-07-25T13:46:00Z</dcterms:created>
  <dcterms:modified xsi:type="dcterms:W3CDTF">2025-07-25T13:46:00Z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2022-07-01T18:29:33Z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6a6bb732-b042-44c2-bf56-38380ea25e75</vt:lpwstr>
  </property>
  <property fmtid="{D5CDD505-2E9C-101B-9397-08002B2CF9AE}" pid="8" name="MSIP_Label_5a776955-85f6-4fec-9553-96dd3e0373c4_ContentBits">
    <vt:lpwstr>0</vt:lpwstr>
  </property>
</Properties>
</file>