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8226" w14:textId="0157A1AF" w:rsidR="00B777AF" w:rsidRPr="00770CC7" w:rsidRDefault="00230FE4" w:rsidP="00D574CA">
      <w:pPr>
        <w:pStyle w:val="PolicyMainHead"/>
        <w:tabs>
          <w:tab w:val="left" w:pos="360"/>
        </w:tabs>
        <w:spacing w:after="0" w:line="240" w:lineRule="auto"/>
        <w:rPr>
          <w:rFonts w:ascii="Times New Roman" w:hAnsi="Times New Roman"/>
          <w:color w:val="00548C"/>
          <w:sz w:val="36"/>
        </w:rPr>
        <w:sectPr w:rsidR="00B777AF" w:rsidRPr="00770CC7" w:rsidSect="00CB63DD">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sidR="00770CC7">
        <w:rPr>
          <w:rFonts w:ascii="Times New Roman" w:hAnsi="Times New Roman"/>
          <w:color w:val="00548C"/>
          <w:sz w:val="36"/>
        </w:rPr>
        <w:t xml:space="preserve">Policy: </w:t>
      </w:r>
      <w:r w:rsidR="00770CC7" w:rsidRPr="00770CC7">
        <w:rPr>
          <w:rFonts w:ascii="Times New Roman" w:hAnsi="Times New Roman"/>
          <w:color w:val="00548C"/>
          <w:sz w:val="36"/>
        </w:rPr>
        <w:t>Caudal or Interlaminar Epidural Steroid Injections</w:t>
      </w:r>
    </w:p>
    <w:p w14:paraId="1CCCED07" w14:textId="17324413"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770CC7">
        <w:rPr>
          <w:rFonts w:ascii="Times New Roman" w:hAnsi="Times New Roman"/>
          <w:color w:val="00548C"/>
          <w:sz w:val="24"/>
          <w:szCs w:val="24"/>
        </w:rPr>
        <w:t xml:space="preserve">164 </w:t>
      </w:r>
      <w:r w:rsidR="00770CC7">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B50D0" w:rsidRPr="00875924">
          <w:rPr>
            <w:rStyle w:val="Hyperlink"/>
            <w:rFonts w:ascii="Times New Roman" w:hAnsi="Times New Roman"/>
            <w:sz w:val="24"/>
            <w:szCs w:val="24"/>
          </w:rPr>
          <w:t>Coding Implications</w:t>
        </w:r>
      </w:hyperlink>
      <w:r w:rsidR="007B50D0" w:rsidRPr="003D7BE7">
        <w:rPr>
          <w:rFonts w:ascii="Times New Roman" w:hAnsi="Times New Roman"/>
          <w:color w:val="00548C"/>
          <w:sz w:val="24"/>
          <w:szCs w:val="24"/>
        </w:rPr>
        <w:t xml:space="preserve"> </w:t>
      </w:r>
    </w:p>
    <w:p w14:paraId="7CADDEEF" w14:textId="151A5A6E" w:rsidR="00875924" w:rsidRDefault="006749B7"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D574CA" w:rsidRPr="003D7BE7">
        <w:rPr>
          <w:rFonts w:ascii="Times New Roman" w:hAnsi="Times New Roman"/>
          <w:color w:val="00548C"/>
          <w:sz w:val="24"/>
          <w:szCs w:val="24"/>
        </w:rPr>
        <w:t>Last Revi</w:t>
      </w:r>
      <w:r>
        <w:rPr>
          <w:rFonts w:ascii="Times New Roman" w:hAnsi="Times New Roman"/>
          <w:color w:val="00548C"/>
          <w:sz w:val="24"/>
          <w:szCs w:val="24"/>
        </w:rPr>
        <w:t>sion</w:t>
      </w:r>
      <w:r w:rsidR="00D574CA" w:rsidRPr="003D7BE7">
        <w:rPr>
          <w:rFonts w:ascii="Times New Roman" w:hAnsi="Times New Roman"/>
          <w:color w:val="00548C"/>
          <w:sz w:val="24"/>
          <w:szCs w:val="24"/>
        </w:rPr>
        <w:t xml:space="preserve">: </w:t>
      </w:r>
      <w:r w:rsidR="00F2704A">
        <w:rPr>
          <w:rFonts w:ascii="Times New Roman" w:hAnsi="Times New Roman"/>
          <w:color w:val="00548C"/>
          <w:sz w:val="24"/>
          <w:szCs w:val="24"/>
        </w:rPr>
        <w:t>05</w:t>
      </w:r>
      <w:r w:rsidR="006B7497">
        <w:rPr>
          <w:rFonts w:ascii="Times New Roman" w:hAnsi="Times New Roman"/>
          <w:color w:val="00548C"/>
          <w:sz w:val="24"/>
          <w:szCs w:val="24"/>
        </w:rPr>
        <w:t>/</w:t>
      </w:r>
      <w:r w:rsidR="00D706CF">
        <w:rPr>
          <w:rFonts w:ascii="Times New Roman" w:hAnsi="Times New Roman"/>
          <w:color w:val="00548C"/>
          <w:sz w:val="24"/>
          <w:szCs w:val="24"/>
        </w:rPr>
        <w:t>25</w:t>
      </w:r>
    </w:p>
    <w:p w14:paraId="354E7C46"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1F02503D" w14:textId="77777777" w:rsidR="005D7B81" w:rsidRDefault="00032D3F" w:rsidP="00E20C91">
      <w:r>
        <w:tab/>
      </w:r>
    </w:p>
    <w:p w14:paraId="36CD0097"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719C5ED2" w14:textId="2EB63CE4" w:rsidR="00C73CF5" w:rsidRPr="00E20C91" w:rsidRDefault="00B8063A" w:rsidP="00E20C91">
      <w:pPr>
        <w:rPr>
          <w:rStyle w:val="Strong"/>
          <w:b w:val="0"/>
          <w:bCs w:val="0"/>
        </w:rPr>
      </w:pPr>
      <w:r w:rsidRPr="00E20C91">
        <w:rPr>
          <w:rStyle w:val="Strong"/>
          <w:b w:val="0"/>
          <w:bCs w:val="0"/>
        </w:rPr>
        <w:tab/>
      </w:r>
    </w:p>
    <w:p w14:paraId="16EE8073" w14:textId="77777777" w:rsidR="00583376" w:rsidRPr="00E20C91" w:rsidRDefault="00583376" w:rsidP="00E20C91">
      <w:pPr>
        <w:pStyle w:val="Heading1"/>
        <w:rPr>
          <w:sz w:val="24"/>
        </w:rPr>
      </w:pPr>
      <w:r w:rsidRPr="00E20C91">
        <w:rPr>
          <w:sz w:val="24"/>
        </w:rPr>
        <w:t xml:space="preserve">Description </w:t>
      </w:r>
    </w:p>
    <w:p w14:paraId="56C26D74" w14:textId="3C10596D" w:rsidR="00ED0A0D" w:rsidRDefault="00372660" w:rsidP="00082F9F">
      <w:r>
        <w:t xml:space="preserve">Epidural steroid injections </w:t>
      </w:r>
      <w:r w:rsidR="00540122">
        <w:t xml:space="preserve">(ESIs) </w:t>
      </w:r>
      <w:r w:rsidR="00D60E31">
        <w:t xml:space="preserve">are a non-surgical treatment that </w:t>
      </w:r>
      <w:r>
        <w:t xml:space="preserve">involve the administration of </w:t>
      </w:r>
      <w:r w:rsidR="006D5822">
        <w:t>a glucocorticoid</w:t>
      </w:r>
      <w:r w:rsidR="00327C28">
        <w:t>, or</w:t>
      </w:r>
      <w:r w:rsidR="006D5822">
        <w:t xml:space="preserve"> </w:t>
      </w:r>
      <w:r>
        <w:t>steroid</w:t>
      </w:r>
      <w:r w:rsidR="00327C28">
        <w:t>,</w:t>
      </w:r>
      <w:r>
        <w:t xml:space="preserve"> </w:t>
      </w:r>
      <w:r w:rsidR="00F01F73">
        <w:t xml:space="preserve">and/or </w:t>
      </w:r>
      <w:r w:rsidR="006F262B">
        <w:t xml:space="preserve">anesthetic </w:t>
      </w:r>
      <w:r>
        <w:t>via a needle inserted in the space between the ligamentum flavum and the dura.</w:t>
      </w:r>
      <w:r w:rsidR="00A72DA0">
        <w:rPr>
          <w:vertAlign w:val="superscript"/>
        </w:rPr>
        <w:t>5</w:t>
      </w:r>
      <w:r w:rsidR="006F262B">
        <w:rPr>
          <w:vertAlign w:val="superscript"/>
        </w:rPr>
        <w:t>,24</w:t>
      </w:r>
      <w:r>
        <w:t xml:space="preserve"> </w:t>
      </w:r>
      <w:r w:rsidR="001E4CF1" w:rsidRPr="00803293">
        <w:t>Epidural injections are performed utilizing three approaches in the lumbar spine: caudal, interlaminar, and transforaminal.</w:t>
      </w:r>
      <w:r w:rsidR="001E4CF1" w:rsidRPr="00803293">
        <w:rPr>
          <w:vertAlign w:val="superscript"/>
        </w:rPr>
        <w:t>2,5</w:t>
      </w:r>
      <w:r w:rsidR="001E4CF1" w:rsidRPr="0088636E">
        <w:t xml:space="preserve"> </w:t>
      </w:r>
      <w:r w:rsidR="002C1259">
        <w:t>C</w:t>
      </w:r>
      <w:r w:rsidR="006C70EB">
        <w:t xml:space="preserve">omputed tomography (CT) </w:t>
      </w:r>
      <w:r w:rsidR="0014557C">
        <w:t xml:space="preserve">or standard </w:t>
      </w:r>
      <w:r w:rsidR="006C70EB" w:rsidRPr="00636A4A">
        <w:t xml:space="preserve">fluoroscopy </w:t>
      </w:r>
      <w:r w:rsidR="0014557C" w:rsidRPr="00636A4A">
        <w:t xml:space="preserve">can be used </w:t>
      </w:r>
      <w:r w:rsidR="00161B29">
        <w:t xml:space="preserve">during administration </w:t>
      </w:r>
      <w:r w:rsidR="0014557C" w:rsidRPr="00636A4A">
        <w:t>to provide guidance and anatomic detail.</w:t>
      </w:r>
      <w:r w:rsidR="00EB6E6C" w:rsidRPr="00636A4A">
        <w:rPr>
          <w:vertAlign w:val="superscript"/>
        </w:rPr>
        <w:t>22</w:t>
      </w:r>
      <w:r w:rsidR="0014557C" w:rsidRPr="00636A4A">
        <w:t xml:space="preserve"> </w:t>
      </w:r>
    </w:p>
    <w:p w14:paraId="0FC8DCE7" w14:textId="27CF3B4C" w:rsidR="000F4AB4" w:rsidRDefault="000F4AB4" w:rsidP="00082F9F"/>
    <w:p w14:paraId="4F86BD3C" w14:textId="77777777" w:rsidR="000F4AB4" w:rsidRPr="00295F28" w:rsidRDefault="000F4AB4" w:rsidP="000F4AB4">
      <w:pPr>
        <w:tabs>
          <w:tab w:val="left" w:pos="360"/>
        </w:tabs>
        <w:rPr>
          <w:bCs/>
          <w:i/>
        </w:rPr>
      </w:pPr>
      <w:r w:rsidRPr="00295F28">
        <w:rPr>
          <w:bCs/>
          <w:i/>
        </w:rPr>
        <w:t xml:space="preserve">Note: </w:t>
      </w:r>
      <w:r w:rsidRPr="00884FA6">
        <w:rPr>
          <w:bCs/>
          <w:iCs/>
        </w:rPr>
        <w:t>For guidelines for transforaminal ESIs, reference</w:t>
      </w:r>
      <w:r w:rsidRPr="00295F28">
        <w:rPr>
          <w:bCs/>
          <w:i/>
        </w:rPr>
        <w:t xml:space="preserve"> CP.MP.</w:t>
      </w:r>
      <w:r>
        <w:rPr>
          <w:bCs/>
          <w:i/>
        </w:rPr>
        <w:t xml:space="preserve">165 </w:t>
      </w:r>
      <w:r w:rsidRPr="00295F28">
        <w:rPr>
          <w:bCs/>
          <w:i/>
        </w:rPr>
        <w:t>Selective Nerve Root Blocks and Transforaminal Epidural Steroid Injections.</w:t>
      </w:r>
    </w:p>
    <w:p w14:paraId="7BEDE563" w14:textId="77777777" w:rsidR="005D7B81" w:rsidRPr="00B777AF" w:rsidRDefault="005D7B81" w:rsidP="00196935"/>
    <w:p w14:paraId="7085F688" w14:textId="77777777" w:rsidR="00583376" w:rsidRPr="00B777AF" w:rsidRDefault="00583376">
      <w:pPr>
        <w:pStyle w:val="Heading2"/>
        <w:rPr>
          <w:u w:val="none"/>
        </w:rPr>
      </w:pPr>
      <w:r w:rsidRPr="00B777AF">
        <w:rPr>
          <w:u w:val="none"/>
        </w:rPr>
        <w:t>Policy/Criteria</w:t>
      </w:r>
    </w:p>
    <w:p w14:paraId="48068AA8" w14:textId="6D9DF26E" w:rsidR="00B27B53" w:rsidRPr="00C55AB2" w:rsidRDefault="00E5379E" w:rsidP="00E5379E">
      <w:pPr>
        <w:pStyle w:val="NormalWeb"/>
        <w:widowControl w:val="0"/>
        <w:spacing w:before="0" w:beforeAutospacing="0" w:after="0" w:afterAutospacing="0"/>
        <w:rPr>
          <w:rFonts w:ascii="Times New Roman" w:eastAsia="Times New Roman" w:hAnsi="Times New Roman" w:cs="Times New Roman"/>
          <w:i/>
        </w:rPr>
      </w:pPr>
      <w:r w:rsidRPr="00834BF0">
        <w:rPr>
          <w:rFonts w:ascii="Times New Roman" w:eastAsia="Times New Roman" w:hAnsi="Times New Roman" w:cs="Times New Roman"/>
        </w:rPr>
        <w:t>It is the policy of health plans affiliated with Centene Corporation</w:t>
      </w:r>
      <w:r w:rsidRPr="0058667D">
        <w:rPr>
          <w:rFonts w:ascii="Times New Roman" w:eastAsia="Times New Roman" w:hAnsi="Times New Roman" w:cs="Times New Roman"/>
          <w:vertAlign w:val="superscript"/>
        </w:rPr>
        <w:t>®</w:t>
      </w:r>
      <w:r w:rsidRPr="00834BF0">
        <w:rPr>
          <w:rFonts w:ascii="Times New Roman" w:eastAsia="Times New Roman" w:hAnsi="Times New Roman" w:cs="Times New Roman"/>
        </w:rPr>
        <w:t xml:space="preserve"> that invasive pain management procedures performed by a physician are </w:t>
      </w:r>
      <w:r w:rsidRPr="00882E87">
        <w:rPr>
          <w:rFonts w:ascii="Times New Roman" w:eastAsia="Times New Roman" w:hAnsi="Times New Roman" w:cs="Times New Roman"/>
          <w:b/>
        </w:rPr>
        <w:t>medically necessary</w:t>
      </w:r>
      <w:r w:rsidRPr="00834BF0">
        <w:rPr>
          <w:rFonts w:ascii="Times New Roman" w:eastAsia="Times New Roman" w:hAnsi="Times New Roman" w:cs="Times New Roman"/>
        </w:rPr>
        <w:t xml:space="preserve"> </w:t>
      </w:r>
      <w:r w:rsidRPr="00214A3F">
        <w:rPr>
          <w:rFonts w:ascii="Times New Roman" w:eastAsia="Times New Roman" w:hAnsi="Times New Roman" w:cs="Times New Roman"/>
        </w:rPr>
        <w:t xml:space="preserve">when </w:t>
      </w:r>
      <w:r w:rsidRPr="00224176">
        <w:rPr>
          <w:rFonts w:ascii="Times New Roman" w:eastAsia="Times New Roman" w:hAnsi="Times New Roman" w:cs="Times New Roman"/>
          <w:i/>
        </w:rPr>
        <w:t>the relevant criteri</w:t>
      </w:r>
      <w:r w:rsidRPr="00C55AB2">
        <w:rPr>
          <w:rFonts w:ascii="Times New Roman" w:eastAsia="Times New Roman" w:hAnsi="Times New Roman" w:cs="Times New Roman"/>
          <w:i/>
        </w:rPr>
        <w:t>a are met</w:t>
      </w:r>
      <w:r w:rsidR="001F0A30" w:rsidRPr="00C55AB2">
        <w:rPr>
          <w:rFonts w:ascii="Times New Roman" w:eastAsia="Times New Roman" w:hAnsi="Times New Roman" w:cs="Times New Roman"/>
          <w:i/>
        </w:rPr>
        <w:t>,</w:t>
      </w:r>
      <w:r w:rsidRPr="00C55AB2">
        <w:rPr>
          <w:rFonts w:ascii="Times New Roman" w:eastAsia="Times New Roman" w:hAnsi="Times New Roman" w:cs="Times New Roman"/>
          <w:i/>
        </w:rPr>
        <w:t xml:space="preserve"> </w:t>
      </w:r>
      <w:r w:rsidRPr="00C55AB2">
        <w:rPr>
          <w:rFonts w:ascii="Times New Roman" w:eastAsia="Times New Roman" w:hAnsi="Times New Roman" w:cs="Times New Roman"/>
          <w:i/>
          <w:iCs/>
        </w:rPr>
        <w:t>only one</w:t>
      </w:r>
      <w:r w:rsidRPr="00C55AB2">
        <w:rPr>
          <w:rFonts w:ascii="Times New Roman" w:eastAsia="Times New Roman" w:hAnsi="Times New Roman" w:cs="Times New Roman"/>
          <w:i/>
        </w:rPr>
        <w:t xml:space="preserve"> procedure</w:t>
      </w:r>
      <w:r w:rsidR="001F0A30" w:rsidRPr="00C55AB2">
        <w:rPr>
          <w:rFonts w:ascii="Times New Roman" w:eastAsia="Times New Roman" w:hAnsi="Times New Roman" w:cs="Times New Roman"/>
          <w:i/>
        </w:rPr>
        <w:t xml:space="preserve"> is performed</w:t>
      </w:r>
      <w:r w:rsidRPr="00C55AB2">
        <w:rPr>
          <w:rFonts w:ascii="Times New Roman" w:eastAsia="Times New Roman" w:hAnsi="Times New Roman" w:cs="Times New Roman"/>
          <w:i/>
        </w:rPr>
        <w:t xml:space="preserve"> per visit, </w:t>
      </w:r>
      <w:r w:rsidR="00B27B53" w:rsidRPr="00C55AB2">
        <w:rPr>
          <w:rFonts w:ascii="Times New Roman" w:eastAsia="Times New Roman" w:hAnsi="Times New Roman" w:cs="Times New Roman"/>
          <w:i/>
        </w:rPr>
        <w:t xml:space="preserve">and </w:t>
      </w:r>
      <w:r w:rsidRPr="00C55AB2">
        <w:rPr>
          <w:rFonts w:ascii="Times New Roman" w:eastAsia="Times New Roman" w:hAnsi="Times New Roman" w:cs="Times New Roman"/>
          <w:i/>
        </w:rPr>
        <w:t>with</w:t>
      </w:r>
      <w:r w:rsidR="00F41654" w:rsidRPr="00C55AB2">
        <w:rPr>
          <w:rFonts w:ascii="Times New Roman" w:eastAsia="Times New Roman" w:hAnsi="Times New Roman" w:cs="Times New Roman"/>
          <w:i/>
        </w:rPr>
        <w:t xml:space="preserve"> imaging guidance (except in rare instances</w:t>
      </w:r>
      <w:r w:rsidR="002A754A" w:rsidRPr="00C55AB2">
        <w:rPr>
          <w:rFonts w:ascii="Times New Roman" w:eastAsia="Times New Roman" w:hAnsi="Times New Roman" w:cs="Times New Roman"/>
          <w:i/>
        </w:rPr>
        <w:t>, with documented justification</w:t>
      </w:r>
      <w:r w:rsidR="00F41654" w:rsidRPr="00C55AB2">
        <w:rPr>
          <w:rFonts w:ascii="Times New Roman" w:eastAsia="Times New Roman" w:hAnsi="Times New Roman" w:cs="Times New Roman"/>
          <w:i/>
        </w:rPr>
        <w:t>)</w:t>
      </w:r>
      <w:r w:rsidR="00B27B53" w:rsidRPr="00C55AB2">
        <w:rPr>
          <w:rFonts w:ascii="Times New Roman" w:eastAsia="Times New Roman" w:hAnsi="Times New Roman" w:cs="Times New Roman"/>
          <w:i/>
        </w:rPr>
        <w:t>.</w:t>
      </w:r>
    </w:p>
    <w:p w14:paraId="6CFF946E" w14:textId="77777777" w:rsidR="00B27B53" w:rsidRPr="00C55AB2" w:rsidRDefault="00B27B53" w:rsidP="00E5379E">
      <w:pPr>
        <w:pStyle w:val="NormalWeb"/>
        <w:widowControl w:val="0"/>
        <w:spacing w:before="0" w:beforeAutospacing="0" w:after="0" w:afterAutospacing="0"/>
        <w:rPr>
          <w:rFonts w:ascii="Times New Roman" w:eastAsia="Times New Roman" w:hAnsi="Times New Roman" w:cs="Times New Roman"/>
          <w:i/>
        </w:rPr>
      </w:pPr>
    </w:p>
    <w:p w14:paraId="4E8C5D5A" w14:textId="0225DC8D" w:rsidR="00E5379E" w:rsidRPr="00A17A2F" w:rsidRDefault="00B27B53" w:rsidP="00E5379E">
      <w:pPr>
        <w:pStyle w:val="NormalWeb"/>
        <w:widowControl w:val="0"/>
        <w:spacing w:before="0" w:beforeAutospacing="0" w:after="0" w:afterAutospacing="0"/>
        <w:rPr>
          <w:rFonts w:ascii="Times New Roman" w:eastAsia="Times New Roman" w:hAnsi="Times New Roman" w:cs="Times New Roman"/>
          <w:vertAlign w:val="superscript"/>
        </w:rPr>
      </w:pPr>
      <w:r w:rsidRPr="00C55AB2">
        <w:rPr>
          <w:rFonts w:ascii="Times New Roman" w:eastAsia="Times New Roman" w:hAnsi="Times New Roman" w:cs="Times New Roman"/>
          <w:b/>
          <w:bCs/>
          <w:iCs/>
        </w:rPr>
        <w:t>Note:</w:t>
      </w:r>
      <w:r w:rsidRPr="00C55AB2">
        <w:rPr>
          <w:rFonts w:ascii="Times New Roman" w:eastAsia="Times New Roman" w:hAnsi="Times New Roman" w:cs="Times New Roman"/>
          <w:iCs/>
        </w:rPr>
        <w:t xml:space="preserve"> </w:t>
      </w:r>
      <w:r w:rsidR="001F0A30" w:rsidRPr="00C55AB2">
        <w:rPr>
          <w:rFonts w:ascii="Times New Roman" w:eastAsia="Times New Roman" w:hAnsi="Times New Roman" w:cs="Times New Roman"/>
        </w:rPr>
        <w:t xml:space="preserve">Discontinuing </w:t>
      </w:r>
      <w:r w:rsidR="001F0A30" w:rsidRPr="003A540F">
        <w:rPr>
          <w:rFonts w:ascii="Times New Roman" w:eastAsia="Times New Roman" w:hAnsi="Times New Roman" w:cs="Times New Roman"/>
        </w:rPr>
        <w:t>anti-platelet therapy is a clinical decision balancing risks and benefits of the procedure on therapy versus the underlying medical condition if not treated appropriately.</w:t>
      </w:r>
      <w:r w:rsidR="0001365F">
        <w:rPr>
          <w:rFonts w:ascii="Times New Roman" w:eastAsia="Times New Roman" w:hAnsi="Times New Roman" w:cs="Times New Roman"/>
          <w:vertAlign w:val="superscript"/>
        </w:rPr>
        <w:t>24</w:t>
      </w:r>
    </w:p>
    <w:p w14:paraId="6516F0E9" w14:textId="2022E3D4" w:rsidR="00E5379E" w:rsidRPr="00E5379E" w:rsidRDefault="00E5379E" w:rsidP="00E5379E"/>
    <w:p w14:paraId="5E4FAB14" w14:textId="42223AB3" w:rsidR="00C96847" w:rsidRDefault="00F74762" w:rsidP="00E5379E">
      <w:pPr>
        <w:numPr>
          <w:ilvl w:val="0"/>
          <w:numId w:val="11"/>
        </w:numPr>
        <w:ind w:left="360"/>
      </w:pPr>
      <w:r>
        <w:rPr>
          <w:bCs/>
          <w:color w:val="000000"/>
        </w:rPr>
        <w:t>It is the policy of</w:t>
      </w:r>
      <w:r w:rsidR="00E97C17">
        <w:rPr>
          <w:bCs/>
          <w:color w:val="000000"/>
        </w:rPr>
        <w:t xml:space="preserve"> </w:t>
      </w:r>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r w:rsidR="00C75BD4" w:rsidRPr="00C75BD4">
        <w:rPr>
          <w:bCs/>
          <w:color w:val="000000"/>
          <w:vertAlign w:val="superscript"/>
        </w:rPr>
        <w:t>®</w:t>
      </w:r>
      <w:r>
        <w:rPr>
          <w:bCs/>
          <w:color w:val="000000"/>
        </w:rPr>
        <w:t xml:space="preserve"> </w:t>
      </w:r>
      <w:r w:rsidR="00C96847">
        <w:t xml:space="preserve">that </w:t>
      </w:r>
      <w:r w:rsidR="00770CC7">
        <w:t>caudal or interlaminar epidural steroid injections</w:t>
      </w:r>
      <w:r w:rsidR="00CC03BD">
        <w:t xml:space="preserve"> (ESIs)</w:t>
      </w:r>
      <w:r w:rsidR="009D5928">
        <w:t xml:space="preserve"> </w:t>
      </w:r>
      <w:r w:rsidR="00770CC7">
        <w:t>are</w:t>
      </w:r>
      <w:r w:rsidR="00C96847">
        <w:t xml:space="preserve"> </w:t>
      </w:r>
      <w:r w:rsidR="00C96847" w:rsidRPr="005D6347">
        <w:rPr>
          <w:b/>
        </w:rPr>
        <w:t>medically necessary</w:t>
      </w:r>
      <w:r w:rsidR="00C96847">
        <w:t xml:space="preserve"> </w:t>
      </w:r>
      <w:r w:rsidR="009D5928">
        <w:t>for the following indications</w:t>
      </w:r>
      <w:r w:rsidR="006B267A">
        <w:t>:</w:t>
      </w:r>
    </w:p>
    <w:p w14:paraId="659A72B8" w14:textId="1ED1759B" w:rsidR="006B267A" w:rsidRPr="00FC1A07" w:rsidRDefault="006B267A" w:rsidP="00E91479">
      <w:pPr>
        <w:pStyle w:val="ListParagraph"/>
        <w:numPr>
          <w:ilvl w:val="0"/>
          <w:numId w:val="23"/>
        </w:numPr>
        <w:rPr>
          <w:bCs/>
        </w:rPr>
      </w:pPr>
      <w:r>
        <w:rPr>
          <w:bCs/>
          <w:i/>
        </w:rPr>
        <w:t>One c</w:t>
      </w:r>
      <w:r w:rsidRPr="00833817">
        <w:rPr>
          <w:bCs/>
          <w:i/>
        </w:rPr>
        <w:t xml:space="preserve">audal or interlaminar ESI for </w:t>
      </w:r>
      <w:r w:rsidRPr="00EA12C9">
        <w:rPr>
          <w:bCs/>
          <w:i/>
        </w:rPr>
        <w:t>acute</w:t>
      </w:r>
      <w:r w:rsidRPr="00833817">
        <w:rPr>
          <w:bCs/>
          <w:i/>
        </w:rPr>
        <w:t xml:space="preserve"> pain</w:t>
      </w:r>
      <w:r w:rsidRPr="00EA12C9">
        <w:rPr>
          <w:bCs/>
        </w:rPr>
        <w:t xml:space="preserve"> </w:t>
      </w:r>
      <w:r w:rsidRPr="009943AA">
        <w:rPr>
          <w:bCs/>
          <w:i/>
          <w:iCs/>
        </w:rPr>
        <w:t>management</w:t>
      </w:r>
      <w:r>
        <w:rPr>
          <w:bCs/>
        </w:rPr>
        <w:t xml:space="preserve"> (pain lasting &lt; </w:t>
      </w:r>
      <w:r w:rsidR="003E700F">
        <w:rPr>
          <w:bCs/>
        </w:rPr>
        <w:t>three</w:t>
      </w:r>
      <w:r>
        <w:rPr>
          <w:bCs/>
        </w:rPr>
        <w:t xml:space="preserve"> months) </w:t>
      </w:r>
      <w:r w:rsidRPr="00FC1A07">
        <w:rPr>
          <w:bCs/>
        </w:rPr>
        <w:t>when all</w:t>
      </w:r>
      <w:r w:rsidRPr="00FC1A07">
        <w:rPr>
          <w:bCs/>
          <w:i/>
          <w:iCs/>
        </w:rPr>
        <w:t xml:space="preserve"> </w:t>
      </w:r>
      <w:r w:rsidRPr="00FC1A07">
        <w:rPr>
          <w:bCs/>
        </w:rPr>
        <w:t>of the following are met:</w:t>
      </w:r>
    </w:p>
    <w:p w14:paraId="712FF819" w14:textId="6DB4D4C8" w:rsidR="006B267A" w:rsidRPr="00FC1A07" w:rsidRDefault="006B267A" w:rsidP="00E91479">
      <w:pPr>
        <w:pStyle w:val="ListParagraph"/>
        <w:numPr>
          <w:ilvl w:val="1"/>
          <w:numId w:val="30"/>
        </w:numPr>
        <w:ind w:left="1080"/>
      </w:pPr>
      <w:r w:rsidRPr="00FC1A07">
        <w:t xml:space="preserve">There is severe radicular pain that interferes substantially with </w:t>
      </w:r>
      <w:r w:rsidR="00791B8C">
        <w:t>activities of daily living</w:t>
      </w:r>
      <w:r w:rsidR="00AC3506">
        <w:t xml:space="preserve"> (ADLs)</w:t>
      </w:r>
      <w:r w:rsidR="00791B8C">
        <w:t>;</w:t>
      </w:r>
    </w:p>
    <w:p w14:paraId="584DCF91" w14:textId="06D50E2E" w:rsidR="006B267A" w:rsidRDefault="006B267A" w:rsidP="00E91479">
      <w:pPr>
        <w:numPr>
          <w:ilvl w:val="1"/>
          <w:numId w:val="30"/>
        </w:numPr>
        <w:ind w:left="1080"/>
      </w:pPr>
      <w:r w:rsidRPr="00FC1A07">
        <w:t>Severe pai</w:t>
      </w:r>
      <w:r>
        <w:t xml:space="preserve">n persists after treatment with </w:t>
      </w:r>
      <w:r w:rsidR="00791B8C">
        <w:t>nonsteroidal anti-inflammatory drugs (</w:t>
      </w:r>
      <w:r>
        <w:t>NSAID</w:t>
      </w:r>
      <w:r w:rsidR="007D7D25">
        <w:t>s</w:t>
      </w:r>
      <w:r w:rsidR="00791B8C">
        <w:t>)</w:t>
      </w:r>
      <w:r>
        <w:t xml:space="preserve"> and/or</w:t>
      </w:r>
      <w:r w:rsidRPr="00FC1A07">
        <w:t xml:space="preserve"> opiate</w:t>
      </w:r>
      <w:r w:rsidR="00791B8C">
        <w:t>s</w:t>
      </w:r>
      <w:r w:rsidRPr="00FC1A07">
        <w:t xml:space="preserve"> (</w:t>
      </w:r>
      <w:r>
        <w:t xml:space="preserve">both </w:t>
      </w:r>
      <w:r w:rsidRPr="00FC1A07">
        <w:t xml:space="preserve">≥ </w:t>
      </w:r>
      <w:r w:rsidR="007B75EE">
        <w:t>three</w:t>
      </w:r>
      <w:r w:rsidRPr="00FC1A07">
        <w:t xml:space="preserve"> days or contraindicated/not tolerated)</w:t>
      </w:r>
      <w:r>
        <w:t>;</w:t>
      </w:r>
    </w:p>
    <w:p w14:paraId="56C63EEC" w14:textId="2FA9A137" w:rsidR="00527727" w:rsidRDefault="006B267A" w:rsidP="00E91479">
      <w:pPr>
        <w:numPr>
          <w:ilvl w:val="1"/>
          <w:numId w:val="30"/>
        </w:numPr>
        <w:ind w:left="1080"/>
      </w:pPr>
      <w:r w:rsidRPr="00F71DBA">
        <w:t xml:space="preserve">The </w:t>
      </w:r>
      <w:r w:rsidR="00F41654">
        <w:t>member/enrollee</w:t>
      </w:r>
      <w:r w:rsidRPr="00F71DBA">
        <w:t xml:space="preserve"> cannot tolerate chiropractic or physical therapy</w:t>
      </w:r>
      <w:r w:rsidR="00CB3C44">
        <w:t>,</w:t>
      </w:r>
      <w:r w:rsidRPr="00F71DBA">
        <w:t xml:space="preserve"> and the injection is intended as a bridge to therapy</w:t>
      </w:r>
      <w:r w:rsidR="001F0A30">
        <w:t>.</w:t>
      </w:r>
    </w:p>
    <w:p w14:paraId="52E8AA01" w14:textId="77777777" w:rsidR="006B267A" w:rsidRPr="00E91479" w:rsidRDefault="006B267A" w:rsidP="0058667D">
      <w:pPr>
        <w:rPr>
          <w:b/>
          <w:bCs/>
        </w:rPr>
      </w:pPr>
    </w:p>
    <w:p w14:paraId="368FFC5A" w14:textId="2BA675E7" w:rsidR="00770CC7" w:rsidRPr="00077F72" w:rsidRDefault="008C0A01" w:rsidP="00E91479">
      <w:pPr>
        <w:pStyle w:val="ListParagraph"/>
        <w:numPr>
          <w:ilvl w:val="0"/>
          <w:numId w:val="23"/>
        </w:numPr>
        <w:rPr>
          <w:b/>
          <w:bCs/>
        </w:rPr>
      </w:pPr>
      <w:r w:rsidRPr="00E91479">
        <w:rPr>
          <w:i/>
        </w:rPr>
        <w:t xml:space="preserve">Initial </w:t>
      </w:r>
      <w:r w:rsidR="00833817">
        <w:rPr>
          <w:i/>
        </w:rPr>
        <w:t>ESI</w:t>
      </w:r>
      <w:r w:rsidRPr="00E91479">
        <w:rPr>
          <w:i/>
        </w:rPr>
        <w:t xml:space="preserve"> for chronic pain,</w:t>
      </w:r>
      <w:r>
        <w:t xml:space="preserve"> all of the following</w:t>
      </w:r>
      <w:r w:rsidR="00CC03BD">
        <w:t xml:space="preserve">: </w:t>
      </w:r>
    </w:p>
    <w:p w14:paraId="77F7888C" w14:textId="35006C01" w:rsidR="00CC03BD" w:rsidRPr="0015530B" w:rsidRDefault="00AC3506" w:rsidP="00CC03BD">
      <w:pPr>
        <w:numPr>
          <w:ilvl w:val="0"/>
          <w:numId w:val="24"/>
        </w:numPr>
        <w:rPr>
          <w:iCs/>
        </w:rPr>
      </w:pPr>
      <w:r>
        <w:rPr>
          <w:iCs/>
        </w:rPr>
        <w:t>Request is for o</w:t>
      </w:r>
      <w:r w:rsidR="00CC03BD" w:rsidRPr="0015530B">
        <w:rPr>
          <w:iCs/>
        </w:rPr>
        <w:t xml:space="preserve">ne caudal or interlaminar ESI </w:t>
      </w:r>
      <w:r w:rsidR="00CC03BD" w:rsidRPr="00E91479">
        <w:rPr>
          <w:iCs/>
        </w:rPr>
        <w:t>at one level in the cervical, thoracic or lumbar region</w:t>
      </w:r>
      <w:r w:rsidR="00CC03BD">
        <w:rPr>
          <w:iCs/>
        </w:rPr>
        <w:t>;</w:t>
      </w:r>
    </w:p>
    <w:p w14:paraId="5E3C554C" w14:textId="2037FE49" w:rsidR="00CC03BD" w:rsidRPr="00E91479" w:rsidRDefault="00770CC7" w:rsidP="00770CC7">
      <w:pPr>
        <w:numPr>
          <w:ilvl w:val="0"/>
          <w:numId w:val="24"/>
        </w:numPr>
        <w:rPr>
          <w:i/>
          <w:iCs/>
        </w:rPr>
      </w:pPr>
      <w:r>
        <w:t xml:space="preserve">Persistent radicular pain </w:t>
      </w:r>
      <w:r w:rsidR="00CC03BD">
        <w:t xml:space="preserve">has been </w:t>
      </w:r>
      <w:r w:rsidRPr="007769EF">
        <w:t>caused by spinal stenosis, disc herniation or degenerative changes in the vertebrae,</w:t>
      </w:r>
      <w:r>
        <w:t xml:space="preserve"> </w:t>
      </w:r>
      <w:r w:rsidR="00CC03BD">
        <w:t xml:space="preserve">as </w:t>
      </w:r>
      <w:r>
        <w:t>confirmed by physical exam and imaging</w:t>
      </w:r>
      <w:r w:rsidR="00CC03BD">
        <w:t>;</w:t>
      </w:r>
    </w:p>
    <w:p w14:paraId="4CD0CBD5" w14:textId="3C44F542" w:rsidR="00770CC7" w:rsidRPr="00554FDB" w:rsidRDefault="00CC03BD" w:rsidP="00770CC7">
      <w:pPr>
        <w:numPr>
          <w:ilvl w:val="0"/>
          <w:numId w:val="24"/>
        </w:numPr>
        <w:rPr>
          <w:i/>
          <w:iCs/>
        </w:rPr>
      </w:pPr>
      <w:r>
        <w:t>Pain</w:t>
      </w:r>
      <w:r w:rsidR="00770CC7">
        <w:t xml:space="preserve"> interferes with </w:t>
      </w:r>
      <w:r w:rsidR="00AC3506">
        <w:t>ADLs</w:t>
      </w:r>
      <w:r w:rsidR="00770CC7">
        <w:t xml:space="preserve"> </w:t>
      </w:r>
      <w:r>
        <w:t xml:space="preserve">and </w:t>
      </w:r>
      <w:r w:rsidR="00770CC7">
        <w:t xml:space="preserve">has lasted for at least </w:t>
      </w:r>
      <w:r w:rsidR="00B5130F">
        <w:t>three</w:t>
      </w:r>
      <w:r w:rsidR="00770CC7">
        <w:t xml:space="preserve"> months;</w:t>
      </w:r>
    </w:p>
    <w:p w14:paraId="01287AA2" w14:textId="3541CF8A" w:rsidR="00770CC7" w:rsidRDefault="00770CC7" w:rsidP="00770CC7">
      <w:pPr>
        <w:numPr>
          <w:ilvl w:val="0"/>
          <w:numId w:val="24"/>
        </w:numPr>
      </w:pPr>
      <w:r>
        <w:t xml:space="preserve">The </w:t>
      </w:r>
      <w:r w:rsidR="00F41654">
        <w:t>member/enrollee</w:t>
      </w:r>
      <w:r>
        <w:t xml:space="preserve"> has failed to respond to </w:t>
      </w:r>
      <w:r w:rsidRPr="00FC1A07">
        <w:t xml:space="preserve">conservative therapy </w:t>
      </w:r>
      <w:r>
        <w:t xml:space="preserve">including all of the following:  </w:t>
      </w:r>
    </w:p>
    <w:p w14:paraId="08F53A93" w14:textId="4A8C6B7D" w:rsidR="00770CC7" w:rsidRPr="0066587A" w:rsidRDefault="00770CC7" w:rsidP="00770CC7">
      <w:pPr>
        <w:numPr>
          <w:ilvl w:val="1"/>
          <w:numId w:val="22"/>
        </w:numPr>
        <w:tabs>
          <w:tab w:val="left" w:pos="1440"/>
        </w:tabs>
        <w:ind w:left="1620" w:hanging="540"/>
        <w:rPr>
          <w:bCs/>
        </w:rPr>
      </w:pPr>
      <w:r w:rsidRPr="0066587A">
        <w:rPr>
          <w:bCs/>
        </w:rPr>
        <w:lastRenderedPageBreak/>
        <w:t xml:space="preserve">≥ </w:t>
      </w:r>
      <w:r w:rsidR="00CB4303">
        <w:rPr>
          <w:bCs/>
        </w:rPr>
        <w:t>four</w:t>
      </w:r>
      <w:r w:rsidRPr="0066587A">
        <w:rPr>
          <w:bCs/>
        </w:rPr>
        <w:t xml:space="preserve"> weeks </w:t>
      </w:r>
      <w:r w:rsidR="00222BEA">
        <w:rPr>
          <w:bCs/>
        </w:rPr>
        <w:t xml:space="preserve">of </w:t>
      </w:r>
      <w:r w:rsidRPr="0066587A">
        <w:rPr>
          <w:bCs/>
        </w:rPr>
        <w:t>chiropractic, physical therapy or prescribed home exercise program</w:t>
      </w:r>
      <w:r>
        <w:rPr>
          <w:bCs/>
        </w:rPr>
        <w:t>;</w:t>
      </w:r>
    </w:p>
    <w:p w14:paraId="42D4C2D7" w14:textId="22370410" w:rsidR="00770CC7" w:rsidRPr="0066587A" w:rsidRDefault="00770CC7" w:rsidP="00770CC7">
      <w:pPr>
        <w:numPr>
          <w:ilvl w:val="1"/>
          <w:numId w:val="22"/>
        </w:numPr>
        <w:tabs>
          <w:tab w:val="left" w:pos="1440"/>
        </w:tabs>
        <w:ind w:left="1620" w:hanging="540"/>
        <w:rPr>
          <w:bCs/>
        </w:rPr>
      </w:pPr>
      <w:r w:rsidRPr="0066587A">
        <w:rPr>
          <w:bCs/>
        </w:rPr>
        <w:t>NSAID</w:t>
      </w:r>
      <w:r w:rsidR="003E3D6F">
        <w:rPr>
          <w:bCs/>
        </w:rPr>
        <w:t xml:space="preserve"> for</w:t>
      </w:r>
      <w:r w:rsidRPr="0066587A">
        <w:rPr>
          <w:bCs/>
        </w:rPr>
        <w:t xml:space="preserve"> ≥ </w:t>
      </w:r>
      <w:r w:rsidR="00CB4303">
        <w:rPr>
          <w:bCs/>
        </w:rPr>
        <w:t>three</w:t>
      </w:r>
      <w:r w:rsidRPr="0066587A">
        <w:rPr>
          <w:bCs/>
        </w:rPr>
        <w:t xml:space="preserve"> weeks or NSAID contraindicated or not tolerated</w:t>
      </w:r>
      <w:r>
        <w:rPr>
          <w:bCs/>
        </w:rPr>
        <w:t>;</w:t>
      </w:r>
      <w:r w:rsidRPr="0066587A">
        <w:rPr>
          <w:bCs/>
        </w:rPr>
        <w:t xml:space="preserve"> </w:t>
      </w:r>
    </w:p>
    <w:p w14:paraId="2DF6607A" w14:textId="06BADFE4" w:rsidR="00D71CF6" w:rsidRDefault="00770CC7" w:rsidP="00067B83">
      <w:pPr>
        <w:numPr>
          <w:ilvl w:val="1"/>
          <w:numId w:val="22"/>
        </w:numPr>
        <w:tabs>
          <w:tab w:val="left" w:pos="1440"/>
        </w:tabs>
        <w:ind w:left="1620" w:hanging="540"/>
      </w:pPr>
      <w:r w:rsidRPr="0066587A">
        <w:rPr>
          <w:bCs/>
        </w:rPr>
        <w:t xml:space="preserve">≥ </w:t>
      </w:r>
      <w:r w:rsidR="00CB4303">
        <w:rPr>
          <w:bCs/>
        </w:rPr>
        <w:t>four</w:t>
      </w:r>
      <w:r>
        <w:t xml:space="preserve"> weeks a</w:t>
      </w:r>
      <w:r w:rsidRPr="00FC1A07">
        <w:t>ctivity modification</w:t>
      </w:r>
      <w:r w:rsidR="001325E1">
        <w:t>.</w:t>
      </w:r>
    </w:p>
    <w:p w14:paraId="5E7374F4" w14:textId="77777777" w:rsidR="00715125" w:rsidRDefault="00715125" w:rsidP="007C5B3F">
      <w:pPr>
        <w:ind w:left="1080"/>
      </w:pPr>
    </w:p>
    <w:p w14:paraId="49BECE13" w14:textId="01E50204" w:rsidR="008C0A01" w:rsidRPr="0015530B" w:rsidRDefault="008C0A01" w:rsidP="00E91479">
      <w:pPr>
        <w:pStyle w:val="ListParagraph"/>
        <w:numPr>
          <w:ilvl w:val="0"/>
          <w:numId w:val="23"/>
        </w:numPr>
        <w:rPr>
          <w:bCs/>
        </w:rPr>
      </w:pPr>
      <w:r w:rsidRPr="00E91479">
        <w:rPr>
          <w:i/>
        </w:rPr>
        <w:t xml:space="preserve">Second </w:t>
      </w:r>
      <w:r w:rsidR="002001EF" w:rsidRPr="00E91479">
        <w:rPr>
          <w:i/>
        </w:rPr>
        <w:t xml:space="preserve">caudal or interlaminar </w:t>
      </w:r>
      <w:r w:rsidR="00833817" w:rsidRPr="00833817">
        <w:rPr>
          <w:i/>
        </w:rPr>
        <w:t>ESI</w:t>
      </w:r>
      <w:r w:rsidRPr="00E91479">
        <w:rPr>
          <w:i/>
        </w:rPr>
        <w:t xml:space="preserve"> for chronic pain</w:t>
      </w:r>
      <w:r>
        <w:t xml:space="preserve"> that </w:t>
      </w:r>
      <w:r w:rsidRPr="00E91479">
        <w:rPr>
          <w:b/>
        </w:rPr>
        <w:t>did not</w:t>
      </w:r>
      <w:r>
        <w:t xml:space="preserve"> improve from the first ESI, all of the following:</w:t>
      </w:r>
    </w:p>
    <w:p w14:paraId="4D5061C7" w14:textId="52B24613" w:rsidR="008C0A01" w:rsidRPr="0002019C" w:rsidRDefault="00882E87" w:rsidP="00E91479">
      <w:pPr>
        <w:pStyle w:val="ListParagraph"/>
        <w:numPr>
          <w:ilvl w:val="1"/>
          <w:numId w:val="25"/>
        </w:numPr>
        <w:ind w:left="1080"/>
        <w:rPr>
          <w:iCs/>
        </w:rPr>
      </w:pPr>
      <w:r>
        <w:rPr>
          <w:iCs/>
        </w:rPr>
        <w:t>Request is for an</w:t>
      </w:r>
      <w:r w:rsidR="008C0A01" w:rsidRPr="0015530B">
        <w:rPr>
          <w:iCs/>
        </w:rPr>
        <w:t xml:space="preserve"> ESI </w:t>
      </w:r>
      <w:r w:rsidR="008C0A01" w:rsidRPr="0002019C">
        <w:rPr>
          <w:iCs/>
        </w:rPr>
        <w:t>at one level in the cervical, thoracic or lumbar region;</w:t>
      </w:r>
    </w:p>
    <w:p w14:paraId="762555FF" w14:textId="7149791D" w:rsidR="001C57D3" w:rsidRPr="0015530B" w:rsidRDefault="007A0F2E" w:rsidP="001325E1">
      <w:pPr>
        <w:pStyle w:val="ListParagraph"/>
        <w:numPr>
          <w:ilvl w:val="1"/>
          <w:numId w:val="25"/>
        </w:numPr>
        <w:ind w:left="1080"/>
        <w:rPr>
          <w:bCs/>
        </w:rPr>
      </w:pPr>
      <w:r>
        <w:t xml:space="preserve">At least </w:t>
      </w:r>
      <w:r w:rsidR="005439CC">
        <w:t>two</w:t>
      </w:r>
      <w:r w:rsidR="008C0A01">
        <w:t xml:space="preserve"> weeks have passed since the first ESI</w:t>
      </w:r>
      <w:r w:rsidR="001325E1">
        <w:t>.</w:t>
      </w:r>
    </w:p>
    <w:p w14:paraId="7472B95E" w14:textId="1049FBF5" w:rsidR="008C0A01" w:rsidRDefault="008C0A01" w:rsidP="00E91479">
      <w:pPr>
        <w:rPr>
          <w:bCs/>
        </w:rPr>
      </w:pPr>
    </w:p>
    <w:p w14:paraId="73198901" w14:textId="32BC1693" w:rsidR="008C0A01" w:rsidRPr="00FC1A07" w:rsidRDefault="008C0A01" w:rsidP="00E91479">
      <w:pPr>
        <w:pStyle w:val="ListParagraph"/>
        <w:numPr>
          <w:ilvl w:val="0"/>
          <w:numId w:val="23"/>
        </w:numPr>
        <w:tabs>
          <w:tab w:val="left" w:pos="1080"/>
        </w:tabs>
        <w:rPr>
          <w:bCs/>
        </w:rPr>
      </w:pPr>
      <w:r w:rsidRPr="00E91479">
        <w:rPr>
          <w:bCs/>
          <w:i/>
        </w:rPr>
        <w:t>Subsequent</w:t>
      </w:r>
      <w:r w:rsidR="002001EF" w:rsidRPr="00E91479">
        <w:rPr>
          <w:bCs/>
          <w:i/>
        </w:rPr>
        <w:t xml:space="preserve"> caudal or interlaminar</w:t>
      </w:r>
      <w:r w:rsidRPr="00E91479">
        <w:rPr>
          <w:bCs/>
          <w:i/>
        </w:rPr>
        <w:t xml:space="preserve"> </w:t>
      </w:r>
      <w:r w:rsidR="00833817" w:rsidRPr="00E91479">
        <w:rPr>
          <w:bCs/>
          <w:i/>
        </w:rPr>
        <w:t>ESI</w:t>
      </w:r>
      <w:r w:rsidRPr="00E91479">
        <w:rPr>
          <w:bCs/>
          <w:i/>
        </w:rPr>
        <w:t xml:space="preserve"> for</w:t>
      </w:r>
      <w:r w:rsidR="00107038">
        <w:rPr>
          <w:bCs/>
          <w:i/>
        </w:rPr>
        <w:t xml:space="preserve"> re</w:t>
      </w:r>
      <w:r w:rsidR="009B44F0">
        <w:rPr>
          <w:bCs/>
          <w:i/>
        </w:rPr>
        <w:t>currence of</w:t>
      </w:r>
      <w:r w:rsidRPr="00E91479">
        <w:rPr>
          <w:bCs/>
          <w:i/>
        </w:rPr>
        <w:t xml:space="preserve"> chronic</w:t>
      </w:r>
      <w:r>
        <w:rPr>
          <w:bCs/>
        </w:rPr>
        <w:t xml:space="preserve"> pain that</w:t>
      </w:r>
      <w:r w:rsidR="009B44F0">
        <w:rPr>
          <w:bCs/>
        </w:rPr>
        <w:t xml:space="preserve"> </w:t>
      </w:r>
      <w:r w:rsidR="009B44F0" w:rsidRPr="0058667D">
        <w:rPr>
          <w:b/>
          <w:bCs/>
        </w:rPr>
        <w:t>had</w:t>
      </w:r>
      <w:r w:rsidRPr="0058667D">
        <w:rPr>
          <w:b/>
          <w:bCs/>
        </w:rPr>
        <w:t xml:space="preserve"> </w:t>
      </w:r>
      <w:r w:rsidRPr="00E91479">
        <w:rPr>
          <w:b/>
          <w:bCs/>
        </w:rPr>
        <w:t>improved</w:t>
      </w:r>
      <w:r>
        <w:rPr>
          <w:bCs/>
        </w:rPr>
        <w:t xml:space="preserve"> from the first </w:t>
      </w:r>
      <w:r w:rsidR="0002019C">
        <w:rPr>
          <w:bCs/>
        </w:rPr>
        <w:t xml:space="preserve">or </w:t>
      </w:r>
      <w:r w:rsidR="0002019C" w:rsidRPr="00435472">
        <w:rPr>
          <w:bCs/>
        </w:rPr>
        <w:t>second</w:t>
      </w:r>
      <w:r w:rsidR="0002019C">
        <w:rPr>
          <w:bCs/>
        </w:rPr>
        <w:t xml:space="preserve"> </w:t>
      </w:r>
      <w:r>
        <w:rPr>
          <w:bCs/>
        </w:rPr>
        <w:t>ESI</w:t>
      </w:r>
      <w:r w:rsidR="002001EF">
        <w:rPr>
          <w:bCs/>
        </w:rPr>
        <w:t xml:space="preserve">, </w:t>
      </w:r>
      <w:r w:rsidRPr="00FC1A07">
        <w:rPr>
          <w:bCs/>
        </w:rPr>
        <w:t>all</w:t>
      </w:r>
      <w:r w:rsidRPr="00FC1A07">
        <w:rPr>
          <w:bCs/>
          <w:i/>
          <w:iCs/>
        </w:rPr>
        <w:t xml:space="preserve"> </w:t>
      </w:r>
      <w:r w:rsidRPr="00FC1A07">
        <w:rPr>
          <w:bCs/>
        </w:rPr>
        <w:t>of the following:</w:t>
      </w:r>
    </w:p>
    <w:p w14:paraId="714C18F2" w14:textId="5B91E5F3" w:rsidR="002001EF" w:rsidRPr="002001EF" w:rsidRDefault="002001EF" w:rsidP="00CA5AF3">
      <w:pPr>
        <w:pStyle w:val="ListParagraph"/>
        <w:numPr>
          <w:ilvl w:val="0"/>
          <w:numId w:val="31"/>
        </w:numPr>
        <w:tabs>
          <w:tab w:val="left" w:pos="1080"/>
        </w:tabs>
        <w:ind w:left="1080"/>
      </w:pPr>
      <w:r w:rsidRPr="002001EF">
        <w:t>Initial injection(s) led to ≥ 50%</w:t>
      </w:r>
      <w:r w:rsidR="00CA5AF3">
        <w:t xml:space="preserve"> </w:t>
      </w:r>
      <w:r w:rsidR="0056386B">
        <w:t xml:space="preserve">pain </w:t>
      </w:r>
      <w:r w:rsidRPr="002001EF">
        <w:t xml:space="preserve">relief </w:t>
      </w:r>
      <w:r w:rsidR="00CA5AF3">
        <w:t xml:space="preserve">and functional improvement </w:t>
      </w:r>
      <w:r w:rsidRPr="002001EF">
        <w:t xml:space="preserve">for at least </w:t>
      </w:r>
      <w:r w:rsidR="00206C5E">
        <w:t>two</w:t>
      </w:r>
      <w:r w:rsidRPr="002001EF">
        <w:t xml:space="preserve"> months</w:t>
      </w:r>
      <w:r w:rsidR="007A0F2E">
        <w:t>;</w:t>
      </w:r>
    </w:p>
    <w:p w14:paraId="0F65E7BD" w14:textId="61983EA9" w:rsidR="002001EF" w:rsidRPr="002001EF" w:rsidRDefault="002001EF" w:rsidP="00CA5AF3">
      <w:pPr>
        <w:pStyle w:val="ListParagraph"/>
        <w:numPr>
          <w:ilvl w:val="0"/>
          <w:numId w:val="31"/>
        </w:numPr>
        <w:tabs>
          <w:tab w:val="left" w:pos="1080"/>
        </w:tabs>
        <w:ind w:left="1080"/>
      </w:pPr>
      <w:r w:rsidRPr="002001EF">
        <w:t xml:space="preserve">At least </w:t>
      </w:r>
      <w:r w:rsidR="00B50F7C">
        <w:t>two</w:t>
      </w:r>
      <w:r w:rsidRPr="002001EF">
        <w:t xml:space="preserve"> months</w:t>
      </w:r>
      <w:r w:rsidR="006B267A">
        <w:t xml:space="preserve"> have</w:t>
      </w:r>
      <w:r w:rsidR="007A0F2E">
        <w:t xml:space="preserve"> passed since </w:t>
      </w:r>
      <w:r w:rsidR="006B267A">
        <w:t xml:space="preserve">the </w:t>
      </w:r>
      <w:r w:rsidR="007A0F2E">
        <w:t>last ESI;</w:t>
      </w:r>
    </w:p>
    <w:p w14:paraId="5377FFD2" w14:textId="490510EA" w:rsidR="002001EF" w:rsidRPr="002001EF" w:rsidRDefault="002001EF" w:rsidP="00CA5AF3">
      <w:pPr>
        <w:pStyle w:val="ListParagraph"/>
        <w:numPr>
          <w:ilvl w:val="0"/>
          <w:numId w:val="31"/>
        </w:numPr>
        <w:tabs>
          <w:tab w:val="left" w:pos="1080"/>
        </w:tabs>
        <w:ind w:left="1080"/>
      </w:pPr>
      <w:r w:rsidRPr="002001EF">
        <w:t xml:space="preserve">Less than </w:t>
      </w:r>
      <w:r w:rsidR="00B50F7C">
        <w:t>four</w:t>
      </w:r>
      <w:r w:rsidRPr="002001EF">
        <w:t xml:space="preserve"> injections have been administered within 12 months</w:t>
      </w:r>
      <w:r w:rsidR="007A0F2E">
        <w:t>;</w:t>
      </w:r>
    </w:p>
    <w:p w14:paraId="1084E452" w14:textId="362A8F3D" w:rsidR="00D71CF6" w:rsidRPr="00223DF9" w:rsidRDefault="002001EF" w:rsidP="00067B83">
      <w:pPr>
        <w:pStyle w:val="ListParagraph"/>
        <w:numPr>
          <w:ilvl w:val="0"/>
          <w:numId w:val="31"/>
        </w:numPr>
        <w:ind w:left="1080"/>
        <w:rPr>
          <w:bCs/>
        </w:rPr>
      </w:pPr>
      <w:r w:rsidRPr="002001EF">
        <w:t xml:space="preserve">Less than 12 months have elapsed since </w:t>
      </w:r>
      <w:r w:rsidR="007A0F2E">
        <w:t xml:space="preserve">the </w:t>
      </w:r>
      <w:r w:rsidRPr="002001EF">
        <w:t>initial injection at the level requested</w:t>
      </w:r>
      <w:r w:rsidR="001325E1">
        <w:t>.</w:t>
      </w:r>
    </w:p>
    <w:p w14:paraId="43FA026C" w14:textId="782A191E" w:rsidR="00770CC7" w:rsidRPr="00967162" w:rsidRDefault="00770CC7" w:rsidP="0058667D">
      <w:pPr>
        <w:pStyle w:val="ListParagraph"/>
        <w:ind w:left="1080"/>
        <w:rPr>
          <w:bCs/>
        </w:rPr>
      </w:pPr>
    </w:p>
    <w:p w14:paraId="693BBC1A" w14:textId="12707378" w:rsidR="00770CC7" w:rsidRPr="00833817" w:rsidRDefault="00FB2382" w:rsidP="00E91479">
      <w:pPr>
        <w:pStyle w:val="ListParagraph"/>
        <w:numPr>
          <w:ilvl w:val="0"/>
          <w:numId w:val="11"/>
        </w:numPr>
        <w:ind w:left="360"/>
        <w:rPr>
          <w:bCs/>
        </w:rPr>
      </w:pPr>
      <w:r>
        <w:t>It is the policy of hea</w:t>
      </w:r>
      <w:r w:rsidR="00E47FAD">
        <w:t>l</w:t>
      </w:r>
      <w:r>
        <w:t>t</w:t>
      </w:r>
      <w:r w:rsidRPr="00FB2382">
        <w:t>h plans affiliated with Centene Corporation</w:t>
      </w:r>
      <w:r>
        <w:rPr>
          <w:i/>
        </w:rPr>
        <w:t xml:space="preserve"> </w:t>
      </w:r>
      <w:r w:rsidRPr="00FB2382">
        <w:t>that</w:t>
      </w:r>
      <w:r>
        <w:rPr>
          <w:i/>
        </w:rPr>
        <w:t xml:space="preserve"> </w:t>
      </w:r>
      <w:r w:rsidR="00791B8C">
        <w:rPr>
          <w:i/>
        </w:rPr>
        <w:t>a</w:t>
      </w:r>
      <w:r w:rsidR="0002019C" w:rsidRPr="00E91479">
        <w:rPr>
          <w:i/>
        </w:rPr>
        <w:t xml:space="preserve"> third or subsequent</w:t>
      </w:r>
      <w:r w:rsidR="00833817" w:rsidRPr="00E91479">
        <w:rPr>
          <w:i/>
        </w:rPr>
        <w:t xml:space="preserve"> caudal or interlaminar ESI</w:t>
      </w:r>
      <w:r w:rsidR="0002019C" w:rsidRPr="00E91479">
        <w:rPr>
          <w:i/>
        </w:rPr>
        <w:t xml:space="preserve"> for chronic pain</w:t>
      </w:r>
      <w:r w:rsidR="0002019C">
        <w:t xml:space="preserve"> that </w:t>
      </w:r>
      <w:r w:rsidR="0002019C" w:rsidRPr="00E91479">
        <w:rPr>
          <w:b/>
        </w:rPr>
        <w:t>did not</w:t>
      </w:r>
      <w:r w:rsidR="0002019C">
        <w:t xml:space="preserve"> improve from </w:t>
      </w:r>
      <w:r w:rsidR="00833817">
        <w:t xml:space="preserve">the </w:t>
      </w:r>
      <w:r w:rsidR="0002019C">
        <w:t xml:space="preserve">first </w:t>
      </w:r>
      <w:r w:rsidR="00833817">
        <w:t xml:space="preserve">two </w:t>
      </w:r>
      <w:r w:rsidR="0002019C">
        <w:t>ESI</w:t>
      </w:r>
      <w:r w:rsidR="00833817">
        <w:t>s</w:t>
      </w:r>
      <w:r w:rsidR="0002019C">
        <w:t xml:space="preserve"> is </w:t>
      </w:r>
      <w:r w:rsidR="00770CC7">
        <w:t xml:space="preserve">considered </w:t>
      </w:r>
      <w:r w:rsidR="00770CC7" w:rsidRPr="00833817">
        <w:rPr>
          <w:b/>
        </w:rPr>
        <w:t>not medically necessary</w:t>
      </w:r>
      <w:r w:rsidR="00770CC7" w:rsidRPr="00833817">
        <w:rPr>
          <w:bCs/>
        </w:rPr>
        <w:t xml:space="preserve"> because effectiveness has not been established.</w:t>
      </w:r>
    </w:p>
    <w:p w14:paraId="35C420A1" w14:textId="77777777" w:rsidR="00770CC7" w:rsidRDefault="00770CC7" w:rsidP="00E91479"/>
    <w:p w14:paraId="40248952" w14:textId="4B5965B2" w:rsidR="00770CC7" w:rsidRPr="00FC1A07" w:rsidRDefault="0005393D" w:rsidP="00E91479">
      <w:pPr>
        <w:pStyle w:val="ListParagraph"/>
        <w:numPr>
          <w:ilvl w:val="0"/>
          <w:numId w:val="11"/>
        </w:numPr>
        <w:ind w:left="360"/>
      </w:pPr>
      <w:r>
        <w:t xml:space="preserve"> </w:t>
      </w:r>
      <w:r w:rsidR="00FB2382">
        <w:t>It is the policy of hea</w:t>
      </w:r>
      <w:r w:rsidR="00E47FAD">
        <w:t>l</w:t>
      </w:r>
      <w:r w:rsidR="00FB2382">
        <w:t>t</w:t>
      </w:r>
      <w:r w:rsidR="00FB2382" w:rsidRPr="00FB2382">
        <w:t>h</w:t>
      </w:r>
      <w:r w:rsidR="00E47FAD">
        <w:t xml:space="preserve"> </w:t>
      </w:r>
      <w:r w:rsidR="00FB2382" w:rsidRPr="00FB2382">
        <w:t>plans affiliated with Centene Corporation</w:t>
      </w:r>
      <w:r w:rsidR="00FB2382">
        <w:rPr>
          <w:i/>
        </w:rPr>
        <w:t xml:space="preserve"> </w:t>
      </w:r>
      <w:r w:rsidR="00FB2382" w:rsidRPr="00FB2382">
        <w:t>that</w:t>
      </w:r>
      <w:r w:rsidR="00FB2382">
        <w:rPr>
          <w:i/>
        </w:rPr>
        <w:t xml:space="preserve"> c</w:t>
      </w:r>
      <w:r w:rsidR="00770CC7" w:rsidRPr="007B4FE0">
        <w:rPr>
          <w:i/>
        </w:rPr>
        <w:t>ontinuation of injections</w:t>
      </w:r>
      <w:r w:rsidR="00770CC7" w:rsidRPr="00FC1A07">
        <w:t xml:space="preserve"> </w:t>
      </w:r>
      <w:r w:rsidR="00770CC7">
        <w:t>beyond</w:t>
      </w:r>
      <w:r w:rsidR="00770CC7" w:rsidRPr="00FC1A07">
        <w:t xml:space="preserve"> 12 months</w:t>
      </w:r>
      <w:r w:rsidR="00770CC7">
        <w:t xml:space="preserve"> or more than </w:t>
      </w:r>
      <w:r w:rsidR="009E54DC">
        <w:t>four</w:t>
      </w:r>
      <w:r w:rsidR="00770CC7">
        <w:t xml:space="preserve"> therapeutic injections</w:t>
      </w:r>
      <w:r w:rsidR="00770CC7" w:rsidRPr="00FC1A07">
        <w:t xml:space="preserve"> </w:t>
      </w:r>
      <w:r w:rsidR="00770CC7">
        <w:t>is</w:t>
      </w:r>
      <w:r w:rsidR="00770CC7" w:rsidRPr="00FC1A07">
        <w:t xml:space="preserve"> </w:t>
      </w:r>
      <w:r w:rsidR="00770CC7">
        <w:t xml:space="preserve">considered </w:t>
      </w:r>
      <w:r w:rsidR="00770CC7">
        <w:rPr>
          <w:b/>
        </w:rPr>
        <w:t>not medically necessary</w:t>
      </w:r>
      <w:r w:rsidR="00770CC7">
        <w:t xml:space="preserve"> </w:t>
      </w:r>
      <w:r w:rsidR="00770CC7" w:rsidRPr="007B4FE0">
        <w:rPr>
          <w:bCs/>
        </w:rPr>
        <w:t>because effectiveness and safety ha</w:t>
      </w:r>
      <w:r w:rsidR="00CA5AF3">
        <w:rPr>
          <w:bCs/>
        </w:rPr>
        <w:t>ve</w:t>
      </w:r>
      <w:r w:rsidR="00770CC7" w:rsidRPr="007B4FE0">
        <w:rPr>
          <w:bCs/>
        </w:rPr>
        <w:t xml:space="preserve"> not been established</w:t>
      </w:r>
      <w:r w:rsidR="00386A91">
        <w:rPr>
          <w:bCs/>
        </w:rPr>
        <w:t>.</w:t>
      </w:r>
      <w:r w:rsidR="0056097C">
        <w:rPr>
          <w:bCs/>
        </w:rPr>
        <w:t xml:space="preserve"> </w:t>
      </w:r>
      <w:r w:rsidR="00386A91">
        <w:rPr>
          <w:bCs/>
        </w:rPr>
        <w:t>W</w:t>
      </w:r>
      <w:r w:rsidR="00770CC7" w:rsidRPr="007B4FE0">
        <w:rPr>
          <w:bCs/>
        </w:rPr>
        <w:t>hen more definitive therapies cannot be tolerated or provided, consideration will be made on a case</w:t>
      </w:r>
      <w:r w:rsidR="009E3D5A">
        <w:rPr>
          <w:bCs/>
        </w:rPr>
        <w:t>-</w:t>
      </w:r>
      <w:r w:rsidR="00770CC7" w:rsidRPr="007B4FE0">
        <w:rPr>
          <w:bCs/>
        </w:rPr>
        <w:t>by</w:t>
      </w:r>
      <w:r w:rsidR="009E3D5A">
        <w:rPr>
          <w:bCs/>
        </w:rPr>
        <w:t>-</w:t>
      </w:r>
      <w:r w:rsidR="00770CC7" w:rsidRPr="007B4FE0">
        <w:rPr>
          <w:bCs/>
        </w:rPr>
        <w:t>case basis.</w:t>
      </w:r>
    </w:p>
    <w:p w14:paraId="2707F764" w14:textId="77777777" w:rsidR="00770CC7" w:rsidRDefault="00770CC7" w:rsidP="00770CC7"/>
    <w:p w14:paraId="08EC3CBC" w14:textId="1DB22751" w:rsidR="00295F28" w:rsidRPr="00A17A2F" w:rsidRDefault="0005393D" w:rsidP="00295F28">
      <w:pPr>
        <w:pStyle w:val="ListParagraph"/>
        <w:numPr>
          <w:ilvl w:val="0"/>
          <w:numId w:val="11"/>
        </w:numPr>
        <w:tabs>
          <w:tab w:val="left" w:pos="360"/>
        </w:tabs>
        <w:ind w:left="360"/>
        <w:rPr>
          <w:bCs/>
          <w:i/>
        </w:rPr>
      </w:pPr>
      <w:r>
        <w:t xml:space="preserve"> </w:t>
      </w:r>
      <w:r w:rsidR="00E47FAD">
        <w:t>It is the policy of health</w:t>
      </w:r>
      <w:r w:rsidR="00FB2382" w:rsidRPr="00FB2382">
        <w:t xml:space="preserve"> plans affiliated with Centene Corporation</w:t>
      </w:r>
      <w:r w:rsidR="00FB2382">
        <w:rPr>
          <w:i/>
        </w:rPr>
        <w:t xml:space="preserve"> </w:t>
      </w:r>
      <w:r w:rsidR="00FB2382" w:rsidRPr="00FB2382">
        <w:t>that</w:t>
      </w:r>
      <w:r w:rsidR="00FB2382">
        <w:rPr>
          <w:i/>
        </w:rPr>
        <w:t xml:space="preserve"> c</w:t>
      </w:r>
      <w:r w:rsidR="00770CC7">
        <w:rPr>
          <w:bCs/>
          <w:i/>
        </w:rPr>
        <w:t>audal or interlaminar ESI for any other indication or location</w:t>
      </w:r>
      <w:r w:rsidR="00770CC7">
        <w:rPr>
          <w:bCs/>
        </w:rPr>
        <w:t xml:space="preserve"> is considered</w:t>
      </w:r>
      <w:r w:rsidR="00770CC7">
        <w:rPr>
          <w:b/>
          <w:bCs/>
        </w:rPr>
        <w:t xml:space="preserve"> not medically necessary</w:t>
      </w:r>
      <w:r w:rsidR="00770CC7">
        <w:rPr>
          <w:bCs/>
        </w:rPr>
        <w:t xml:space="preserve"> because effectiveness has not been established. </w:t>
      </w:r>
    </w:p>
    <w:p w14:paraId="442E1626" w14:textId="5BE74D01" w:rsidR="00C96847" w:rsidRDefault="00C96847" w:rsidP="00C96847"/>
    <w:p w14:paraId="19829E1E" w14:textId="7C90309D" w:rsidR="00F92522" w:rsidRPr="00FF332D" w:rsidRDefault="00F92522" w:rsidP="00C96847">
      <w:pPr>
        <w:rPr>
          <w:b/>
        </w:rPr>
      </w:pPr>
      <w:r w:rsidRPr="00FF332D">
        <w:rPr>
          <w:b/>
        </w:rPr>
        <w:t>Background</w:t>
      </w:r>
    </w:p>
    <w:p w14:paraId="47937B1F" w14:textId="44512DAF" w:rsidR="00F92522" w:rsidRPr="005677E2" w:rsidRDefault="00F92522" w:rsidP="00F92522">
      <w:pPr>
        <w:rPr>
          <w:vertAlign w:val="superscript"/>
        </w:rPr>
      </w:pPr>
      <w:r w:rsidRPr="00FF332D">
        <w:t>The</w:t>
      </w:r>
      <w:r w:rsidR="0088636E" w:rsidRPr="00FF332D">
        <w:t xml:space="preserve">re is much debate </w:t>
      </w:r>
      <w:r w:rsidRPr="00FF332D">
        <w:t xml:space="preserve">on the efficacy and medical necessity of multiple interventions </w:t>
      </w:r>
      <w:r w:rsidR="0088636E" w:rsidRPr="00FF332D">
        <w:t>for</w:t>
      </w:r>
      <w:r w:rsidRPr="00FF332D">
        <w:t xml:space="preserve"> managing spinal </w:t>
      </w:r>
      <w:r w:rsidR="005431D7" w:rsidRPr="00FF332D">
        <w:t xml:space="preserve">and low back </w:t>
      </w:r>
      <w:r w:rsidRPr="00FF332D">
        <w:t>pain</w:t>
      </w:r>
      <w:r w:rsidR="00386A91" w:rsidRPr="00FF332D">
        <w:t>.</w:t>
      </w:r>
      <w:r w:rsidR="0056097C" w:rsidRPr="00FF332D">
        <w:t xml:space="preserve"> </w:t>
      </w:r>
      <w:r w:rsidRPr="00FF332D">
        <w:t xml:space="preserve">Epidural glucocorticoid injections have been used for pain control in </w:t>
      </w:r>
      <w:r w:rsidR="0000147B" w:rsidRPr="00FF332D">
        <w:t xml:space="preserve">individuals </w:t>
      </w:r>
      <w:r w:rsidRPr="00FF332D">
        <w:t>with radiculopathy,</w:t>
      </w:r>
      <w:r w:rsidR="0056097C" w:rsidRPr="00FF332D">
        <w:t xml:space="preserve"> </w:t>
      </w:r>
      <w:r w:rsidRPr="00FF332D">
        <w:t>spinal stenosis, and nonspecific low back pain</w:t>
      </w:r>
      <w:r w:rsidR="00FA6C11" w:rsidRPr="00FF332D">
        <w:t>.</w:t>
      </w:r>
      <w:r w:rsidRPr="00FF332D">
        <w:t xml:space="preserve"> </w:t>
      </w:r>
      <w:r w:rsidR="00FA6C11" w:rsidRPr="00FF332D">
        <w:t xml:space="preserve">However, efficacy is difficult to understand due to inconsistent results as well as heterogeneous populations and interventions in </w:t>
      </w:r>
      <w:r w:rsidRPr="00FF332D">
        <w:t>randomized</w:t>
      </w:r>
      <w:r w:rsidR="000968A8" w:rsidRPr="00FF332D">
        <w:t xml:space="preserve"> controlled</w:t>
      </w:r>
      <w:r w:rsidRPr="00FF332D">
        <w:t xml:space="preserve"> trials</w:t>
      </w:r>
      <w:r w:rsidR="000968A8" w:rsidRPr="00FF332D">
        <w:t xml:space="preserve"> (RCTs)</w:t>
      </w:r>
      <w:r w:rsidR="00386A91" w:rsidRPr="00FF332D">
        <w:t>.</w:t>
      </w:r>
      <w:r w:rsidR="00FA6C11" w:rsidRPr="00FF332D">
        <w:rPr>
          <w:vertAlign w:val="superscript"/>
        </w:rPr>
        <w:t>5</w:t>
      </w:r>
      <w:r w:rsidR="0056097C" w:rsidRPr="00FF332D">
        <w:t xml:space="preserve"> </w:t>
      </w:r>
      <w:r w:rsidRPr="00FF332D">
        <w:t>Generally, candidates for epidural steroid injection are individuals who have acute radicular symptoms or neurogenic claudication unresponsive to traditional analgesics and rest, with significant impairment</w:t>
      </w:r>
      <w:r w:rsidR="00386A91" w:rsidRPr="00FF332D">
        <w:t xml:space="preserve"> in activities of daily living.</w:t>
      </w:r>
      <w:r w:rsidR="008E570F" w:rsidRPr="00FF332D">
        <w:rPr>
          <w:vertAlign w:val="superscript"/>
        </w:rPr>
        <w:t>5</w:t>
      </w:r>
      <w:r w:rsidR="00714B06" w:rsidRPr="00FF332D">
        <w:rPr>
          <w:vertAlign w:val="superscript"/>
        </w:rPr>
        <w:t>,21</w:t>
      </w:r>
      <w:r w:rsidR="0056097C" w:rsidRPr="00FF332D">
        <w:t xml:space="preserve"> </w:t>
      </w:r>
      <w:r w:rsidRPr="00FF332D">
        <w:t xml:space="preserve">Epidural steroid injections have been used in the treatment of spinal stenosis for many years, </w:t>
      </w:r>
      <w:r w:rsidR="00A533B9" w:rsidRPr="00FF332D">
        <w:t xml:space="preserve">but </w:t>
      </w:r>
      <w:r w:rsidRPr="00FF332D">
        <w:t>no validated long-term outcomes substantiate their use</w:t>
      </w:r>
      <w:r w:rsidR="00386A91" w:rsidRPr="00FF332D">
        <w:t>.</w:t>
      </w:r>
      <w:r w:rsidR="001D7F5E" w:rsidRPr="00FF332D">
        <w:rPr>
          <w:vertAlign w:val="superscript"/>
        </w:rPr>
        <w:t>5,</w:t>
      </w:r>
      <w:r w:rsidR="00A97C66" w:rsidRPr="00FF332D">
        <w:rPr>
          <w:vertAlign w:val="superscript"/>
        </w:rPr>
        <w:t>8</w:t>
      </w:r>
      <w:r w:rsidR="002C2869" w:rsidRPr="00FF332D">
        <w:rPr>
          <w:vertAlign w:val="superscript"/>
        </w:rPr>
        <w:t>,22</w:t>
      </w:r>
      <w:r w:rsidR="0056097C" w:rsidRPr="00FF332D">
        <w:t xml:space="preserve"> </w:t>
      </w:r>
      <w:r w:rsidRPr="00FF332D">
        <w:t xml:space="preserve">However, significant improvement in pain scores have been reported at </w:t>
      </w:r>
      <w:r w:rsidR="00D2618C" w:rsidRPr="00FF332D">
        <w:t>three</w:t>
      </w:r>
      <w:r w:rsidRPr="00FF332D">
        <w:t xml:space="preserve"> months</w:t>
      </w:r>
      <w:r w:rsidR="00B26C29" w:rsidRPr="00FF332D">
        <w:t xml:space="preserve"> after injection</w:t>
      </w:r>
      <w:r w:rsidRPr="00FF332D">
        <w:t>.</w:t>
      </w:r>
      <w:r w:rsidR="002C77C2" w:rsidRPr="00FF332D">
        <w:rPr>
          <w:vertAlign w:val="superscript"/>
        </w:rPr>
        <w:t>5</w:t>
      </w:r>
      <w:r w:rsidR="002C25E8" w:rsidRPr="00FF332D">
        <w:rPr>
          <w:vertAlign w:val="superscript"/>
        </w:rPr>
        <w:t>, 21</w:t>
      </w:r>
      <w:r w:rsidR="006327E3" w:rsidRPr="00FF332D">
        <w:rPr>
          <w:vertAlign w:val="superscript"/>
        </w:rPr>
        <w:t>, 22</w:t>
      </w:r>
      <w:r w:rsidRPr="00FF332D">
        <w:t xml:space="preserve"> </w:t>
      </w:r>
      <w:r w:rsidR="00DD04E7" w:rsidRPr="00FF332D">
        <w:t xml:space="preserve">Additionally, </w:t>
      </w:r>
      <w:r w:rsidR="00F17C3D" w:rsidRPr="00FF332D">
        <w:t>in a systematic review of studies,</w:t>
      </w:r>
      <w:r w:rsidR="00182B1C" w:rsidRPr="00FF332D">
        <w:t xml:space="preserve"> </w:t>
      </w:r>
      <w:r w:rsidR="00192747" w:rsidRPr="00FF332D">
        <w:t xml:space="preserve">epidural </w:t>
      </w:r>
      <w:r w:rsidR="009A44B4" w:rsidRPr="00FF332D">
        <w:t xml:space="preserve">steroid </w:t>
      </w:r>
      <w:r w:rsidR="00192747" w:rsidRPr="00FF332D">
        <w:t>injections</w:t>
      </w:r>
      <w:r w:rsidR="007C546F" w:rsidRPr="00FF332D">
        <w:t xml:space="preserve"> were not found to improve pain</w:t>
      </w:r>
      <w:r w:rsidR="008C5E4D" w:rsidRPr="00FF332D">
        <w:t xml:space="preserve"> or function </w:t>
      </w:r>
      <w:r w:rsidR="004E09A7" w:rsidRPr="00FF332D">
        <w:t xml:space="preserve">in </w:t>
      </w:r>
      <w:r w:rsidR="00192747" w:rsidRPr="00FF332D">
        <w:t>individuals with nonspecific low back pain</w:t>
      </w:r>
      <w:r w:rsidR="004E09A7" w:rsidRPr="00FF332D">
        <w:t>.</w:t>
      </w:r>
      <w:r w:rsidR="0030073B" w:rsidRPr="00FF332D">
        <w:rPr>
          <w:vertAlign w:val="superscript"/>
        </w:rPr>
        <w:t>4,5</w:t>
      </w:r>
    </w:p>
    <w:p w14:paraId="7FE73D4F" w14:textId="77777777" w:rsidR="00F92522" w:rsidRPr="00FF332D" w:rsidRDefault="00F92522" w:rsidP="00F92522"/>
    <w:p w14:paraId="6527F2DD" w14:textId="6C0A19AD" w:rsidR="00F92522" w:rsidRPr="00FF332D" w:rsidRDefault="0088636E" w:rsidP="00F92522">
      <w:pPr>
        <w:rPr>
          <w:vertAlign w:val="superscript"/>
        </w:rPr>
      </w:pPr>
      <w:r w:rsidRPr="00FF332D">
        <w:lastRenderedPageBreak/>
        <w:t>Zhai et al</w:t>
      </w:r>
      <w:r w:rsidR="007042FE" w:rsidRPr="00FF332D">
        <w:t>.</w:t>
      </w:r>
      <w:r w:rsidRPr="00FF332D">
        <w:t xml:space="preserve"> </w:t>
      </w:r>
      <w:r w:rsidR="00FE06A8" w:rsidRPr="00FF332D">
        <w:t xml:space="preserve">(2015) </w:t>
      </w:r>
      <w:r w:rsidR="00F92522" w:rsidRPr="00FF332D">
        <w:t xml:space="preserve">conducted a meta-analysis to assess the effects of various surgical and nonsurgical modalities, including epidural injections, used to treat lumbar disc herniation </w:t>
      </w:r>
      <w:r w:rsidR="00274002" w:rsidRPr="00FF332D">
        <w:t>and</w:t>
      </w:r>
      <w:r w:rsidR="00F92522" w:rsidRPr="00FF332D">
        <w:t xml:space="preserve"> radiculitis.</w:t>
      </w:r>
      <w:r w:rsidR="0056097C" w:rsidRPr="00FF332D">
        <w:t xml:space="preserve"> </w:t>
      </w:r>
      <w:r w:rsidR="00C419C7" w:rsidRPr="00FF332D">
        <w:t>A systemic literature review identified RCTs that compared the use of local anesthetic with and without steroids.</w:t>
      </w:r>
      <w:r w:rsidR="0056097C" w:rsidRPr="00FF332D">
        <w:t xml:space="preserve"> </w:t>
      </w:r>
      <w:r w:rsidR="00F92522" w:rsidRPr="00FF332D">
        <w:t>The outcomes included pain relief, functional improvement, opioid intake, and therapeutic procedural characteristics.</w:t>
      </w:r>
      <w:r w:rsidR="0056097C" w:rsidRPr="00FF332D">
        <w:t xml:space="preserve"> </w:t>
      </w:r>
      <w:r w:rsidR="00F92522" w:rsidRPr="00FF332D">
        <w:t>The reviewers concluded the meta-analysis confirms that epidural injections of local anesthetic with or without steroids have beneficial but similar effects in the treatment of patients with chronic low back and lower extremity pain.</w:t>
      </w:r>
      <w:r w:rsidR="00B26C29" w:rsidRPr="00FF332D">
        <w:rPr>
          <w:vertAlign w:val="superscript"/>
        </w:rPr>
        <w:t>1</w:t>
      </w:r>
    </w:p>
    <w:p w14:paraId="489CE92B" w14:textId="77777777" w:rsidR="00F92522" w:rsidRPr="00FF332D" w:rsidRDefault="00F92522" w:rsidP="00F92522"/>
    <w:p w14:paraId="2CBD4DD7" w14:textId="736EA9AC" w:rsidR="009D5928" w:rsidRDefault="002441DF">
      <w:pPr>
        <w:rPr>
          <w:b/>
          <w:bCs/>
        </w:rPr>
      </w:pPr>
      <w:r w:rsidRPr="00FF332D">
        <w:t xml:space="preserve">Manchikanti et al. </w:t>
      </w:r>
      <w:r w:rsidR="00FE06A8" w:rsidRPr="00FF332D">
        <w:t xml:space="preserve">(2015) </w:t>
      </w:r>
      <w:r w:rsidRPr="00FF332D">
        <w:t>analyzed</w:t>
      </w:r>
      <w:r w:rsidR="008D167C" w:rsidRPr="00FF332D">
        <w:t xml:space="preserve"> the </w:t>
      </w:r>
      <w:r w:rsidR="00C445DA" w:rsidRPr="00FF332D">
        <w:t>r</w:t>
      </w:r>
      <w:r w:rsidR="00F92522" w:rsidRPr="00FF332D">
        <w:t xml:space="preserve">esults of a </w:t>
      </w:r>
      <w:r w:rsidR="00EE77EF" w:rsidRPr="00FF332D">
        <w:t>two</w:t>
      </w:r>
      <w:r w:rsidR="009943AA">
        <w:t>-</w:t>
      </w:r>
      <w:r w:rsidR="008024FC" w:rsidRPr="00FF332D">
        <w:t>year</w:t>
      </w:r>
      <w:r w:rsidR="00F92522" w:rsidRPr="00FF332D">
        <w:t xml:space="preserve"> follow-up of </w:t>
      </w:r>
      <w:r w:rsidR="00737F26" w:rsidRPr="00FF332D">
        <w:t>three</w:t>
      </w:r>
      <w:r w:rsidR="00F92522" w:rsidRPr="00FF332D">
        <w:t xml:space="preserve"> randomized, double-blind, controlled trials, with a total of 360 patients with chronic persistent pain of disc herniation receiving either caudal, lumbar interlaminar or transforaminal epidural injections, </w:t>
      </w:r>
      <w:r w:rsidR="00C445DA" w:rsidRPr="00FF332D">
        <w:t xml:space="preserve">which </w:t>
      </w:r>
      <w:r w:rsidR="00F92522" w:rsidRPr="00FF332D">
        <w:t xml:space="preserve">showed similar efficacy of the </w:t>
      </w:r>
      <w:r w:rsidR="00AA044E" w:rsidRPr="00FF332D">
        <w:t>three</w:t>
      </w:r>
      <w:r w:rsidR="00F92522" w:rsidRPr="00FF332D">
        <w:t xml:space="preserve"> techniques with local anesthetic alone or local anesthetic with steroid</w:t>
      </w:r>
      <w:r w:rsidR="00386A91" w:rsidRPr="00FF332D">
        <w:t>.</w:t>
      </w:r>
      <w:r w:rsidR="0056097C" w:rsidRPr="00FF332D">
        <w:t xml:space="preserve"> </w:t>
      </w:r>
      <w:r w:rsidR="00F92522" w:rsidRPr="00FF332D">
        <w:t>Caudal and interlaminar trials used in the assessment showed some superiority of steroids over local anesthe</w:t>
      </w:r>
      <w:r w:rsidR="00386A91" w:rsidRPr="00FF332D">
        <w:t xml:space="preserve">tic at </w:t>
      </w:r>
      <w:r w:rsidR="00AA044E" w:rsidRPr="00FF332D">
        <w:t>three</w:t>
      </w:r>
      <w:r w:rsidR="00386A91" w:rsidRPr="00FF332D">
        <w:t xml:space="preserve"> and </w:t>
      </w:r>
      <w:r w:rsidR="00AA044E" w:rsidRPr="00FF332D">
        <w:t>six</w:t>
      </w:r>
      <w:r w:rsidR="00386A91" w:rsidRPr="00FF332D">
        <w:t xml:space="preserve"> month follow-up.</w:t>
      </w:r>
      <w:r w:rsidR="0056097C" w:rsidRPr="00FF332D">
        <w:t xml:space="preserve"> </w:t>
      </w:r>
      <w:r w:rsidR="00F92522" w:rsidRPr="00FF332D">
        <w:t>Interlaminar with steroids were superior to transforaminal at 12</w:t>
      </w:r>
      <w:r w:rsidR="003C1E66" w:rsidRPr="00FF332D">
        <w:t xml:space="preserve"> </w:t>
      </w:r>
      <w:r w:rsidR="00F92522" w:rsidRPr="00FF332D">
        <w:t>months.</w:t>
      </w:r>
      <w:r w:rsidR="0088636E" w:rsidRPr="00FF332D">
        <w:rPr>
          <w:vertAlign w:val="superscript"/>
        </w:rPr>
        <w:t>2</w:t>
      </w:r>
    </w:p>
    <w:p w14:paraId="037C4B8D" w14:textId="77777777" w:rsidR="002B4965" w:rsidRPr="000465DE" w:rsidRDefault="002B4965">
      <w:pPr>
        <w:rPr>
          <w:b/>
          <w:bCs/>
        </w:rPr>
      </w:pPr>
    </w:p>
    <w:p w14:paraId="755FF9B5" w14:textId="77777777" w:rsidR="00170B14" w:rsidRPr="00B777AF" w:rsidRDefault="00170B14" w:rsidP="00170B14">
      <w:pPr>
        <w:rPr>
          <w:b/>
        </w:rPr>
      </w:pPr>
      <w:bookmarkStart w:id="0" w:name="Coding_Implications"/>
      <w:r w:rsidRPr="00B777AF">
        <w:rPr>
          <w:b/>
        </w:rPr>
        <w:t>Coding Implications</w:t>
      </w:r>
    </w:p>
    <w:bookmarkEnd w:id="0"/>
    <w:p w14:paraId="7DFB9554" w14:textId="24BED6E5"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w:t>
      </w:r>
      <w:r w:rsidR="0056097C">
        <w:t xml:space="preserve"> </w:t>
      </w:r>
      <w:r>
        <w:t>All CPT</w:t>
      </w:r>
      <w:r w:rsidRPr="00507DC0">
        <w:t xml:space="preserve"> codes and descriptions are copyrighted </w:t>
      </w:r>
      <w:r w:rsidR="00BB1CAF" w:rsidRPr="00507DC0">
        <w:t>20</w:t>
      </w:r>
      <w:r w:rsidR="00BB1CAF">
        <w:t>24</w:t>
      </w:r>
      <w:r w:rsidRPr="00507DC0">
        <w:t>,</w:t>
      </w:r>
      <w:r w:rsidR="0056097C">
        <w:t xml:space="preserve"> </w:t>
      </w:r>
      <w:r w:rsidRPr="00507DC0">
        <w:t>American Medical Association</w:t>
      </w:r>
      <w:r w:rsidR="00386A91">
        <w:t>.</w:t>
      </w:r>
      <w:r w:rsidR="0056097C">
        <w:t xml:space="preserve"> </w:t>
      </w:r>
      <w:r w:rsidRPr="00507DC0">
        <w:t>All rights reserved. CPT</w:t>
      </w:r>
      <w:r>
        <w:t xml:space="preserve"> codes and CPT</w:t>
      </w:r>
      <w:r w:rsidRPr="00507DC0">
        <w:t xml:space="preserve"> descriptions are from </w:t>
      </w:r>
      <w:r>
        <w:t xml:space="preserve">the </w:t>
      </w:r>
      <w:r w:rsidRPr="00507DC0">
        <w:t>current manuals and those included herein are not intended to be all-inclusive and are included for informational purposes only</w:t>
      </w:r>
      <w:r w:rsidR="00386A91">
        <w:t>.</w:t>
      </w:r>
      <w:r w:rsidR="0056097C">
        <w:t xml:space="preserve"> </w:t>
      </w:r>
      <w:r w:rsidRPr="005E117C">
        <w:t>Codes</w:t>
      </w:r>
      <w:r>
        <w:t xml:space="preserve"> referenced in this c</w:t>
      </w:r>
      <w:r w:rsidRPr="005E117C">
        <w:t xml:space="preserve">linical </w:t>
      </w:r>
      <w:r>
        <w:t>p</w:t>
      </w:r>
      <w:r w:rsidRPr="005E117C">
        <w:t>olicy are fo</w:t>
      </w:r>
      <w:r w:rsidR="0056097C">
        <w:t xml:space="preserve">r informational purposes only. </w:t>
      </w:r>
      <w:r w:rsidRPr="005E117C">
        <w:t>Inclusion or exclusion of any codes does not guarantee coverage.  Providers should reference the most up-to-date sources of professional coding guidance prior to the submission of claims for reimbursement of covered services.</w:t>
      </w:r>
    </w:p>
    <w:p w14:paraId="379CAC08" w14:textId="77777777" w:rsidR="00AF5490" w:rsidRPr="00A85489" w:rsidRDefault="00AF5490" w:rsidP="00AF5490"/>
    <w:tbl>
      <w:tblPr>
        <w:tblStyle w:val="TableGrid"/>
        <w:tblW w:w="5147" w:type="pct"/>
        <w:tblLook w:val="0020" w:firstRow="1" w:lastRow="0" w:firstColumn="0" w:lastColumn="0" w:noHBand="0" w:noVBand="0"/>
      </w:tblPr>
      <w:tblGrid>
        <w:gridCol w:w="1096"/>
        <w:gridCol w:w="8529"/>
      </w:tblGrid>
      <w:tr w:rsidR="00B777AF" w:rsidRPr="00435472" w14:paraId="54321C74" w14:textId="77777777" w:rsidTr="00CA5AF3">
        <w:trPr>
          <w:tblHeader/>
        </w:trPr>
        <w:tc>
          <w:tcPr>
            <w:tcW w:w="1096" w:type="dxa"/>
            <w:shd w:val="clear" w:color="auto" w:fill="00548C"/>
          </w:tcPr>
          <w:p w14:paraId="108073C5" w14:textId="15298322" w:rsidR="00D36448" w:rsidRPr="00435472" w:rsidRDefault="00D36448" w:rsidP="00C10DF0">
            <w:pPr>
              <w:rPr>
                <w:b/>
                <w:bCs/>
                <w:color w:val="FFFFFF" w:themeColor="background1"/>
              </w:rPr>
            </w:pPr>
            <w:r w:rsidRPr="00435472">
              <w:rPr>
                <w:b/>
                <w:color w:val="FFFFFF" w:themeColor="background1"/>
              </w:rPr>
              <w:t xml:space="preserve">CPT Codes </w:t>
            </w:r>
          </w:p>
        </w:tc>
        <w:tc>
          <w:tcPr>
            <w:tcW w:w="8529" w:type="dxa"/>
            <w:shd w:val="clear" w:color="auto" w:fill="00548C"/>
          </w:tcPr>
          <w:p w14:paraId="2AE5FD45" w14:textId="77777777" w:rsidR="00D36448" w:rsidRPr="00435472" w:rsidRDefault="00D36448" w:rsidP="00C10DF0">
            <w:pPr>
              <w:rPr>
                <w:b/>
                <w:bCs/>
                <w:color w:val="FFFFFF" w:themeColor="background1"/>
              </w:rPr>
            </w:pPr>
            <w:r w:rsidRPr="00435472">
              <w:rPr>
                <w:b/>
                <w:color w:val="FFFFFF" w:themeColor="background1"/>
              </w:rPr>
              <w:t>Description</w:t>
            </w:r>
          </w:p>
        </w:tc>
      </w:tr>
      <w:tr w:rsidR="00435472" w:rsidRPr="00435472" w14:paraId="4BFBEBAC" w14:textId="77777777" w:rsidTr="00CA5AF3">
        <w:tblPrEx>
          <w:tblLook w:val="04A0" w:firstRow="1" w:lastRow="0" w:firstColumn="1" w:lastColumn="0" w:noHBand="0" w:noVBand="1"/>
        </w:tblPrEx>
        <w:tc>
          <w:tcPr>
            <w:tcW w:w="1096" w:type="dxa"/>
            <w:hideMark/>
          </w:tcPr>
          <w:p w14:paraId="5EF0B5CF" w14:textId="77777777" w:rsidR="00435472" w:rsidRPr="00E91479" w:rsidRDefault="00435472">
            <w:r w:rsidRPr="00E91479">
              <w:t>62320</w:t>
            </w:r>
          </w:p>
        </w:tc>
        <w:tc>
          <w:tcPr>
            <w:tcW w:w="8529" w:type="dxa"/>
            <w:hideMark/>
          </w:tcPr>
          <w:p w14:paraId="537BB5D7" w14:textId="6D9208E7" w:rsidR="00435472" w:rsidRPr="00E91479" w:rsidRDefault="00435472" w:rsidP="00386A91">
            <w:r w:rsidRPr="00E91479">
              <w:t>Injection(s), of diagnostic or therapeutic substance(s) (eg, anesthetic, antispasmodic, o</w:t>
            </w:r>
            <w:r w:rsidR="00386A91">
              <w:t>pioid, steroid, other solution), n</w:t>
            </w:r>
            <w:r w:rsidRPr="00E91479">
              <w:t xml:space="preserve">ot including neurolytic substances, including needle or catheter placement, interlaminar epidural or subarachnoid, cervical or thoracic; </w:t>
            </w:r>
            <w:r w:rsidRPr="00A6711C">
              <w:t>without imaging guidance</w:t>
            </w:r>
          </w:p>
        </w:tc>
      </w:tr>
      <w:tr w:rsidR="00435472" w:rsidRPr="00435472" w14:paraId="04BACD3E" w14:textId="77777777" w:rsidTr="00CA5AF3">
        <w:tblPrEx>
          <w:tblLook w:val="04A0" w:firstRow="1" w:lastRow="0" w:firstColumn="1" w:lastColumn="0" w:noHBand="0" w:noVBand="1"/>
        </w:tblPrEx>
        <w:tc>
          <w:tcPr>
            <w:tcW w:w="1096" w:type="dxa"/>
            <w:hideMark/>
          </w:tcPr>
          <w:p w14:paraId="1A8CF4E9" w14:textId="77777777" w:rsidR="00435472" w:rsidRPr="00E91479" w:rsidRDefault="00435472">
            <w:r w:rsidRPr="00E91479">
              <w:t>62321</w:t>
            </w:r>
          </w:p>
        </w:tc>
        <w:tc>
          <w:tcPr>
            <w:tcW w:w="8529" w:type="dxa"/>
            <w:hideMark/>
          </w:tcPr>
          <w:p w14:paraId="2C9C56CD" w14:textId="3045CC87" w:rsidR="00435472" w:rsidRPr="00E91479" w:rsidRDefault="00435472">
            <w:r w:rsidRPr="00E91479">
              <w:t>Injection(s), of diagnostic or therapeutic substance(s) (eg, anesthetic, antispasmodic, opioid, steroid, other solution), not including neurolytic substances, including needle or catheter placement, interlaminar epidural or subarachnoid, cervical or thoracic; with imaging guidance (</w:t>
            </w:r>
            <w:r w:rsidR="005D7C96" w:rsidRPr="00E91479">
              <w:t>i.e.</w:t>
            </w:r>
            <w:r w:rsidRPr="00E91479">
              <w:t>, fluoroscopy or CT)</w:t>
            </w:r>
          </w:p>
        </w:tc>
      </w:tr>
      <w:tr w:rsidR="00435472" w:rsidRPr="00435472" w14:paraId="4B48F4D9" w14:textId="77777777" w:rsidTr="00CA5AF3">
        <w:tblPrEx>
          <w:tblLook w:val="04A0" w:firstRow="1" w:lastRow="0" w:firstColumn="1" w:lastColumn="0" w:noHBand="0" w:noVBand="1"/>
        </w:tblPrEx>
        <w:tc>
          <w:tcPr>
            <w:tcW w:w="1096" w:type="dxa"/>
            <w:hideMark/>
          </w:tcPr>
          <w:p w14:paraId="0D60840A" w14:textId="77777777" w:rsidR="00435472" w:rsidRPr="00E91479" w:rsidRDefault="00435472">
            <w:r w:rsidRPr="00E91479">
              <w:t>62322</w:t>
            </w:r>
          </w:p>
        </w:tc>
        <w:tc>
          <w:tcPr>
            <w:tcW w:w="8529" w:type="dxa"/>
            <w:hideMark/>
          </w:tcPr>
          <w:p w14:paraId="4AB6362B" w14:textId="77777777" w:rsidR="00435472" w:rsidRPr="00E91479" w:rsidRDefault="00435472">
            <w:r w:rsidRPr="00E91479">
              <w:t>Injection(s), of diagnostic or therapeutic substance(s) (eg, anesthetic, antispasmodic, opioid, steroid, other solution), not including neurolytic substances, including needle or catheter placement, interlaminar epidural or subarachnoid, lumbar or sacral (caudal); without imaging guidance</w:t>
            </w:r>
          </w:p>
        </w:tc>
      </w:tr>
      <w:tr w:rsidR="00435472" w:rsidRPr="00435472" w14:paraId="2E8F99BA" w14:textId="77777777" w:rsidTr="00CA5AF3">
        <w:tblPrEx>
          <w:tblLook w:val="04A0" w:firstRow="1" w:lastRow="0" w:firstColumn="1" w:lastColumn="0" w:noHBand="0" w:noVBand="1"/>
        </w:tblPrEx>
        <w:tc>
          <w:tcPr>
            <w:tcW w:w="1096" w:type="dxa"/>
            <w:hideMark/>
          </w:tcPr>
          <w:p w14:paraId="48E611E2" w14:textId="77777777" w:rsidR="00435472" w:rsidRPr="00E91479" w:rsidRDefault="00435472">
            <w:r w:rsidRPr="00E91479">
              <w:t>62323</w:t>
            </w:r>
          </w:p>
        </w:tc>
        <w:tc>
          <w:tcPr>
            <w:tcW w:w="8529" w:type="dxa"/>
            <w:hideMark/>
          </w:tcPr>
          <w:p w14:paraId="3D48D7E7" w14:textId="1F0B52D5" w:rsidR="00435472" w:rsidRPr="00E91479" w:rsidRDefault="00435472">
            <w:r w:rsidRPr="00E91479">
              <w:t>Injection(s), of diagnostic or therapeutic substance(s) (eg, anesthetic, antispasmodic, opioid, steroid, other solution), not including neurolytic substances, including needle or catheter placement, interlaminar epidural or subarachnoid, lumbar or sacral (caudal); with imaging guidance (</w:t>
            </w:r>
            <w:r w:rsidR="005D7C96" w:rsidRPr="00E91479">
              <w:t>i.e.</w:t>
            </w:r>
            <w:r w:rsidRPr="00E91479">
              <w:t>, fluoroscopy or CT)</w:t>
            </w:r>
          </w:p>
        </w:tc>
      </w:tr>
      <w:tr w:rsidR="00435472" w:rsidRPr="00435472" w14:paraId="2A41CC40" w14:textId="77777777" w:rsidTr="00CA5AF3">
        <w:tblPrEx>
          <w:tblLook w:val="04A0" w:firstRow="1" w:lastRow="0" w:firstColumn="1" w:lastColumn="0" w:noHBand="0" w:noVBand="1"/>
        </w:tblPrEx>
        <w:tc>
          <w:tcPr>
            <w:tcW w:w="1096" w:type="dxa"/>
            <w:hideMark/>
          </w:tcPr>
          <w:p w14:paraId="5609421F" w14:textId="77777777" w:rsidR="00435472" w:rsidRPr="00E91479" w:rsidRDefault="00435472">
            <w:r w:rsidRPr="00E91479">
              <w:t>62324</w:t>
            </w:r>
          </w:p>
        </w:tc>
        <w:tc>
          <w:tcPr>
            <w:tcW w:w="8529" w:type="dxa"/>
            <w:hideMark/>
          </w:tcPr>
          <w:p w14:paraId="3C3A7907" w14:textId="77777777" w:rsidR="00435472" w:rsidRPr="00E91479" w:rsidRDefault="00435472">
            <w:r w:rsidRPr="00E91479">
              <w:t xml:space="preserve">Injection(s), including indwelling catheter placement, continuous infusion or intermittent bolus, of diagnostic or therapeutic substance(s) (eg, anesthetic, </w:t>
            </w:r>
            <w:r w:rsidRPr="00E91479">
              <w:lastRenderedPageBreak/>
              <w:t>antispasmodic, opioid, steroid, other solution), not including neurolytic substances, interlaminar epidural or subarachnoid, cervical or thoracic; without imaging guidance</w:t>
            </w:r>
          </w:p>
        </w:tc>
      </w:tr>
      <w:tr w:rsidR="00435472" w:rsidRPr="00435472" w14:paraId="6C69CB8E" w14:textId="77777777" w:rsidTr="00CA5AF3">
        <w:tblPrEx>
          <w:tblLook w:val="04A0" w:firstRow="1" w:lastRow="0" w:firstColumn="1" w:lastColumn="0" w:noHBand="0" w:noVBand="1"/>
        </w:tblPrEx>
        <w:tc>
          <w:tcPr>
            <w:tcW w:w="1096" w:type="dxa"/>
            <w:hideMark/>
          </w:tcPr>
          <w:p w14:paraId="39456A66" w14:textId="77777777" w:rsidR="00435472" w:rsidRPr="00E91479" w:rsidRDefault="00435472">
            <w:r w:rsidRPr="00E91479">
              <w:lastRenderedPageBreak/>
              <w:t>62325</w:t>
            </w:r>
          </w:p>
        </w:tc>
        <w:tc>
          <w:tcPr>
            <w:tcW w:w="8529" w:type="dxa"/>
            <w:hideMark/>
          </w:tcPr>
          <w:p w14:paraId="370F98E8" w14:textId="64896A85" w:rsidR="00435472" w:rsidRPr="00E91479" w:rsidRDefault="00435472">
            <w:r w:rsidRPr="00E91479">
              <w:t>Injection(s), including indwelling catheter placement, continuous infusion or intermittent bolus, of diagnostic or therapeutic substance(s) (eg, anesthetic, antispasmodic, opioid, steroid, other solution), not including neurolytic substances, interlaminar epidural or subarachnoid, cervical or thoracic; with imaging guidance (</w:t>
            </w:r>
            <w:r w:rsidR="005D7C96" w:rsidRPr="00E91479">
              <w:t>i.e.</w:t>
            </w:r>
            <w:r w:rsidRPr="00E91479">
              <w:t>, fluoroscopy or CT)</w:t>
            </w:r>
          </w:p>
        </w:tc>
      </w:tr>
      <w:tr w:rsidR="00435472" w:rsidRPr="00435472" w14:paraId="420E557D" w14:textId="77777777" w:rsidTr="00CA5AF3">
        <w:tblPrEx>
          <w:tblLook w:val="04A0" w:firstRow="1" w:lastRow="0" w:firstColumn="1" w:lastColumn="0" w:noHBand="0" w:noVBand="1"/>
        </w:tblPrEx>
        <w:tc>
          <w:tcPr>
            <w:tcW w:w="1096" w:type="dxa"/>
            <w:hideMark/>
          </w:tcPr>
          <w:p w14:paraId="31B2E72B" w14:textId="77777777" w:rsidR="00435472" w:rsidRPr="00E91479" w:rsidRDefault="00435472">
            <w:r w:rsidRPr="00E91479">
              <w:t>62326</w:t>
            </w:r>
          </w:p>
        </w:tc>
        <w:tc>
          <w:tcPr>
            <w:tcW w:w="8529" w:type="dxa"/>
            <w:hideMark/>
          </w:tcPr>
          <w:p w14:paraId="375B3BB5" w14:textId="77777777" w:rsidR="00435472" w:rsidRPr="00E91479" w:rsidRDefault="00435472">
            <w:r w:rsidRPr="00E91479">
              <w:t>Injection(s), including indwelling catheter placement, continuous infusion or intermittent bolus, of diagnostic or therapeutic substance(s) (eg, anesthetic, antispasmodic, opioid, steroid, other solution), not including neurolytic substances, interlaminar epidural or subarachnoid, lumbar or sacral (caudal); without imaging guidance</w:t>
            </w:r>
          </w:p>
        </w:tc>
      </w:tr>
      <w:tr w:rsidR="00435472" w14:paraId="6E7022DC" w14:textId="77777777" w:rsidTr="00CA5AF3">
        <w:tblPrEx>
          <w:tblLook w:val="04A0" w:firstRow="1" w:lastRow="0" w:firstColumn="1" w:lastColumn="0" w:noHBand="0" w:noVBand="1"/>
        </w:tblPrEx>
        <w:tc>
          <w:tcPr>
            <w:tcW w:w="1096" w:type="dxa"/>
            <w:hideMark/>
          </w:tcPr>
          <w:p w14:paraId="3AF261DF" w14:textId="77777777" w:rsidR="00435472" w:rsidRPr="00E91479" w:rsidRDefault="00435472">
            <w:r w:rsidRPr="00E91479">
              <w:t>62327</w:t>
            </w:r>
          </w:p>
        </w:tc>
        <w:tc>
          <w:tcPr>
            <w:tcW w:w="8529" w:type="dxa"/>
            <w:hideMark/>
          </w:tcPr>
          <w:p w14:paraId="7FA16A18" w14:textId="7DF6E6AC" w:rsidR="00435472" w:rsidRPr="00E91479" w:rsidRDefault="00435472">
            <w:r w:rsidRPr="00E91479">
              <w:t>Injection(s), including indwelling catheter placement, continuous infusion or intermittent bolus, of diagnostic or therapeutic substance(s) (eg, anesthetic, antispasmodic, opioid, steroid, other solution), not including neurolytic substances, interlaminar epidural or subarachnoid, lumbar or sacral (caudal); with imaging guidance (</w:t>
            </w:r>
            <w:r w:rsidR="005D7C96" w:rsidRPr="00E91479">
              <w:t>i.e.</w:t>
            </w:r>
            <w:r w:rsidRPr="00E91479">
              <w:t>, fluoroscopy or CT)</w:t>
            </w:r>
          </w:p>
        </w:tc>
      </w:tr>
    </w:tbl>
    <w:p w14:paraId="6B872D36"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B777AF" w:rsidRPr="00B777AF" w14:paraId="0ECC6E1F" w14:textId="77777777" w:rsidTr="007C5B3F">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3BDE5146" w14:textId="77777777" w:rsidR="00B777AF" w:rsidRPr="00B777AF" w:rsidRDefault="00B777AF" w:rsidP="00B777AF">
            <w:pPr>
              <w:rPr>
                <w:bCs w:val="0"/>
              </w:rPr>
            </w:pPr>
            <w:bookmarkStart w:id="1" w:name="Revision_Log"/>
            <w:r w:rsidRPr="00B777AF">
              <w:rPr>
                <w:bCs w:val="0"/>
              </w:rPr>
              <w:t>Reviews</w:t>
            </w:r>
            <w:r>
              <w:rPr>
                <w:bCs w:val="0"/>
              </w:rPr>
              <w:t>, Revisions, and Approvals</w:t>
            </w:r>
            <w:bookmarkEnd w:id="1"/>
          </w:p>
        </w:tc>
        <w:tc>
          <w:tcPr>
            <w:tcW w:w="1108" w:type="dxa"/>
            <w:shd w:val="clear" w:color="auto" w:fill="00548C"/>
          </w:tcPr>
          <w:p w14:paraId="5AE0D08E" w14:textId="6385F757" w:rsidR="00B777AF" w:rsidRPr="00B777AF" w:rsidRDefault="007E5759"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7DADC786"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435472" w14:paraId="6B6B6694" w14:textId="77777777" w:rsidTr="007C5B3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27C6DA76" w14:textId="0A902D79" w:rsidR="00435472" w:rsidDel="00435472" w:rsidRDefault="006C62DC" w:rsidP="006C62DC">
            <w:pPr>
              <w:tabs>
                <w:tab w:val="num" w:pos="720"/>
              </w:tabs>
            </w:pPr>
            <w:r>
              <w:t xml:space="preserve">Caudal and interlaminar </w:t>
            </w:r>
            <w:r w:rsidR="00435472">
              <w:t>ESI criteria reviewed in CP.MP.118</w:t>
            </w:r>
          </w:p>
        </w:tc>
        <w:tc>
          <w:tcPr>
            <w:tcW w:w="1108" w:type="dxa"/>
          </w:tcPr>
          <w:p w14:paraId="12B7B790" w14:textId="353354A8" w:rsidR="00435472" w:rsidRDefault="00435472" w:rsidP="005776FD">
            <w:pPr>
              <w:jc w:val="center"/>
              <w:cnfStyle w:val="000000100000" w:firstRow="0" w:lastRow="0" w:firstColumn="0" w:lastColumn="0" w:oddVBand="0" w:evenVBand="0" w:oddHBand="1" w:evenHBand="0" w:firstRowFirstColumn="0" w:firstRowLastColumn="0" w:lastRowFirstColumn="0" w:lastRowLastColumn="0"/>
            </w:pPr>
            <w:r>
              <w:t>04/18</w:t>
            </w:r>
          </w:p>
        </w:tc>
        <w:tc>
          <w:tcPr>
            <w:cnfStyle w:val="000010000000" w:firstRow="0" w:lastRow="0" w:firstColumn="0" w:lastColumn="0" w:oddVBand="1" w:evenVBand="0" w:oddHBand="0" w:evenHBand="0" w:firstRowFirstColumn="0" w:firstRowLastColumn="0" w:lastRowFirstColumn="0" w:lastRowLastColumn="0"/>
            <w:tcW w:w="1260" w:type="dxa"/>
          </w:tcPr>
          <w:p w14:paraId="2D09C8DC" w14:textId="7E1F95BD" w:rsidR="00435472" w:rsidRDefault="00435472" w:rsidP="00857C10">
            <w:pPr>
              <w:jc w:val="center"/>
            </w:pPr>
            <w:r>
              <w:t>04/18</w:t>
            </w:r>
          </w:p>
        </w:tc>
      </w:tr>
      <w:tr w:rsidR="0075121E" w14:paraId="7D6EE9DB" w14:textId="77777777" w:rsidTr="007E5759">
        <w:tc>
          <w:tcPr>
            <w:cnfStyle w:val="000010000000" w:firstRow="0" w:lastRow="0" w:firstColumn="0" w:lastColumn="0" w:oddVBand="1" w:evenVBand="0" w:oddHBand="0" w:evenHBand="0" w:firstRowFirstColumn="0" w:firstRowLastColumn="0" w:lastRowFirstColumn="0" w:lastRowLastColumn="0"/>
            <w:tcW w:w="7280" w:type="dxa"/>
          </w:tcPr>
          <w:p w14:paraId="0C7EF63C" w14:textId="18A539DA" w:rsidR="0075121E" w:rsidRDefault="00F41654" w:rsidP="00524984">
            <w:pPr>
              <w:tabs>
                <w:tab w:val="num" w:pos="720"/>
              </w:tabs>
            </w:pPr>
            <w:r>
              <w:t>In policy statement, changed “with or without radiographic guidance” to “with imag</w:t>
            </w:r>
            <w:r w:rsidR="0056097C">
              <w:t xml:space="preserve">ing, </w:t>
            </w:r>
            <w:r w:rsidR="00524984">
              <w:t>(</w:t>
            </w:r>
            <w:r w:rsidR="0056097C">
              <w:t>except in rare instances</w:t>
            </w:r>
            <w:r w:rsidR="00524984">
              <w:t>, with documented justification)</w:t>
            </w:r>
            <w:r w:rsidR="0056097C">
              <w:t xml:space="preserve">.” </w:t>
            </w:r>
            <w:r>
              <w:t>A</w:t>
            </w:r>
            <w:r w:rsidR="00F42FEA">
              <w:t xml:space="preserve">dded, </w:t>
            </w:r>
            <w:r>
              <w:t>“</w:t>
            </w:r>
            <w:r w:rsidRPr="00F41654">
              <w:t>Request is not for cervical interlaminar ESI above C7</w:t>
            </w:r>
            <w:r>
              <w:t>” to B.5, C.3 and D.5</w:t>
            </w:r>
            <w:r w:rsidR="003C45DC">
              <w:t xml:space="preserve">. </w:t>
            </w:r>
            <w:r w:rsidRPr="00F41654">
              <w:t>Changed “review date” in the header to “date of last revision” and “date” in the revision log header to “revision date.”</w:t>
            </w:r>
            <w:r>
              <w:t xml:space="preserve"> </w:t>
            </w:r>
            <w:r w:rsidR="0056097C">
              <w:t xml:space="preserve"> R</w:t>
            </w:r>
            <w:r>
              <w:t>eferences reviewed</w:t>
            </w:r>
            <w:r w:rsidR="00223DF9">
              <w:t xml:space="preserve"> and updated.</w:t>
            </w:r>
            <w:r>
              <w:t xml:space="preserve"> Replaced “member” with “member/enrollee” in all instances.</w:t>
            </w:r>
            <w:r w:rsidR="0056097C">
              <w:t xml:space="preserve"> </w:t>
            </w:r>
            <w:r w:rsidR="00B31D54">
              <w:t>Specialist review.</w:t>
            </w:r>
          </w:p>
        </w:tc>
        <w:tc>
          <w:tcPr>
            <w:tcW w:w="1108" w:type="dxa"/>
          </w:tcPr>
          <w:p w14:paraId="7DB90EAB" w14:textId="5ADE0FDC" w:rsidR="0075121E" w:rsidRDefault="00F41654" w:rsidP="005776FD">
            <w:pPr>
              <w:jc w:val="center"/>
              <w:cnfStyle w:val="000000000000" w:firstRow="0" w:lastRow="0" w:firstColumn="0" w:lastColumn="0" w:oddVBand="0" w:evenVBand="0" w:oddHBand="0" w:evenHBand="0" w:firstRowFirstColumn="0" w:firstRowLastColumn="0" w:lastRowFirstColumn="0" w:lastRowLastColumn="0"/>
            </w:pPr>
            <w:r>
              <w:t>07/21</w:t>
            </w:r>
          </w:p>
        </w:tc>
        <w:tc>
          <w:tcPr>
            <w:cnfStyle w:val="000010000000" w:firstRow="0" w:lastRow="0" w:firstColumn="0" w:lastColumn="0" w:oddVBand="1" w:evenVBand="0" w:oddHBand="0" w:evenHBand="0" w:firstRowFirstColumn="0" w:firstRowLastColumn="0" w:lastRowFirstColumn="0" w:lastRowLastColumn="0"/>
            <w:tcW w:w="1260" w:type="dxa"/>
          </w:tcPr>
          <w:p w14:paraId="3F74C323" w14:textId="0E947287" w:rsidR="0075121E" w:rsidRDefault="00E10458" w:rsidP="00CB4303">
            <w:pPr>
              <w:jc w:val="center"/>
            </w:pPr>
            <w:r>
              <w:t>07/21</w:t>
            </w:r>
          </w:p>
        </w:tc>
      </w:tr>
      <w:tr w:rsidR="001325E1" w14:paraId="031CFCE8" w14:textId="77777777" w:rsidTr="007E575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24E2264C" w14:textId="2833E654" w:rsidR="001325E1" w:rsidRDefault="001325E1" w:rsidP="00CD3A16">
            <w:pPr>
              <w:tabs>
                <w:tab w:val="num" w:pos="720"/>
              </w:tabs>
            </w:pPr>
            <w:r>
              <w:t>Removed “</w:t>
            </w:r>
            <w:r w:rsidRPr="00F41654">
              <w:t>Request is not for cervical interlaminar ESI above C7</w:t>
            </w:r>
            <w:r>
              <w:t>” from</w:t>
            </w:r>
            <w:r w:rsidR="00CD3A16">
              <w:t xml:space="preserve"> </w:t>
            </w:r>
            <w:r>
              <w:t xml:space="preserve"> B.5, C.3 and D.5.</w:t>
            </w:r>
          </w:p>
        </w:tc>
        <w:tc>
          <w:tcPr>
            <w:tcW w:w="1108" w:type="dxa"/>
          </w:tcPr>
          <w:p w14:paraId="12E3ED7B" w14:textId="733591B1" w:rsidR="001325E1" w:rsidRDefault="001325E1" w:rsidP="005776FD">
            <w:pPr>
              <w:jc w:val="center"/>
              <w:cnfStyle w:val="000000100000" w:firstRow="0" w:lastRow="0" w:firstColumn="0" w:lastColumn="0" w:oddVBand="0" w:evenVBand="0" w:oddHBand="1" w:evenHBand="0" w:firstRowFirstColumn="0" w:firstRowLastColumn="0" w:lastRowFirstColumn="0" w:lastRowLastColumn="0"/>
            </w:pPr>
            <w:r>
              <w:t>09/21</w:t>
            </w:r>
          </w:p>
        </w:tc>
        <w:tc>
          <w:tcPr>
            <w:cnfStyle w:val="000010000000" w:firstRow="0" w:lastRow="0" w:firstColumn="0" w:lastColumn="0" w:oddVBand="1" w:evenVBand="0" w:oddHBand="0" w:evenHBand="0" w:firstRowFirstColumn="0" w:firstRowLastColumn="0" w:lastRowFirstColumn="0" w:lastRowLastColumn="0"/>
            <w:tcW w:w="1260" w:type="dxa"/>
          </w:tcPr>
          <w:p w14:paraId="4D1A402E" w14:textId="1931ADC2" w:rsidR="001325E1" w:rsidRDefault="006F613A" w:rsidP="00CB4303">
            <w:pPr>
              <w:jc w:val="center"/>
            </w:pPr>
            <w:r>
              <w:t>09/21</w:t>
            </w:r>
          </w:p>
        </w:tc>
      </w:tr>
      <w:tr w:rsidR="00614283" w14:paraId="6882EC84" w14:textId="77777777" w:rsidTr="007E5759">
        <w:tc>
          <w:tcPr>
            <w:cnfStyle w:val="000010000000" w:firstRow="0" w:lastRow="0" w:firstColumn="0" w:lastColumn="0" w:oddVBand="1" w:evenVBand="0" w:oddHBand="0" w:evenHBand="0" w:firstRowFirstColumn="0" w:firstRowLastColumn="0" w:lastRowFirstColumn="0" w:lastRowLastColumn="0"/>
            <w:tcW w:w="7280" w:type="dxa"/>
          </w:tcPr>
          <w:p w14:paraId="7C9434DE" w14:textId="2103168F" w:rsidR="00614283" w:rsidRDefault="00804032" w:rsidP="00CD3A16">
            <w:pPr>
              <w:tabs>
                <w:tab w:val="num" w:pos="720"/>
              </w:tabs>
            </w:pPr>
            <w:r>
              <w:t>Annual review.</w:t>
            </w:r>
            <w:r w:rsidR="00054CD4">
              <w:t xml:space="preserve"> </w:t>
            </w:r>
            <w:r w:rsidR="00C419C7">
              <w:t xml:space="preserve">Note added </w:t>
            </w:r>
            <w:r w:rsidR="00001345">
              <w:t xml:space="preserve">regarding </w:t>
            </w:r>
            <w:r w:rsidR="00001345" w:rsidRPr="00001345">
              <w:t>guidelines for transforaminal ESIs</w:t>
            </w:r>
            <w:r w:rsidR="00001345">
              <w:t>.</w:t>
            </w:r>
            <w:r w:rsidR="00001345" w:rsidRPr="00001345">
              <w:t xml:space="preserve"> </w:t>
            </w:r>
            <w:r w:rsidR="008024FC" w:rsidRPr="008024FC">
              <w:t xml:space="preserve">Background updated with no impact on criteria. </w:t>
            </w:r>
            <w:r w:rsidR="00054CD4">
              <w:t xml:space="preserve">References reviewed and updated. </w:t>
            </w:r>
          </w:p>
        </w:tc>
        <w:tc>
          <w:tcPr>
            <w:tcW w:w="1108" w:type="dxa"/>
          </w:tcPr>
          <w:p w14:paraId="5CBD3091" w14:textId="58FA590C" w:rsidR="00614283" w:rsidRDefault="00614283" w:rsidP="005776FD">
            <w:pPr>
              <w:jc w:val="center"/>
              <w:cnfStyle w:val="000000000000" w:firstRow="0" w:lastRow="0" w:firstColumn="0" w:lastColumn="0" w:oddVBand="0" w:evenVBand="0" w:oddHBand="0" w:evenHBand="0" w:firstRowFirstColumn="0" w:firstRowLastColumn="0" w:lastRowFirstColumn="0" w:lastRowLastColumn="0"/>
            </w:pPr>
            <w:r>
              <w:t>07/22</w:t>
            </w:r>
          </w:p>
        </w:tc>
        <w:tc>
          <w:tcPr>
            <w:cnfStyle w:val="000010000000" w:firstRow="0" w:lastRow="0" w:firstColumn="0" w:lastColumn="0" w:oddVBand="1" w:evenVBand="0" w:oddHBand="0" w:evenHBand="0" w:firstRowFirstColumn="0" w:firstRowLastColumn="0" w:lastRowFirstColumn="0" w:lastRowLastColumn="0"/>
            <w:tcW w:w="1260" w:type="dxa"/>
          </w:tcPr>
          <w:p w14:paraId="60FD17B2" w14:textId="4E623E60" w:rsidR="00614283" w:rsidRDefault="00641AE3" w:rsidP="00CB4303">
            <w:pPr>
              <w:jc w:val="center"/>
            </w:pPr>
            <w:r>
              <w:t>07/22</w:t>
            </w:r>
          </w:p>
        </w:tc>
      </w:tr>
      <w:tr w:rsidR="00215779" w14:paraId="638FB472" w14:textId="77777777" w:rsidTr="007E575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1DA6CA30" w14:textId="680CC050" w:rsidR="00215779" w:rsidRDefault="00E878D2" w:rsidP="00CD3A16">
            <w:pPr>
              <w:tabs>
                <w:tab w:val="num" w:pos="720"/>
              </w:tabs>
            </w:pPr>
            <w:r>
              <w:t>Annual review.</w:t>
            </w:r>
            <w:r w:rsidR="00A775BC">
              <w:t xml:space="preserve"> ICD</w:t>
            </w:r>
            <w:r w:rsidR="004C6FD4">
              <w:t>-</w:t>
            </w:r>
            <w:r w:rsidR="00A775BC">
              <w:t>10 diagnosis code table removed.</w:t>
            </w:r>
            <w:r>
              <w:t xml:space="preserve"> </w:t>
            </w:r>
            <w:r w:rsidR="00A46EDB">
              <w:t xml:space="preserve">References reviewed and updated. </w:t>
            </w:r>
            <w:r w:rsidR="00C815CD">
              <w:t>Reviewed by external specialist.</w:t>
            </w:r>
          </w:p>
        </w:tc>
        <w:tc>
          <w:tcPr>
            <w:tcW w:w="1108" w:type="dxa"/>
          </w:tcPr>
          <w:p w14:paraId="22A749C3" w14:textId="773087E2" w:rsidR="00215779" w:rsidRDefault="00714EF4" w:rsidP="005776FD">
            <w:pPr>
              <w:jc w:val="center"/>
              <w:cnfStyle w:val="000000100000" w:firstRow="0" w:lastRow="0" w:firstColumn="0" w:lastColumn="0" w:oddVBand="0" w:evenVBand="0" w:oddHBand="1" w:evenHBand="0" w:firstRowFirstColumn="0" w:firstRowLastColumn="0" w:lastRowFirstColumn="0" w:lastRowLastColumn="0"/>
            </w:pPr>
            <w:r>
              <w:t>07/23</w:t>
            </w:r>
          </w:p>
        </w:tc>
        <w:tc>
          <w:tcPr>
            <w:cnfStyle w:val="000010000000" w:firstRow="0" w:lastRow="0" w:firstColumn="0" w:lastColumn="0" w:oddVBand="1" w:evenVBand="0" w:oddHBand="0" w:evenHBand="0" w:firstRowFirstColumn="0" w:firstRowLastColumn="0" w:lastRowFirstColumn="0" w:lastRowLastColumn="0"/>
            <w:tcW w:w="1260" w:type="dxa"/>
          </w:tcPr>
          <w:p w14:paraId="06C58BC5" w14:textId="1BB30AE5" w:rsidR="00215779" w:rsidRDefault="000B5D4F" w:rsidP="00CB4303">
            <w:pPr>
              <w:jc w:val="center"/>
            </w:pPr>
            <w:r>
              <w:t>07/23</w:t>
            </w:r>
          </w:p>
        </w:tc>
      </w:tr>
      <w:tr w:rsidR="00405BD8" w14:paraId="53AA0FE5" w14:textId="77777777" w:rsidTr="007E5759">
        <w:tc>
          <w:tcPr>
            <w:cnfStyle w:val="000010000000" w:firstRow="0" w:lastRow="0" w:firstColumn="0" w:lastColumn="0" w:oddVBand="1" w:evenVBand="0" w:oddHBand="0" w:evenHBand="0" w:firstRowFirstColumn="0" w:firstRowLastColumn="0" w:lastRowFirstColumn="0" w:lastRowLastColumn="0"/>
            <w:tcW w:w="7280" w:type="dxa"/>
          </w:tcPr>
          <w:p w14:paraId="65D84397" w14:textId="6CEE31A3" w:rsidR="00405BD8" w:rsidRDefault="006E0FCD" w:rsidP="00CD3A16">
            <w:pPr>
              <w:tabs>
                <w:tab w:val="num" w:pos="720"/>
              </w:tabs>
            </w:pPr>
            <w:r w:rsidRPr="006E0FCD">
              <w:t>Annual review.</w:t>
            </w:r>
            <w:r w:rsidR="00CB4303">
              <w:t xml:space="preserve"> Updated week requirement criteria I.B.4.a.-c.</w:t>
            </w:r>
            <w:r w:rsidRPr="006E0FCD">
              <w:t xml:space="preserve"> </w:t>
            </w:r>
            <w:r w:rsidR="0009355B" w:rsidRPr="0009355B">
              <w:t xml:space="preserve">Coding reviewed. </w:t>
            </w:r>
            <w:r w:rsidRPr="006E0FCD">
              <w:t>References reviewed and updated.</w:t>
            </w:r>
          </w:p>
        </w:tc>
        <w:tc>
          <w:tcPr>
            <w:tcW w:w="1108" w:type="dxa"/>
          </w:tcPr>
          <w:p w14:paraId="34A5EFAB" w14:textId="7F3D9206" w:rsidR="00405BD8" w:rsidRDefault="00405BD8" w:rsidP="005776FD">
            <w:pPr>
              <w:jc w:val="center"/>
              <w:cnfStyle w:val="000000000000" w:firstRow="0" w:lastRow="0" w:firstColumn="0" w:lastColumn="0" w:oddVBand="0" w:evenVBand="0" w:oddHBand="0" w:evenHBand="0" w:firstRowFirstColumn="0" w:firstRowLastColumn="0" w:lastRowFirstColumn="0" w:lastRowLastColumn="0"/>
            </w:pPr>
            <w:r>
              <w:t>06/24</w:t>
            </w:r>
          </w:p>
        </w:tc>
        <w:tc>
          <w:tcPr>
            <w:cnfStyle w:val="000010000000" w:firstRow="0" w:lastRow="0" w:firstColumn="0" w:lastColumn="0" w:oddVBand="1" w:evenVBand="0" w:oddHBand="0" w:evenHBand="0" w:firstRowFirstColumn="0" w:firstRowLastColumn="0" w:lastRowFirstColumn="0" w:lastRowLastColumn="0"/>
            <w:tcW w:w="1260" w:type="dxa"/>
          </w:tcPr>
          <w:p w14:paraId="5CE8379B" w14:textId="40C944A4" w:rsidR="00405BD8" w:rsidRDefault="00CB4303" w:rsidP="00CB4303">
            <w:pPr>
              <w:jc w:val="center"/>
            </w:pPr>
            <w:r>
              <w:t>06/24</w:t>
            </w:r>
          </w:p>
        </w:tc>
      </w:tr>
      <w:tr w:rsidR="00D706CF" w14:paraId="5AA8D78B" w14:textId="77777777" w:rsidTr="007E575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14AE769E" w14:textId="0374E8D7" w:rsidR="00D706CF" w:rsidRPr="006E0FCD" w:rsidRDefault="00D706CF" w:rsidP="00CD3A16">
            <w:pPr>
              <w:tabs>
                <w:tab w:val="num" w:pos="720"/>
              </w:tabs>
            </w:pPr>
            <w:r>
              <w:t xml:space="preserve">Annual review. </w:t>
            </w:r>
            <w:r w:rsidR="00BB1CAF">
              <w:t>Description and background updated with no clinica</w:t>
            </w:r>
            <w:r w:rsidR="005C06DB">
              <w:t xml:space="preserve">l significance. </w:t>
            </w:r>
            <w:r w:rsidR="00B80605">
              <w:t>R</w:t>
            </w:r>
            <w:r w:rsidR="001F49EB">
              <w:t>emoved “</w:t>
            </w:r>
            <w:r w:rsidR="001F49EB" w:rsidRPr="00740A1A">
              <w:rPr>
                <w:iCs/>
              </w:rPr>
              <w:t>and the member/enrollee is not currently being treated with full anticoagulation therapy. If on warfarin, international normalized ratio (INR) should be ≤ 1.4 prior to the procedure”</w:t>
            </w:r>
            <w:r w:rsidR="00B80605">
              <w:rPr>
                <w:iCs/>
              </w:rPr>
              <w:t xml:space="preserve"> from criteria.</w:t>
            </w:r>
            <w:r w:rsidR="001F49EB">
              <w:rPr>
                <w:i/>
              </w:rPr>
              <w:t xml:space="preserve"> </w:t>
            </w:r>
            <w:r w:rsidR="00C76CC7">
              <w:rPr>
                <w:iCs/>
              </w:rPr>
              <w:t>Other sections of criteria updated wit</w:t>
            </w:r>
            <w:r w:rsidR="005677E2">
              <w:rPr>
                <w:iCs/>
              </w:rPr>
              <w:t>h no</w:t>
            </w:r>
            <w:r w:rsidR="00C76CC7">
              <w:rPr>
                <w:iCs/>
              </w:rPr>
              <w:t xml:space="preserve"> clinical significance. </w:t>
            </w:r>
            <w:r w:rsidR="00A558E8">
              <w:t>Coding reviewed. References reviewed and updated.</w:t>
            </w:r>
            <w:r w:rsidR="001F49EB">
              <w:t xml:space="preserve"> I</w:t>
            </w:r>
            <w:r w:rsidR="00926037">
              <w:t>nternal specialists</w:t>
            </w:r>
            <w:r w:rsidR="001F49EB">
              <w:t xml:space="preserve"> reviewed</w:t>
            </w:r>
            <w:r w:rsidR="00926037">
              <w:t xml:space="preserve">. </w:t>
            </w:r>
            <w:r w:rsidR="001F49EB">
              <w:t>E</w:t>
            </w:r>
            <w:r w:rsidR="00A558E8">
              <w:t>xternal specialist</w:t>
            </w:r>
            <w:r w:rsidR="001F49EB">
              <w:t xml:space="preserve"> reviewed</w:t>
            </w:r>
            <w:r w:rsidR="00A558E8">
              <w:t xml:space="preserve">. </w:t>
            </w:r>
          </w:p>
        </w:tc>
        <w:tc>
          <w:tcPr>
            <w:tcW w:w="1108" w:type="dxa"/>
          </w:tcPr>
          <w:p w14:paraId="04093FB4" w14:textId="6C34B5B4" w:rsidR="00D706CF" w:rsidRDefault="00A558E8" w:rsidP="005776FD">
            <w:pPr>
              <w:jc w:val="center"/>
              <w:cnfStyle w:val="000000100000" w:firstRow="0" w:lastRow="0" w:firstColumn="0" w:lastColumn="0" w:oddVBand="0" w:evenVBand="0" w:oddHBand="1" w:evenHBand="0" w:firstRowFirstColumn="0" w:firstRowLastColumn="0" w:lastRowFirstColumn="0" w:lastRowLastColumn="0"/>
            </w:pPr>
            <w:r>
              <w:t>0</w:t>
            </w:r>
            <w:r w:rsidR="00B61487">
              <w:t>5</w:t>
            </w:r>
            <w:r>
              <w:t>/25</w:t>
            </w:r>
          </w:p>
        </w:tc>
        <w:tc>
          <w:tcPr>
            <w:cnfStyle w:val="000010000000" w:firstRow="0" w:lastRow="0" w:firstColumn="0" w:lastColumn="0" w:oddVBand="1" w:evenVBand="0" w:oddHBand="0" w:evenHBand="0" w:firstRowFirstColumn="0" w:firstRowLastColumn="0" w:lastRowFirstColumn="0" w:lastRowLastColumn="0"/>
            <w:tcW w:w="1260" w:type="dxa"/>
          </w:tcPr>
          <w:p w14:paraId="71DD879F" w14:textId="058967A6" w:rsidR="00D706CF" w:rsidRDefault="00921CB5" w:rsidP="00CB4303">
            <w:pPr>
              <w:jc w:val="center"/>
            </w:pPr>
            <w:r>
              <w:t>05/25</w:t>
            </w:r>
          </w:p>
        </w:tc>
      </w:tr>
    </w:tbl>
    <w:p w14:paraId="2FEF3A0A" w14:textId="77777777" w:rsidR="00E20C91" w:rsidRDefault="00E20C91" w:rsidP="00963062">
      <w:pPr>
        <w:pStyle w:val="Heading3"/>
        <w:sectPr w:rsidR="00E20C91" w:rsidSect="00CB63DD">
          <w:type w:val="continuous"/>
          <w:pgSz w:w="12240" w:h="15840" w:code="1"/>
          <w:pgMar w:top="1440" w:right="1440" w:bottom="1440" w:left="1440" w:header="576" w:footer="288" w:gutter="0"/>
          <w:cols w:space="720"/>
          <w:titlePg/>
          <w:docGrid w:linePitch="360"/>
        </w:sectPr>
      </w:pPr>
    </w:p>
    <w:p w14:paraId="35E6E5A5" w14:textId="2297ADB2" w:rsidR="00963062" w:rsidRPr="00B777AF" w:rsidRDefault="003F3D44" w:rsidP="00E20C91">
      <w:pPr>
        <w:pStyle w:val="Heading1"/>
      </w:pPr>
      <w:r w:rsidRPr="00E20C91">
        <w:rPr>
          <w:sz w:val="24"/>
        </w:rPr>
        <w:lastRenderedPageBreak/>
        <w:t>References</w:t>
      </w:r>
    </w:p>
    <w:p w14:paraId="402A90C5" w14:textId="4846CF41" w:rsidR="00667B85" w:rsidRDefault="0013768B" w:rsidP="00205A0D">
      <w:pPr>
        <w:numPr>
          <w:ilvl w:val="0"/>
          <w:numId w:val="21"/>
        </w:numPr>
        <w:ind w:left="360"/>
      </w:pPr>
      <w:r w:rsidRPr="0013768B">
        <w:t>Zhai J, Zhang L, Li M, et al. Epidural injection with or without steroid in managing chronic low back and lower extremity pain: ameta-analysis of ten randomized controlled trials. </w:t>
      </w:r>
      <w:r w:rsidRPr="0013768B">
        <w:rPr>
          <w:i/>
          <w:iCs/>
        </w:rPr>
        <w:t>Int J Clin Exp Med</w:t>
      </w:r>
      <w:r w:rsidRPr="0013768B">
        <w:t>. 2015;8(6):8304</w:t>
      </w:r>
      <w:r w:rsidR="00D07D53">
        <w:t xml:space="preserve"> to </w:t>
      </w:r>
      <w:r w:rsidRPr="0013768B">
        <w:t>8316. Published 2015 Jun 15.</w:t>
      </w:r>
    </w:p>
    <w:p w14:paraId="05D42F12" w14:textId="5F89D611" w:rsidR="00667B85" w:rsidRPr="00667B85" w:rsidRDefault="00804032" w:rsidP="00804032">
      <w:pPr>
        <w:pStyle w:val="ListParagraph"/>
        <w:numPr>
          <w:ilvl w:val="0"/>
          <w:numId w:val="21"/>
        </w:numPr>
        <w:ind w:left="360"/>
      </w:pPr>
      <w:r w:rsidRPr="00804032">
        <w:t>Manchikanti L, Singh V, Pampati V, Falco FJ, Hirsch JA. Comparison of the efficacy of caudal, interlaminar, and transforaminal epidural injections in managing lumbar disc herniation: is one method superior to the other?. </w:t>
      </w:r>
      <w:r w:rsidRPr="00804032">
        <w:rPr>
          <w:i/>
          <w:iCs/>
        </w:rPr>
        <w:t>Korean J Pain</w:t>
      </w:r>
      <w:r w:rsidRPr="00804032">
        <w:t>. 2015;28(1):11</w:t>
      </w:r>
      <w:r w:rsidR="00D07D53">
        <w:t xml:space="preserve"> to </w:t>
      </w:r>
      <w:r w:rsidRPr="00804032">
        <w:t>21. doi:10.3344/kjp.2015.28.1.11</w:t>
      </w:r>
    </w:p>
    <w:p w14:paraId="547073EA" w14:textId="45E621C4" w:rsidR="00667B85" w:rsidRPr="00377C5B" w:rsidRDefault="00614283" w:rsidP="00600AE2">
      <w:pPr>
        <w:numPr>
          <w:ilvl w:val="0"/>
          <w:numId w:val="21"/>
        </w:numPr>
        <w:ind w:left="360"/>
      </w:pPr>
      <w:r w:rsidRPr="00614283">
        <w:t>Hegmann KT, Travis R, Andersson GBJ, et al. Invasive Treatments for Low Back Disorders. </w:t>
      </w:r>
      <w:r w:rsidRPr="00614283">
        <w:rPr>
          <w:i/>
          <w:iCs/>
        </w:rPr>
        <w:t>J Occup Environ Med</w:t>
      </w:r>
      <w:r w:rsidRPr="00614283">
        <w:t>. 2021;63(4):e215</w:t>
      </w:r>
      <w:r w:rsidR="00D07D53">
        <w:t xml:space="preserve"> to </w:t>
      </w:r>
      <w:r w:rsidRPr="00614283">
        <w:t>e241. doi:10.1097/JOM.0000000000001983</w:t>
      </w:r>
    </w:p>
    <w:p w14:paraId="5FF0AA6C" w14:textId="64D62268" w:rsidR="00667B85" w:rsidRPr="00667B85" w:rsidRDefault="00667B85" w:rsidP="0088636E">
      <w:pPr>
        <w:pStyle w:val="ListParagraph"/>
        <w:numPr>
          <w:ilvl w:val="0"/>
          <w:numId w:val="21"/>
        </w:numPr>
        <w:ind w:left="360"/>
      </w:pPr>
      <w:r w:rsidRPr="00667B85">
        <w:t xml:space="preserve">Chou R, Hashimoto R, Friedly J, </w:t>
      </w:r>
      <w:r w:rsidR="00F47894">
        <w:t xml:space="preserve">et al.  </w:t>
      </w:r>
      <w:r w:rsidRPr="007C5B3F">
        <w:rPr>
          <w:i/>
        </w:rPr>
        <w:t>Pain Management Injection Therapies for Low Back Pain</w:t>
      </w:r>
      <w:r w:rsidRPr="00667B85">
        <w:t>. Rockville</w:t>
      </w:r>
      <w:r w:rsidR="00F47894">
        <w:t xml:space="preserve"> (</w:t>
      </w:r>
      <w:r w:rsidRPr="00667B85">
        <w:t>MD</w:t>
      </w:r>
      <w:r w:rsidR="00F47894">
        <w:t>):</w:t>
      </w:r>
      <w:r w:rsidRPr="00667B85">
        <w:t xml:space="preserve"> Agency for Healthcare Research and Quality</w:t>
      </w:r>
      <w:r w:rsidR="00F47894">
        <w:t>(US)</w:t>
      </w:r>
      <w:r w:rsidRPr="00667B85">
        <w:t>; 2015.</w:t>
      </w:r>
      <w:r w:rsidR="00A10363">
        <w:t xml:space="preserve"> </w:t>
      </w:r>
    </w:p>
    <w:p w14:paraId="6AD8D84C" w14:textId="7C29A998" w:rsidR="00667B85" w:rsidRDefault="00667B85" w:rsidP="0075121E">
      <w:pPr>
        <w:pStyle w:val="ListParagraph"/>
        <w:numPr>
          <w:ilvl w:val="0"/>
          <w:numId w:val="21"/>
        </w:numPr>
        <w:ind w:left="360"/>
      </w:pPr>
      <w:r>
        <w:t xml:space="preserve">Chou R. Subacute and chronic low back pain: Nonsurgical interventional treatment. </w:t>
      </w:r>
      <w:r w:rsidR="00204D95">
        <w:t>UpToDate</w:t>
      </w:r>
      <w:r w:rsidR="0075121E">
        <w:t>.</w:t>
      </w:r>
      <w:r w:rsidR="0056097C">
        <w:t xml:space="preserve"> </w:t>
      </w:r>
      <w:hyperlink r:id="rId17" w:history="1">
        <w:r w:rsidR="0075121E" w:rsidRPr="004F3877">
          <w:rPr>
            <w:rStyle w:val="Hyperlink"/>
          </w:rPr>
          <w:t>www.uptodate.com</w:t>
        </w:r>
      </w:hyperlink>
      <w:r w:rsidR="0056097C">
        <w:t xml:space="preserve">. Published June 10, 2021. </w:t>
      </w:r>
      <w:r w:rsidR="00867345">
        <w:t xml:space="preserve">Updated May 15, 2024. </w:t>
      </w:r>
      <w:r w:rsidR="0075121E">
        <w:t xml:space="preserve">Accessed </w:t>
      </w:r>
      <w:r w:rsidR="00401C9E">
        <w:t xml:space="preserve">April </w:t>
      </w:r>
      <w:r w:rsidR="00F25445">
        <w:t>1</w:t>
      </w:r>
      <w:r w:rsidR="00613962">
        <w:t>4</w:t>
      </w:r>
      <w:r w:rsidR="00F25445">
        <w:t>, 2025</w:t>
      </w:r>
      <w:r w:rsidR="00A10363">
        <w:t>.</w:t>
      </w:r>
      <w:r>
        <w:t xml:space="preserve">  </w:t>
      </w:r>
    </w:p>
    <w:p w14:paraId="1BEEDE36" w14:textId="655C14E4" w:rsidR="00667B85" w:rsidRDefault="001B50A4" w:rsidP="00EA2DCC">
      <w:pPr>
        <w:pStyle w:val="ListParagraph"/>
        <w:numPr>
          <w:ilvl w:val="0"/>
          <w:numId w:val="21"/>
        </w:numPr>
        <w:ind w:left="360"/>
      </w:pPr>
      <w:r w:rsidRPr="001B50A4">
        <w:t>Chou R, Qaseem A, Snow V, et al. Diagnosis and treatment of low back pain: a joint clinical practice guideline from the American College of Physicians and the American Pain Society [published correction appears in Ann Intern Med. 2008 Feb 5;148(3):247-8]. </w:t>
      </w:r>
      <w:r w:rsidRPr="001B50A4">
        <w:rPr>
          <w:i/>
          <w:iCs/>
        </w:rPr>
        <w:t>Ann Intern Med</w:t>
      </w:r>
      <w:r w:rsidRPr="001B50A4">
        <w:t>. 2007;147(7):478</w:t>
      </w:r>
      <w:r w:rsidR="00D07D53">
        <w:t xml:space="preserve"> to </w:t>
      </w:r>
      <w:r w:rsidRPr="001B50A4">
        <w:t>491. doi:10.7326/0003-4819-147-7-200710020-00006</w:t>
      </w:r>
    </w:p>
    <w:p w14:paraId="3D2116C4" w14:textId="189A6598" w:rsidR="00667B85" w:rsidRDefault="00CF56F0" w:rsidP="00EA2DCC">
      <w:pPr>
        <w:pStyle w:val="ListParagraph"/>
        <w:numPr>
          <w:ilvl w:val="0"/>
          <w:numId w:val="21"/>
        </w:numPr>
        <w:ind w:left="360"/>
      </w:pPr>
      <w:r w:rsidRPr="00CF56F0">
        <w:t>Chou R, Loeser JD, Owens DK, et al. Interventional therapies, surgery, and interdisciplinary rehabilitation for low back pain: an evidence-based clinical practice guideline from the American Pain Society. </w:t>
      </w:r>
      <w:r w:rsidRPr="00CF56F0">
        <w:rPr>
          <w:i/>
          <w:iCs/>
        </w:rPr>
        <w:t>Spine (Phila Pa 1976)</w:t>
      </w:r>
      <w:r w:rsidRPr="00CF56F0">
        <w:t>. 2009;34(10):1066</w:t>
      </w:r>
      <w:r w:rsidR="00D07D53">
        <w:t xml:space="preserve"> to </w:t>
      </w:r>
      <w:r w:rsidRPr="00CF56F0">
        <w:t>1077. doi:10.1097/BRS.0b013e3181a1390d</w:t>
      </w:r>
    </w:p>
    <w:p w14:paraId="39732E47" w14:textId="763827DF" w:rsidR="00667B85" w:rsidRDefault="00915533" w:rsidP="00204D95">
      <w:pPr>
        <w:pStyle w:val="ListParagraph"/>
        <w:numPr>
          <w:ilvl w:val="0"/>
          <w:numId w:val="21"/>
        </w:numPr>
        <w:ind w:left="360"/>
      </w:pPr>
      <w:r w:rsidRPr="00915533">
        <w:t>Chou R, Hashimoto R, Friedly J, et al. Epidural Corticosteroid Injections for Radiculopathy and Spinal Stenosis: A Systematic Review and Meta-analysis. </w:t>
      </w:r>
      <w:r w:rsidRPr="00915533">
        <w:rPr>
          <w:i/>
          <w:iCs/>
        </w:rPr>
        <w:t>Ann Intern Med</w:t>
      </w:r>
      <w:r w:rsidRPr="00915533">
        <w:t>. 2015;163(5):373</w:t>
      </w:r>
      <w:r w:rsidR="00D07D53">
        <w:t xml:space="preserve"> to </w:t>
      </w:r>
      <w:r w:rsidRPr="00915533">
        <w:t>381. doi:10.7326/M15-0934</w:t>
      </w:r>
    </w:p>
    <w:p w14:paraId="0DFC7719" w14:textId="0B5C1CC6" w:rsidR="00216A64" w:rsidRPr="008D5A89" w:rsidRDefault="00667B85" w:rsidP="00023EBA">
      <w:pPr>
        <w:pStyle w:val="ListParagraph"/>
        <w:numPr>
          <w:ilvl w:val="0"/>
          <w:numId w:val="21"/>
        </w:numPr>
        <w:ind w:left="360"/>
      </w:pPr>
      <w:r w:rsidRPr="008D5A89">
        <w:t>Heggeness MH. AAO</w:t>
      </w:r>
      <w:r w:rsidR="003B5E8E" w:rsidRPr="008D5A89">
        <w:t xml:space="preserve">S endorses back pain guidelines. </w:t>
      </w:r>
      <w:r w:rsidRPr="008D5A89">
        <w:rPr>
          <w:i/>
        </w:rPr>
        <w:t>AAOS Now</w:t>
      </w:r>
      <w:r w:rsidR="00216A64" w:rsidRPr="008D5A89">
        <w:rPr>
          <w:i/>
        </w:rPr>
        <w:t>.</w:t>
      </w:r>
      <w:r w:rsidRPr="008D5A89">
        <w:t xml:space="preserve">  </w:t>
      </w:r>
      <w:hyperlink r:id="rId18" w:history="1">
        <w:r w:rsidR="0037143A" w:rsidRPr="00D13942">
          <w:rPr>
            <w:rStyle w:val="Hyperlink"/>
          </w:rPr>
          <w:t>https://www.mainegener</w:t>
        </w:r>
        <w:r w:rsidR="0037143A" w:rsidRPr="00295F28">
          <w:rPr>
            <w:rStyle w:val="Hyperlink"/>
          </w:rPr>
          <w:t>al.org/app/files/public/6460f387-09dc-4968-b162-eee6121a1497/aaosbackpainguidelines.pdf</w:t>
        </w:r>
      </w:hyperlink>
      <w:r w:rsidR="00841D8B" w:rsidRPr="008D5A89">
        <w:rPr>
          <w:rStyle w:val="Hyperlink"/>
          <w:u w:val="none"/>
        </w:rPr>
        <w:t xml:space="preserve">. </w:t>
      </w:r>
      <w:r w:rsidR="00841D8B" w:rsidRPr="00D13942">
        <w:rPr>
          <w:rStyle w:val="Hyperlink"/>
          <w:color w:val="auto"/>
          <w:u w:val="none"/>
        </w:rPr>
        <w:t>P</w:t>
      </w:r>
      <w:r w:rsidR="00216A64" w:rsidRPr="00295F28">
        <w:rPr>
          <w:rStyle w:val="Hyperlink"/>
          <w:color w:val="auto"/>
          <w:u w:val="none"/>
        </w:rPr>
        <w:t xml:space="preserve">ublished September 2010. Accessed </w:t>
      </w:r>
      <w:r w:rsidR="00DF7DE5">
        <w:rPr>
          <w:rStyle w:val="Hyperlink"/>
          <w:color w:val="auto"/>
          <w:u w:val="none"/>
        </w:rPr>
        <w:t>April 14</w:t>
      </w:r>
      <w:r w:rsidR="00142D41">
        <w:rPr>
          <w:rStyle w:val="Hyperlink"/>
          <w:color w:val="auto"/>
          <w:u w:val="none"/>
        </w:rPr>
        <w:t>, 2025</w:t>
      </w:r>
      <w:r w:rsidR="002F4066">
        <w:rPr>
          <w:rStyle w:val="Hyperlink"/>
          <w:color w:val="auto"/>
          <w:u w:val="none"/>
        </w:rPr>
        <w:t>.</w:t>
      </w:r>
    </w:p>
    <w:p w14:paraId="5F5363A0" w14:textId="67C87C1E" w:rsidR="00667B85" w:rsidRDefault="002D2472" w:rsidP="00204D95">
      <w:pPr>
        <w:pStyle w:val="ListParagraph"/>
        <w:numPr>
          <w:ilvl w:val="0"/>
          <w:numId w:val="21"/>
        </w:numPr>
        <w:tabs>
          <w:tab w:val="left" w:pos="270"/>
        </w:tabs>
        <w:ind w:left="360"/>
      </w:pPr>
      <w:r w:rsidRPr="002D2472">
        <w:t>Manchikanti L, Datta S, Derby R, et al. A critical review of the American Pain Society clinical practice guidelines for interventional techniques: part 1. Diagnostic interventions. </w:t>
      </w:r>
      <w:r w:rsidRPr="002D2472">
        <w:rPr>
          <w:i/>
          <w:iCs/>
        </w:rPr>
        <w:t>Pain Physician</w:t>
      </w:r>
      <w:r w:rsidRPr="002D2472">
        <w:t>. 2010;13(3):E141</w:t>
      </w:r>
      <w:r w:rsidR="00D07D53">
        <w:t xml:space="preserve"> to </w:t>
      </w:r>
      <w:r w:rsidRPr="002D2472">
        <w:t>E174.</w:t>
      </w:r>
    </w:p>
    <w:p w14:paraId="1D21CC3E" w14:textId="114E80D7" w:rsidR="00667B85" w:rsidRDefault="00705D49" w:rsidP="00204D95">
      <w:pPr>
        <w:pStyle w:val="ListParagraph"/>
        <w:numPr>
          <w:ilvl w:val="0"/>
          <w:numId w:val="21"/>
        </w:numPr>
        <w:tabs>
          <w:tab w:val="left" w:pos="360"/>
        </w:tabs>
        <w:ind w:left="360"/>
      </w:pPr>
      <w:r w:rsidRPr="00705D49">
        <w:t>Manchikanti L, Datta S, Gupta S, et al. A critical review of the American Pain Society clinical practice guidelines for interventional techniques: part 2. Therapeutic interventions. </w:t>
      </w:r>
      <w:r w:rsidRPr="00705D49">
        <w:rPr>
          <w:i/>
          <w:iCs/>
        </w:rPr>
        <w:t>Pain Physician</w:t>
      </w:r>
      <w:r w:rsidRPr="00705D49">
        <w:t>. 2010;13(4):E215</w:t>
      </w:r>
      <w:r w:rsidR="003A2155">
        <w:t xml:space="preserve"> to </w:t>
      </w:r>
      <w:r w:rsidRPr="00705D49">
        <w:t>E264.</w:t>
      </w:r>
    </w:p>
    <w:p w14:paraId="34A51534" w14:textId="0BB167D7" w:rsidR="00667B85" w:rsidRDefault="00667B85" w:rsidP="00204D95">
      <w:pPr>
        <w:pStyle w:val="ListParagraph"/>
        <w:numPr>
          <w:ilvl w:val="0"/>
          <w:numId w:val="21"/>
        </w:numPr>
        <w:ind w:left="360"/>
      </w:pPr>
      <w:r>
        <w:t xml:space="preserve">Manchikanti L, Abdi S, Atluri S, et al. An update of comprehensive evidence-based guidelines for interventional techniques in </w:t>
      </w:r>
      <w:r w:rsidR="00901EB7">
        <w:t xml:space="preserve">chronic </w:t>
      </w:r>
      <w:r>
        <w:t xml:space="preserve">spinal pain. Part II: guidance and recommendations. </w:t>
      </w:r>
      <w:r w:rsidRPr="007C5B3F">
        <w:rPr>
          <w:i/>
        </w:rPr>
        <w:t>Pain Physician</w:t>
      </w:r>
      <w:r w:rsidR="00C24275">
        <w:rPr>
          <w:i/>
        </w:rPr>
        <w:t>.</w:t>
      </w:r>
      <w:r>
        <w:t>2013;16</w:t>
      </w:r>
      <w:r w:rsidR="00C24275">
        <w:t>(2 Suppl):</w:t>
      </w:r>
      <w:r>
        <w:t>S49</w:t>
      </w:r>
      <w:r w:rsidR="003A2155">
        <w:t xml:space="preserve"> to </w:t>
      </w:r>
      <w:r>
        <w:t xml:space="preserve">S283. </w:t>
      </w:r>
    </w:p>
    <w:p w14:paraId="0D0B513F" w14:textId="2FE94B45" w:rsidR="00667B85" w:rsidRDefault="00667B85" w:rsidP="00204D95">
      <w:pPr>
        <w:pStyle w:val="ListParagraph"/>
        <w:numPr>
          <w:ilvl w:val="0"/>
          <w:numId w:val="21"/>
        </w:numPr>
        <w:ind w:left="360"/>
      </w:pPr>
      <w:r>
        <w:t xml:space="preserve">Novak S, Nemeth WC. The basis for recommending repeating epidural steroid injections for radicular low back pain: a literature review. </w:t>
      </w:r>
      <w:r w:rsidRPr="007C5B3F">
        <w:rPr>
          <w:i/>
        </w:rPr>
        <w:t>Arch Phys Med Rehabil</w:t>
      </w:r>
      <w:r w:rsidR="00733A5C">
        <w:rPr>
          <w:i/>
        </w:rPr>
        <w:t>.</w:t>
      </w:r>
      <w:r>
        <w:t xml:space="preserve"> 2008</w:t>
      </w:r>
      <w:r w:rsidR="00C24275">
        <w:t>;</w:t>
      </w:r>
      <w:r>
        <w:t>89</w:t>
      </w:r>
      <w:r w:rsidR="00C24275">
        <w:t>(3):</w:t>
      </w:r>
      <w:r>
        <w:t>543</w:t>
      </w:r>
      <w:r w:rsidR="003A2155">
        <w:t xml:space="preserve"> to </w:t>
      </w:r>
      <w:r>
        <w:t>552.</w:t>
      </w:r>
      <w:r w:rsidR="00C24275">
        <w:t xml:space="preserve">  </w:t>
      </w:r>
      <w:r w:rsidR="00C24275" w:rsidRPr="00C24275">
        <w:t>doi:10.1016/j.apmr.2007.11.008</w:t>
      </w:r>
      <w:r w:rsidR="00733A5C" w:rsidRPr="00733A5C">
        <w:rPr>
          <w:rFonts w:ascii="Segoe UI" w:hAnsi="Segoe UI" w:cs="Segoe UI"/>
          <w:color w:val="212121"/>
          <w:shd w:val="clear" w:color="auto" w:fill="FFFFFF"/>
        </w:rPr>
        <w:t xml:space="preserve"> </w:t>
      </w:r>
      <w:r w:rsidR="00733A5C">
        <w:t xml:space="preserve"> </w:t>
      </w:r>
    </w:p>
    <w:p w14:paraId="0638A61F" w14:textId="23F95755" w:rsidR="00667B85" w:rsidRDefault="009B1C36" w:rsidP="00204D95">
      <w:pPr>
        <w:pStyle w:val="ListParagraph"/>
        <w:numPr>
          <w:ilvl w:val="0"/>
          <w:numId w:val="21"/>
        </w:numPr>
        <w:ind w:left="360"/>
      </w:pPr>
      <w:r w:rsidRPr="009B1C36">
        <w:t xml:space="preserve">Sharma AK, Vorobeychik Y, Wasserman R, et al. The Effectiveness and Risks of Fluoroscopically Guided Lumbar Interlaminar Epidural Steroid Injections: A Systematic </w:t>
      </w:r>
      <w:r w:rsidRPr="009B1C36">
        <w:lastRenderedPageBreak/>
        <w:t>Review with Comprehensive Analysis of the Published Data. </w:t>
      </w:r>
      <w:r w:rsidRPr="009B1C36">
        <w:rPr>
          <w:i/>
          <w:iCs/>
        </w:rPr>
        <w:t>Pain Med</w:t>
      </w:r>
      <w:r w:rsidRPr="009B1C36">
        <w:t>. 2017;18(2):239</w:t>
      </w:r>
      <w:r w:rsidR="003A2155">
        <w:t xml:space="preserve"> to </w:t>
      </w:r>
      <w:r w:rsidRPr="009B1C36">
        <w:t>251. doi:10.1093/pm/pnw131</w:t>
      </w:r>
    </w:p>
    <w:p w14:paraId="35008B0F" w14:textId="6064FF8A" w:rsidR="0088636E" w:rsidRDefault="009B1C36" w:rsidP="00204D95">
      <w:pPr>
        <w:pStyle w:val="ListParagraph"/>
        <w:numPr>
          <w:ilvl w:val="0"/>
          <w:numId w:val="21"/>
        </w:numPr>
        <w:ind w:left="360"/>
      </w:pPr>
      <w:r w:rsidRPr="009B1C36">
        <w:t>Staal JB, de Bie R, de Vet HC, Hildebrandt J, Nelemans P. Injection therapy for subacute and chronic low-back pain. </w:t>
      </w:r>
      <w:r w:rsidRPr="009B1C36">
        <w:rPr>
          <w:i/>
          <w:iCs/>
        </w:rPr>
        <w:t>Cochrane Database Syst Rev</w:t>
      </w:r>
      <w:r w:rsidRPr="009B1C36">
        <w:t>. 2008;2008(3):CD001824. Published 2008 Jul 16. doi:10.1002/14651858.CD001824.pub3</w:t>
      </w:r>
    </w:p>
    <w:p w14:paraId="43EA9E20" w14:textId="2F981360" w:rsidR="0088636E" w:rsidRDefault="0088636E" w:rsidP="00204D95">
      <w:pPr>
        <w:pStyle w:val="ListParagraph"/>
        <w:numPr>
          <w:ilvl w:val="0"/>
          <w:numId w:val="21"/>
        </w:numPr>
        <w:ind w:left="360"/>
      </w:pPr>
      <w:r>
        <w:t xml:space="preserve">Vorobeychik Y, Sharma A, Smith CC, et al. The Effectiveness and Risks of Non-Image-Guided Lumbar Interlaminar Epidural Steroid Injections: A Systematic Review with Comprehensive Analysis of the Published Data. </w:t>
      </w:r>
      <w:r w:rsidRPr="007C5B3F">
        <w:rPr>
          <w:i/>
        </w:rPr>
        <w:t>Pain Med</w:t>
      </w:r>
      <w:r>
        <w:t>. 2016</w:t>
      </w:r>
      <w:r w:rsidR="00C24275">
        <w:t>;</w:t>
      </w:r>
      <w:r w:rsidR="00CA521C">
        <w:t>17(12):2185</w:t>
      </w:r>
      <w:r w:rsidR="003A2155">
        <w:t xml:space="preserve"> to </w:t>
      </w:r>
      <w:r w:rsidR="00CA521C">
        <w:t xml:space="preserve">2202. </w:t>
      </w:r>
      <w:r w:rsidR="00CA521C" w:rsidRPr="00CA521C">
        <w:t>doi:10.1093/pm/pnw091</w:t>
      </w:r>
      <w:r w:rsidR="00CA521C">
        <w:t xml:space="preserve"> </w:t>
      </w:r>
      <w:r>
        <w:t xml:space="preserve"> </w:t>
      </w:r>
    </w:p>
    <w:p w14:paraId="0E6B4299" w14:textId="782C05E4" w:rsidR="0088636E" w:rsidRDefault="00C9420B" w:rsidP="00C9420B">
      <w:pPr>
        <w:pStyle w:val="ListParagraph"/>
        <w:numPr>
          <w:ilvl w:val="0"/>
          <w:numId w:val="21"/>
        </w:numPr>
        <w:ind w:left="360"/>
      </w:pPr>
      <w:r>
        <w:t>Kreiner DS, Hwang S, Easa J</w:t>
      </w:r>
      <w:r w:rsidR="00035B7E">
        <w:t>E</w:t>
      </w:r>
      <w:r>
        <w:t xml:space="preserve">, et al. An evidence-based clinical guideline for the diagnosis and treatment of lumbar disc herniation with radiculopathy. </w:t>
      </w:r>
      <w:r w:rsidRPr="007C5B3F">
        <w:rPr>
          <w:i/>
        </w:rPr>
        <w:t>Spine J.</w:t>
      </w:r>
      <w:r w:rsidRPr="00C9420B">
        <w:t xml:space="preserve"> 2014</w:t>
      </w:r>
      <w:r w:rsidR="003B5E8E">
        <w:t>;</w:t>
      </w:r>
      <w:r w:rsidRPr="00C9420B">
        <w:t>14(1):180</w:t>
      </w:r>
      <w:r w:rsidR="003A2155">
        <w:t xml:space="preserve"> to </w:t>
      </w:r>
      <w:r w:rsidR="000C52B1">
        <w:t>1</w:t>
      </w:r>
      <w:r w:rsidRPr="00C9420B">
        <w:t>91. doi:10.1016/j.spinee.2013.08.003</w:t>
      </w:r>
      <w:r w:rsidR="009C0C70">
        <w:t xml:space="preserve"> </w:t>
      </w:r>
    </w:p>
    <w:p w14:paraId="39918FE9" w14:textId="4BEAE8A0" w:rsidR="0088636E" w:rsidRDefault="0088636E" w:rsidP="000C52B1">
      <w:pPr>
        <w:pStyle w:val="ListParagraph"/>
        <w:numPr>
          <w:ilvl w:val="0"/>
          <w:numId w:val="21"/>
        </w:numPr>
        <w:ind w:left="360"/>
      </w:pPr>
      <w:r>
        <w:t>Smith CC, Bo</w:t>
      </w:r>
      <w:r w:rsidR="003B5E8E">
        <w:t xml:space="preserve">oker T, Schaufele MK, Weiss P. </w:t>
      </w:r>
      <w:r>
        <w:t>Interlaminar versus transforaminal epidural steroid injections for the treatment of symptomat</w:t>
      </w:r>
      <w:r w:rsidR="003B5E8E">
        <w:t xml:space="preserve">ic lumbar spinal stenosis. </w:t>
      </w:r>
      <w:r w:rsidRPr="007C5B3F">
        <w:rPr>
          <w:i/>
        </w:rPr>
        <w:t>Pain Med</w:t>
      </w:r>
      <w:r w:rsidR="003B5E8E">
        <w:t xml:space="preserve">. </w:t>
      </w:r>
      <w:r w:rsidR="009C0C70">
        <w:t>2010</w:t>
      </w:r>
      <w:r>
        <w:t>;11(10):1511</w:t>
      </w:r>
      <w:r w:rsidR="003A2155">
        <w:t xml:space="preserve">to </w:t>
      </w:r>
      <w:r w:rsidR="000C52B1">
        <w:t>151</w:t>
      </w:r>
      <w:r>
        <w:t>5.</w:t>
      </w:r>
      <w:r w:rsidR="000C52B1">
        <w:t xml:space="preserve">  </w:t>
      </w:r>
      <w:r w:rsidR="000C52B1" w:rsidRPr="000C52B1">
        <w:t>doi:10.1111/j.1526-4637.2010.00932.x</w:t>
      </w:r>
      <w:r w:rsidR="009C0C70">
        <w:t xml:space="preserve"> </w:t>
      </w:r>
    </w:p>
    <w:p w14:paraId="204AB623" w14:textId="0DEB1214" w:rsidR="0088636E" w:rsidRDefault="0088636E" w:rsidP="0088636E">
      <w:pPr>
        <w:pStyle w:val="ListParagraph"/>
        <w:numPr>
          <w:ilvl w:val="0"/>
          <w:numId w:val="21"/>
        </w:numPr>
        <w:ind w:left="360"/>
      </w:pPr>
      <w:r>
        <w:t>S</w:t>
      </w:r>
      <w:r w:rsidR="003B5E8E">
        <w:t xml:space="preserve">chaufele MK, Hatch L, Jones W. </w:t>
      </w:r>
      <w:r>
        <w:t xml:space="preserve">Interlaminar versus transforaminal epidural injections for the treatment of symptomatic lumbar intervertebral disc herniations. </w:t>
      </w:r>
      <w:r w:rsidRPr="007C5B3F">
        <w:rPr>
          <w:i/>
        </w:rPr>
        <w:t>Pain Physician</w:t>
      </w:r>
      <w:r>
        <w:t>. 2006</w:t>
      </w:r>
      <w:r w:rsidR="009C0C70">
        <w:t>;9(4):</w:t>
      </w:r>
      <w:r>
        <w:t>361</w:t>
      </w:r>
      <w:r w:rsidR="00186F78">
        <w:t xml:space="preserve"> </w:t>
      </w:r>
      <w:r w:rsidR="00BF5EE1">
        <w:t xml:space="preserve">to </w:t>
      </w:r>
      <w:r w:rsidR="00B64762">
        <w:t>36</w:t>
      </w:r>
      <w:r>
        <w:t>6.</w:t>
      </w:r>
      <w:r w:rsidR="009C0C70">
        <w:t xml:space="preserve"> </w:t>
      </w:r>
    </w:p>
    <w:p w14:paraId="6D3A240B" w14:textId="0E21357A" w:rsidR="0088636E" w:rsidRDefault="0088636E" w:rsidP="004E7257">
      <w:pPr>
        <w:pStyle w:val="ListParagraph"/>
        <w:numPr>
          <w:ilvl w:val="0"/>
          <w:numId w:val="21"/>
        </w:numPr>
        <w:tabs>
          <w:tab w:val="left" w:pos="540"/>
        </w:tabs>
        <w:ind w:left="360"/>
      </w:pPr>
      <w:r>
        <w:t xml:space="preserve">Chang-Chien GC, Knezevic NN, McCormick Z, </w:t>
      </w:r>
      <w:r w:rsidR="00E139AE" w:rsidRPr="00E139AE">
        <w:t>Chu SK, Trescot AM, Candido KD</w:t>
      </w:r>
      <w:r>
        <w:t>.  Transforaminal versus interlaminar approaches to epidural steroid injections: a systematic review of comparative studies f</w:t>
      </w:r>
      <w:r w:rsidR="003B5E8E">
        <w:t xml:space="preserve">or lumbosacral radicular pain. </w:t>
      </w:r>
      <w:r w:rsidRPr="007C5B3F">
        <w:rPr>
          <w:i/>
        </w:rPr>
        <w:t>Pain Physician</w:t>
      </w:r>
      <w:r>
        <w:t>. 2014</w:t>
      </w:r>
      <w:r w:rsidR="004E7257">
        <w:t>;</w:t>
      </w:r>
      <w:r>
        <w:t>17(4):E509</w:t>
      </w:r>
      <w:r w:rsidR="00DF7DE5">
        <w:t xml:space="preserve"> to</w:t>
      </w:r>
      <w:r w:rsidR="00186F78">
        <w:t xml:space="preserve"> </w:t>
      </w:r>
      <w:r w:rsidR="00CA2435">
        <w:t>E</w:t>
      </w:r>
      <w:r w:rsidR="004E7257">
        <w:t>5</w:t>
      </w:r>
      <w:r>
        <w:t>24.</w:t>
      </w:r>
      <w:r w:rsidR="009C0C70" w:rsidRPr="009C0C70">
        <w:rPr>
          <w:rFonts w:ascii="Segoe UI" w:hAnsi="Segoe UI" w:cs="Segoe UI"/>
          <w:color w:val="212121"/>
          <w:shd w:val="clear" w:color="auto" w:fill="FFFFFF"/>
        </w:rPr>
        <w:t xml:space="preserve"> </w:t>
      </w:r>
    </w:p>
    <w:p w14:paraId="79ABA99B" w14:textId="4CB5BD06" w:rsidR="00825229" w:rsidRDefault="003B5E8E" w:rsidP="00825229">
      <w:pPr>
        <w:pStyle w:val="ListParagraph"/>
        <w:numPr>
          <w:ilvl w:val="0"/>
          <w:numId w:val="21"/>
        </w:numPr>
        <w:tabs>
          <w:tab w:val="left" w:pos="540"/>
        </w:tabs>
        <w:ind w:left="360"/>
      </w:pPr>
      <w:r>
        <w:t xml:space="preserve">Levin K, Hsu PS, Armon C. </w:t>
      </w:r>
      <w:r w:rsidR="00825229" w:rsidRPr="00825229">
        <w:t>Acute lumbosacral radiculopathy: Treatment and prognosis</w:t>
      </w:r>
      <w:r>
        <w:t xml:space="preserve">.  UpToDate. </w:t>
      </w:r>
      <w:hyperlink r:id="rId19" w:history="1">
        <w:r w:rsidR="00825229" w:rsidRPr="006D54E8">
          <w:rPr>
            <w:rStyle w:val="Hyperlink"/>
          </w:rPr>
          <w:t>www.uptodate.com</w:t>
        </w:r>
      </w:hyperlink>
      <w:r>
        <w:t xml:space="preserve">. Published </w:t>
      </w:r>
      <w:r w:rsidR="00B84C03">
        <w:t>November 29</w:t>
      </w:r>
      <w:r w:rsidR="00BA1557">
        <w:t>, 2022.</w:t>
      </w:r>
      <w:r w:rsidR="00D25223">
        <w:t xml:space="preserve"> Updated </w:t>
      </w:r>
      <w:r w:rsidR="00FF69CA">
        <w:t>February 25, 2025</w:t>
      </w:r>
      <w:r w:rsidR="00B82517">
        <w:t>.</w:t>
      </w:r>
      <w:r w:rsidR="00BA1557">
        <w:t xml:space="preserve"> Accessed </w:t>
      </w:r>
      <w:r w:rsidR="00401C9E">
        <w:t xml:space="preserve">April </w:t>
      </w:r>
      <w:r w:rsidR="00FF69CA">
        <w:t>1</w:t>
      </w:r>
      <w:r w:rsidR="0079012C">
        <w:t>4</w:t>
      </w:r>
      <w:r w:rsidR="00FF69CA">
        <w:t>, 2025</w:t>
      </w:r>
      <w:r w:rsidR="00BA1557">
        <w:t>.</w:t>
      </w:r>
    </w:p>
    <w:p w14:paraId="06281720" w14:textId="32CB5356" w:rsidR="00A02258" w:rsidRDefault="006F03DE" w:rsidP="00A02258">
      <w:pPr>
        <w:pStyle w:val="ListParagraph"/>
        <w:numPr>
          <w:ilvl w:val="0"/>
          <w:numId w:val="21"/>
        </w:numPr>
        <w:tabs>
          <w:tab w:val="left" w:pos="540"/>
        </w:tabs>
        <w:ind w:left="360"/>
      </w:pPr>
      <w:r>
        <w:t>Kothari</w:t>
      </w:r>
      <w:r w:rsidR="00F24FC6">
        <w:t xml:space="preserve"> MJ, Chuang, K</w:t>
      </w:r>
      <w:r w:rsidR="006F613A">
        <w:t xml:space="preserve">. </w:t>
      </w:r>
      <w:r w:rsidR="00A02258" w:rsidRPr="00A02258">
        <w:t>Treatment and prognosis of cervical radiculopathy</w:t>
      </w:r>
      <w:r w:rsidR="006F613A">
        <w:t xml:space="preserve">. </w:t>
      </w:r>
      <w:r w:rsidR="003B5E8E">
        <w:t xml:space="preserve">UpToDate. </w:t>
      </w:r>
      <w:hyperlink r:id="rId20" w:history="1">
        <w:r w:rsidR="00A02258" w:rsidRPr="006D54E8">
          <w:rPr>
            <w:rStyle w:val="Hyperlink"/>
          </w:rPr>
          <w:t>www.uptodate.com</w:t>
        </w:r>
      </w:hyperlink>
      <w:r w:rsidR="003B5E8E">
        <w:t>. Published</w:t>
      </w:r>
      <w:r w:rsidR="00312B31">
        <w:t xml:space="preserve"> </w:t>
      </w:r>
      <w:r w:rsidR="003D624B">
        <w:t>February 28</w:t>
      </w:r>
      <w:r w:rsidR="00312B31">
        <w:t>, 202</w:t>
      </w:r>
      <w:r w:rsidR="003D624B">
        <w:t>3</w:t>
      </w:r>
      <w:r w:rsidR="00312B31">
        <w:t>.</w:t>
      </w:r>
      <w:r w:rsidR="00B82517">
        <w:t xml:space="preserve"> </w:t>
      </w:r>
      <w:r w:rsidR="00007E4E">
        <w:t xml:space="preserve">Updated </w:t>
      </w:r>
      <w:r w:rsidR="00EC2A0F">
        <w:t>April 1, 2025</w:t>
      </w:r>
      <w:r w:rsidR="00007E4E">
        <w:t xml:space="preserve">. </w:t>
      </w:r>
      <w:r w:rsidR="00A02258">
        <w:t xml:space="preserve">Accessed </w:t>
      </w:r>
      <w:r w:rsidR="00401C9E">
        <w:t>April 1</w:t>
      </w:r>
      <w:r w:rsidR="00EC2A0F">
        <w:t>4</w:t>
      </w:r>
      <w:r w:rsidR="00007E4E">
        <w:t>, 2025.</w:t>
      </w:r>
    </w:p>
    <w:p w14:paraId="46AF6D9F" w14:textId="4DDAC24A" w:rsidR="00A02258" w:rsidRDefault="00A6711C" w:rsidP="00A6711C">
      <w:pPr>
        <w:pStyle w:val="ListParagraph"/>
        <w:numPr>
          <w:ilvl w:val="0"/>
          <w:numId w:val="21"/>
        </w:numPr>
        <w:tabs>
          <w:tab w:val="left" w:pos="540"/>
        </w:tabs>
        <w:ind w:left="360"/>
      </w:pPr>
      <w:r w:rsidRPr="00A6711C">
        <w:t>North American Spine Society (NASS)</w:t>
      </w:r>
      <w:r>
        <w:t>.</w:t>
      </w:r>
      <w:r w:rsidR="003B5E8E">
        <w:t xml:space="preserve"> </w:t>
      </w:r>
      <w:r w:rsidRPr="00A6711C">
        <w:t>Coverage Policy Recommendations: Epidural Steroid Injections and Selective Spinal Nerve Blocks. 2020</w:t>
      </w:r>
      <w:r w:rsidR="00F42FEA">
        <w:t>.</w:t>
      </w:r>
    </w:p>
    <w:p w14:paraId="59A4CCAA" w14:textId="1B0550E8" w:rsidR="006F262B" w:rsidRDefault="00EA4C74" w:rsidP="00A6711C">
      <w:pPr>
        <w:pStyle w:val="ListParagraph"/>
        <w:numPr>
          <w:ilvl w:val="0"/>
          <w:numId w:val="21"/>
        </w:numPr>
        <w:tabs>
          <w:tab w:val="left" w:pos="540"/>
        </w:tabs>
        <w:ind w:left="360"/>
      </w:pPr>
      <w:r>
        <w:rPr>
          <w:rFonts w:eastAsia="Calibri"/>
        </w:rPr>
        <w:t xml:space="preserve">Local coverage </w:t>
      </w:r>
      <w:r w:rsidR="00594FE3">
        <w:rPr>
          <w:rFonts w:eastAsia="Calibri"/>
        </w:rPr>
        <w:t>determination: Epidural Ster</w:t>
      </w:r>
      <w:r w:rsidR="00E1087B">
        <w:rPr>
          <w:rFonts w:eastAsia="Calibri"/>
        </w:rPr>
        <w:t>oid Injections for Pain Management. (L39015</w:t>
      </w:r>
      <w:r>
        <w:rPr>
          <w:rFonts w:eastAsia="Calibri"/>
        </w:rPr>
        <w:t xml:space="preserve">). Centers for Medicare and Medicaid Services Web site. </w:t>
      </w:r>
      <w:r w:rsidR="00E70F11" w:rsidRPr="009943AA">
        <w:rPr>
          <w:rFonts w:eastAsia="Calibri"/>
        </w:rPr>
        <w:t xml:space="preserve">http://www.cms.hhs.gov/mcd/search.asp. Published </w:t>
      </w:r>
      <w:r w:rsidR="00E70F11">
        <w:rPr>
          <w:rFonts w:eastAsia="Calibri"/>
        </w:rPr>
        <w:t>December 5, 2021</w:t>
      </w:r>
      <w:r>
        <w:rPr>
          <w:rFonts w:eastAsia="Calibri"/>
        </w:rPr>
        <w:t xml:space="preserve">. </w:t>
      </w:r>
      <w:r w:rsidR="005E0D33">
        <w:rPr>
          <w:rFonts w:eastAsia="Calibri"/>
        </w:rPr>
        <w:t xml:space="preserve">Revised on November 9, 2023. </w:t>
      </w:r>
      <w:r>
        <w:rPr>
          <w:rFonts w:eastAsia="Calibri"/>
        </w:rPr>
        <w:t xml:space="preserve">Accessed </w:t>
      </w:r>
      <w:r w:rsidR="00641439">
        <w:rPr>
          <w:rFonts w:eastAsia="Calibri"/>
        </w:rPr>
        <w:t>April 14</w:t>
      </w:r>
      <w:r>
        <w:rPr>
          <w:rFonts w:eastAsia="Calibri"/>
        </w:rPr>
        <w:t>, 2025.</w:t>
      </w:r>
    </w:p>
    <w:p w14:paraId="7604C06E" w14:textId="77777777" w:rsidR="00963062" w:rsidRDefault="00963062" w:rsidP="00E91479">
      <w:pPr>
        <w:pStyle w:val="ListParagraph"/>
        <w:ind w:left="360"/>
      </w:pPr>
    </w:p>
    <w:p w14:paraId="21F4A294" w14:textId="77777777" w:rsidR="00DD6ADB" w:rsidRPr="00146C6E" w:rsidRDefault="00C06257" w:rsidP="00146C6E">
      <w:pPr>
        <w:rPr>
          <w:rFonts w:eastAsiaTheme="minorHAnsi"/>
          <w:b/>
          <w:u w:val="single"/>
        </w:rPr>
      </w:pPr>
      <w:bookmarkStart w:id="2" w:name="Important_Reminder"/>
      <w:r w:rsidRPr="00146C6E">
        <w:rPr>
          <w:rFonts w:eastAsiaTheme="minorHAnsi"/>
          <w:b/>
          <w:bCs/>
          <w:u w:val="single"/>
        </w:rPr>
        <w:t>Important R</w:t>
      </w:r>
      <w:r w:rsidR="005D7B81" w:rsidRPr="00146C6E">
        <w:rPr>
          <w:rFonts w:eastAsiaTheme="minorHAnsi"/>
          <w:b/>
          <w:bCs/>
          <w:u w:val="single"/>
        </w:rPr>
        <w:t>eminder</w:t>
      </w:r>
      <w:bookmarkEnd w:id="2"/>
    </w:p>
    <w:p w14:paraId="410DD996"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w:t>
      </w:r>
      <w:r w:rsidRPr="00146C6E">
        <w:rPr>
          <w:rFonts w:eastAsiaTheme="minorHAnsi"/>
        </w:rPr>
        <w:lastRenderedPageBreak/>
        <w:t>plan that has adopted this clinical policy and that is operated or administered, in whole or in part, by Centene Management Company, LLC, or any of such health plan’s affiliates, as applicable.</w:t>
      </w:r>
    </w:p>
    <w:p w14:paraId="4B6136D1" w14:textId="77777777" w:rsidR="00DD6ADB" w:rsidRPr="00146C6E" w:rsidRDefault="00DD6ADB" w:rsidP="00146C6E">
      <w:pPr>
        <w:rPr>
          <w:rFonts w:eastAsiaTheme="minorHAnsi"/>
        </w:rPr>
      </w:pPr>
    </w:p>
    <w:p w14:paraId="6B80DC45"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498F35EE" w14:textId="77777777" w:rsidR="00DD6ADB" w:rsidRPr="00146C6E" w:rsidRDefault="00DD6ADB" w:rsidP="00146C6E">
      <w:pPr>
        <w:rPr>
          <w:rFonts w:eastAsiaTheme="minorHAnsi"/>
        </w:rPr>
      </w:pPr>
    </w:p>
    <w:p w14:paraId="1614D6D6"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8828E62" w14:textId="77777777" w:rsidR="00DD6ADB" w:rsidRPr="00146C6E" w:rsidRDefault="00DD6ADB" w:rsidP="00146C6E">
      <w:pPr>
        <w:rPr>
          <w:rFonts w:eastAsiaTheme="minorHAnsi"/>
        </w:rPr>
      </w:pPr>
    </w:p>
    <w:p w14:paraId="039D19C0" w14:textId="78A708A4"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w:t>
      </w:r>
      <w:r w:rsidR="00F41654">
        <w:rPr>
          <w:rFonts w:eastAsiaTheme="minorHAnsi"/>
        </w:rPr>
        <w:t>member/enrollee</w:t>
      </w:r>
      <w:r w:rsidRPr="00146C6E">
        <w:rPr>
          <w:rFonts w:eastAsiaTheme="minorHAnsi"/>
        </w:rPr>
        <w:t xml:space="preserve">s.  This clinical policy is not intended to recommend treatment for </w:t>
      </w:r>
      <w:r w:rsidR="00F41654">
        <w:rPr>
          <w:rFonts w:eastAsiaTheme="minorHAnsi"/>
        </w:rPr>
        <w:t>member/enrollee</w:t>
      </w:r>
      <w:r w:rsidRPr="00146C6E">
        <w:rPr>
          <w:rFonts w:eastAsiaTheme="minorHAnsi"/>
        </w:rPr>
        <w:t xml:space="preserve">s. </w:t>
      </w:r>
      <w:r w:rsidR="00F41654">
        <w:rPr>
          <w:rFonts w:eastAsiaTheme="minorHAnsi"/>
        </w:rPr>
        <w:t>Member/enrollee</w:t>
      </w:r>
      <w:r w:rsidRPr="00146C6E">
        <w:rPr>
          <w:rFonts w:eastAsiaTheme="minorHAnsi"/>
        </w:rPr>
        <w:t xml:space="preserve">s should consult with their treating physician in connection with diagnosis and treatment decisions. </w:t>
      </w:r>
    </w:p>
    <w:p w14:paraId="3CF18D8D" w14:textId="77777777" w:rsidR="00DD6ADB" w:rsidRPr="00146C6E" w:rsidRDefault="00DD6ADB" w:rsidP="00146C6E">
      <w:pPr>
        <w:rPr>
          <w:rFonts w:eastAsiaTheme="minorHAnsi"/>
        </w:rPr>
      </w:pPr>
    </w:p>
    <w:p w14:paraId="19D039E9" w14:textId="77777777"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44A5165" w14:textId="77777777" w:rsidR="00DD6ADB" w:rsidRPr="00146C6E" w:rsidRDefault="00DD6ADB" w:rsidP="00146C6E">
      <w:pPr>
        <w:rPr>
          <w:rFonts w:eastAsiaTheme="minorHAnsi"/>
        </w:rPr>
      </w:pPr>
    </w:p>
    <w:p w14:paraId="122180E9" w14:textId="5766A38E"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F41654">
        <w:rPr>
          <w:rFonts w:eastAsiaTheme="minorHAnsi"/>
        </w:rPr>
        <w:t>member/enrollee</w:t>
      </w:r>
      <w:r w:rsidRPr="00146C6E">
        <w:rPr>
          <w:rFonts w:eastAsiaTheme="minorHAnsi"/>
        </w:rPr>
        <w:t xml:space="preserve">s and their representatives are bound to the terms and conditions expressed herein through the terms of their contracts.  Where no such contract exists, providers, </w:t>
      </w:r>
      <w:r w:rsidR="00F41654">
        <w:rPr>
          <w:rFonts w:eastAsiaTheme="minorHAnsi"/>
        </w:rPr>
        <w:t>member/enrollee</w:t>
      </w:r>
      <w:r w:rsidRPr="00146C6E">
        <w:rPr>
          <w:rFonts w:eastAsiaTheme="minorHAnsi"/>
        </w:rPr>
        <w:t xml:space="preserve">s and their representatives agree to be bound by such terms and conditions by providing services to </w:t>
      </w:r>
      <w:r w:rsidR="00F41654">
        <w:rPr>
          <w:rFonts w:eastAsiaTheme="minorHAnsi"/>
        </w:rPr>
        <w:t>member/enrollee</w:t>
      </w:r>
      <w:r w:rsidRPr="00146C6E">
        <w:rPr>
          <w:rFonts w:eastAsiaTheme="minorHAnsi"/>
        </w:rPr>
        <w:t xml:space="preserve">s and/or submitting claims for payment for such services.  </w:t>
      </w:r>
    </w:p>
    <w:p w14:paraId="2A5B2FBB" w14:textId="77777777" w:rsidR="00DD6ADB" w:rsidRPr="00146C6E" w:rsidRDefault="00DD6ADB" w:rsidP="00146C6E">
      <w:pPr>
        <w:autoSpaceDE w:val="0"/>
        <w:autoSpaceDN w:val="0"/>
        <w:adjustRightInd w:val="0"/>
        <w:rPr>
          <w:rFonts w:eastAsiaTheme="minorHAnsi"/>
          <w:color w:val="000000"/>
        </w:rPr>
      </w:pPr>
    </w:p>
    <w:p w14:paraId="0742DE8C" w14:textId="179D6D42"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F41654">
        <w:rPr>
          <w:rFonts w:eastAsiaTheme="minorHAnsi"/>
          <w:b/>
          <w:color w:val="000000"/>
        </w:rPr>
        <w:t>member/enrollee</w:t>
      </w:r>
      <w:r w:rsidRPr="00146C6E">
        <w:rPr>
          <w:rFonts w:eastAsiaTheme="minorHAnsi"/>
          <w:b/>
          <w:color w:val="000000"/>
        </w:rPr>
        <w:t>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B604A85" w14:textId="77777777" w:rsidR="00DD6ADB" w:rsidRPr="00146C6E" w:rsidRDefault="00DD6ADB" w:rsidP="00146C6E">
      <w:pPr>
        <w:rPr>
          <w:rFonts w:eastAsiaTheme="minorHAnsi"/>
        </w:rPr>
      </w:pPr>
    </w:p>
    <w:p w14:paraId="2817A9DC" w14:textId="0D753B52"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F41654">
        <w:rPr>
          <w:rFonts w:eastAsiaTheme="minorHAnsi"/>
          <w:b/>
          <w:bCs/>
          <w:color w:val="000000"/>
        </w:rPr>
        <w:t>member/enrollee</w:t>
      </w:r>
      <w:r w:rsidRPr="00146C6E">
        <w:rPr>
          <w:rFonts w:eastAsiaTheme="minorHAnsi"/>
          <w:b/>
          <w:bCs/>
          <w:color w:val="000000"/>
        </w:rPr>
        <w:t xml:space="preserve">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w:t>
      </w:r>
      <w:r w:rsidRPr="00146C6E">
        <w:rPr>
          <w:rFonts w:eastAsiaTheme="minorHAnsi"/>
          <w:color w:val="000000"/>
        </w:rPr>
        <w:lastRenderedPageBreak/>
        <w:t xml:space="preserve">set forth in this clinical policy. Refer to the CMS website at </w:t>
      </w:r>
      <w:hyperlink r:id="rId21"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2EDC12B9" w14:textId="77777777" w:rsidR="00875924" w:rsidRPr="00146C6E" w:rsidRDefault="00875924" w:rsidP="00146C6E">
      <w:pPr>
        <w:rPr>
          <w:iCs/>
        </w:rPr>
      </w:pPr>
    </w:p>
    <w:p w14:paraId="2D598D92" w14:textId="53882787" w:rsidR="00C75BD4" w:rsidRDefault="00CB63DD" w:rsidP="00AF5490">
      <w:r>
        <w:rPr>
          <w:iCs/>
        </w:rPr>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08F8" w14:textId="77777777" w:rsidR="0084503D" w:rsidRDefault="0084503D">
      <w:r>
        <w:separator/>
      </w:r>
    </w:p>
  </w:endnote>
  <w:endnote w:type="continuationSeparator" w:id="0">
    <w:p w14:paraId="03C11A46" w14:textId="77777777" w:rsidR="0084503D" w:rsidRDefault="0084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E7AF" w14:textId="77777777" w:rsidR="00B73ECF" w:rsidRDefault="00B73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F90C" w14:textId="25FB51D6"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B73ECF">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B73ECF">
      <w:rPr>
        <w:b/>
        <w:bCs/>
        <w:noProof/>
      </w:rPr>
      <w:t>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34C2" w14:textId="57D2B6B6" w:rsidR="002C6AAB" w:rsidRDefault="002C6AAB" w:rsidP="002C6AAB">
    <w:pPr>
      <w:pStyle w:val="Footer"/>
      <w:jc w:val="center"/>
    </w:pPr>
    <w:r>
      <w:t xml:space="preserve">Page </w:t>
    </w:r>
    <w:r>
      <w:fldChar w:fldCharType="begin"/>
    </w:r>
    <w:r>
      <w:instrText xml:space="preserve"> PAGE   \* MERGEFORMAT </w:instrText>
    </w:r>
    <w:r>
      <w:fldChar w:fldCharType="separate"/>
    </w:r>
    <w:r w:rsidR="00B73ECF">
      <w:rPr>
        <w:noProof/>
      </w:rPr>
      <w:t>1</w:t>
    </w:r>
    <w:r>
      <w:fldChar w:fldCharType="end"/>
    </w:r>
    <w:r>
      <w:t xml:space="preserve"> of </w:t>
    </w:r>
    <w:r w:rsidR="006C62DC">
      <w:rPr>
        <w:noProof/>
      </w:rPr>
      <w:fldChar w:fldCharType="begin"/>
    </w:r>
    <w:r w:rsidR="006C62DC">
      <w:rPr>
        <w:noProof/>
      </w:rPr>
      <w:instrText xml:space="preserve"> NUMPAGES   \* MERGEFORMAT </w:instrText>
    </w:r>
    <w:r w:rsidR="006C62DC">
      <w:rPr>
        <w:noProof/>
      </w:rPr>
      <w:fldChar w:fldCharType="separate"/>
    </w:r>
    <w:r w:rsidR="00B73ECF">
      <w:rPr>
        <w:noProof/>
      </w:rPr>
      <w:t>8</w:t>
    </w:r>
    <w:r w:rsidR="006C62D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F50F" w14:textId="77777777" w:rsidR="0084503D" w:rsidRDefault="0084503D">
      <w:r>
        <w:separator/>
      </w:r>
    </w:p>
  </w:footnote>
  <w:footnote w:type="continuationSeparator" w:id="0">
    <w:p w14:paraId="1B75D82D" w14:textId="77777777" w:rsidR="0084503D" w:rsidRDefault="0084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B05B" w14:textId="77777777" w:rsidR="00B73ECF" w:rsidRDefault="00B73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A89E"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72BFE99E" wp14:editId="4772550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7FCD9335" w14:textId="77C5C5F6" w:rsidR="00DD025A" w:rsidRPr="00B777AF" w:rsidRDefault="006B267A" w:rsidP="00B777AF">
    <w:pPr>
      <w:rPr>
        <w:color w:val="00548C"/>
      </w:rPr>
    </w:pPr>
    <w:r>
      <w:rPr>
        <w:rFonts w:ascii="Times New Roman Bold" w:hAnsi="Times New Roman Bold"/>
        <w:b/>
        <w:bCs/>
        <w:color w:val="00548C"/>
      </w:rPr>
      <w:t>Caudal or Interlaminar Epidural Steroid Injections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CAF2" w14:textId="77777777" w:rsidR="009135E0" w:rsidRDefault="00A20F73" w:rsidP="00B777AF">
    <w:pPr>
      <w:pStyle w:val="Header"/>
      <w:jc w:val="right"/>
    </w:pPr>
    <w:r>
      <w:rPr>
        <w:noProof/>
      </w:rPr>
      <w:drawing>
        <wp:inline distT="0" distB="0" distL="0" distR="0" wp14:anchorId="0833AB8F" wp14:editId="41493629">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F09"/>
    <w:multiLevelType w:val="hybridMultilevel"/>
    <w:tmpl w:val="917CBA3C"/>
    <w:lvl w:ilvl="0" w:tplc="0D4094CC">
      <w:start w:val="1"/>
      <w:numFmt w:val="bullet"/>
      <w:lvlText w:val=""/>
      <w:lvlJc w:val="left"/>
      <w:pPr>
        <w:ind w:left="1080" w:hanging="360"/>
      </w:pPr>
      <w:rPr>
        <w:rFonts w:ascii="Symbol" w:hAnsi="Symbol"/>
      </w:rPr>
    </w:lvl>
    <w:lvl w:ilvl="1" w:tplc="EDD6BB16">
      <w:start w:val="1"/>
      <w:numFmt w:val="bullet"/>
      <w:lvlText w:val=""/>
      <w:lvlJc w:val="left"/>
      <w:pPr>
        <w:ind w:left="1080" w:hanging="360"/>
      </w:pPr>
      <w:rPr>
        <w:rFonts w:ascii="Symbol" w:hAnsi="Symbol"/>
      </w:rPr>
    </w:lvl>
    <w:lvl w:ilvl="2" w:tplc="AE1AA944">
      <w:start w:val="1"/>
      <w:numFmt w:val="bullet"/>
      <w:lvlText w:val=""/>
      <w:lvlJc w:val="left"/>
      <w:pPr>
        <w:ind w:left="1080" w:hanging="360"/>
      </w:pPr>
      <w:rPr>
        <w:rFonts w:ascii="Symbol" w:hAnsi="Symbol"/>
      </w:rPr>
    </w:lvl>
    <w:lvl w:ilvl="3" w:tplc="32C4E188">
      <w:start w:val="1"/>
      <w:numFmt w:val="bullet"/>
      <w:lvlText w:val=""/>
      <w:lvlJc w:val="left"/>
      <w:pPr>
        <w:ind w:left="1080" w:hanging="360"/>
      </w:pPr>
      <w:rPr>
        <w:rFonts w:ascii="Symbol" w:hAnsi="Symbol"/>
      </w:rPr>
    </w:lvl>
    <w:lvl w:ilvl="4" w:tplc="D6F64210">
      <w:start w:val="1"/>
      <w:numFmt w:val="bullet"/>
      <w:lvlText w:val=""/>
      <w:lvlJc w:val="left"/>
      <w:pPr>
        <w:ind w:left="1080" w:hanging="360"/>
      </w:pPr>
      <w:rPr>
        <w:rFonts w:ascii="Symbol" w:hAnsi="Symbol"/>
      </w:rPr>
    </w:lvl>
    <w:lvl w:ilvl="5" w:tplc="DBC22418">
      <w:start w:val="1"/>
      <w:numFmt w:val="bullet"/>
      <w:lvlText w:val=""/>
      <w:lvlJc w:val="left"/>
      <w:pPr>
        <w:ind w:left="1080" w:hanging="360"/>
      </w:pPr>
      <w:rPr>
        <w:rFonts w:ascii="Symbol" w:hAnsi="Symbol"/>
      </w:rPr>
    </w:lvl>
    <w:lvl w:ilvl="6" w:tplc="2F08AC04">
      <w:start w:val="1"/>
      <w:numFmt w:val="bullet"/>
      <w:lvlText w:val=""/>
      <w:lvlJc w:val="left"/>
      <w:pPr>
        <w:ind w:left="1080" w:hanging="360"/>
      </w:pPr>
      <w:rPr>
        <w:rFonts w:ascii="Symbol" w:hAnsi="Symbol"/>
      </w:rPr>
    </w:lvl>
    <w:lvl w:ilvl="7" w:tplc="BAAC016C">
      <w:start w:val="1"/>
      <w:numFmt w:val="bullet"/>
      <w:lvlText w:val=""/>
      <w:lvlJc w:val="left"/>
      <w:pPr>
        <w:ind w:left="1080" w:hanging="360"/>
      </w:pPr>
      <w:rPr>
        <w:rFonts w:ascii="Symbol" w:hAnsi="Symbol"/>
      </w:rPr>
    </w:lvl>
    <w:lvl w:ilvl="8" w:tplc="0B123040">
      <w:start w:val="1"/>
      <w:numFmt w:val="bullet"/>
      <w:lvlText w:val=""/>
      <w:lvlJc w:val="left"/>
      <w:pPr>
        <w:ind w:left="1080" w:hanging="360"/>
      </w:pPr>
      <w:rPr>
        <w:rFonts w:ascii="Symbol" w:hAnsi="Symbol"/>
      </w:r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43EAA"/>
    <w:multiLevelType w:val="hybridMultilevel"/>
    <w:tmpl w:val="AB3CD060"/>
    <w:lvl w:ilvl="0" w:tplc="0F3CC3CA">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C3792"/>
    <w:multiLevelType w:val="hybridMultilevel"/>
    <w:tmpl w:val="4E5A69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02B61"/>
    <w:multiLevelType w:val="hybridMultilevel"/>
    <w:tmpl w:val="DD849442"/>
    <w:lvl w:ilvl="0" w:tplc="48961670">
      <w:start w:val="1"/>
      <w:numFmt w:val="upperLetter"/>
      <w:lvlText w:val="%1."/>
      <w:lvlJc w:val="left"/>
      <w:pPr>
        <w:ind w:left="720" w:hanging="360"/>
      </w:pPr>
      <w:rPr>
        <w:rFonts w:ascii="Times New Roman" w:eastAsia="Times New Roman" w:hAnsi="Times New Roman" w:cs="Times New Roman"/>
        <w:b/>
      </w:rPr>
    </w:lvl>
    <w:lvl w:ilvl="1" w:tplc="AC54C300">
      <w:start w:val="1"/>
      <w:numFmt w:val="upperLetter"/>
      <w:lvlText w:val="%2."/>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43275"/>
    <w:multiLevelType w:val="hybridMultilevel"/>
    <w:tmpl w:val="BFC8E5B4"/>
    <w:lvl w:ilvl="0" w:tplc="D8586666">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2C5D5D"/>
    <w:multiLevelType w:val="hybridMultilevel"/>
    <w:tmpl w:val="1286FBD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317B0"/>
    <w:multiLevelType w:val="hybridMultilevel"/>
    <w:tmpl w:val="E612C202"/>
    <w:lvl w:ilvl="0" w:tplc="AC54C300">
      <w:start w:val="1"/>
      <w:numFmt w:val="upperLetter"/>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24036"/>
    <w:multiLevelType w:val="hybridMultilevel"/>
    <w:tmpl w:val="546E7840"/>
    <w:lvl w:ilvl="0" w:tplc="C2FA86C4">
      <w:start w:val="1"/>
      <w:numFmt w:val="bullet"/>
      <w:lvlText w:val=""/>
      <w:lvlJc w:val="left"/>
      <w:pPr>
        <w:ind w:left="1080" w:hanging="360"/>
      </w:pPr>
      <w:rPr>
        <w:rFonts w:ascii="Symbol" w:hAnsi="Symbol"/>
      </w:rPr>
    </w:lvl>
    <w:lvl w:ilvl="1" w:tplc="738C4F92">
      <w:start w:val="1"/>
      <w:numFmt w:val="bullet"/>
      <w:lvlText w:val=""/>
      <w:lvlJc w:val="left"/>
      <w:pPr>
        <w:ind w:left="1080" w:hanging="360"/>
      </w:pPr>
      <w:rPr>
        <w:rFonts w:ascii="Symbol" w:hAnsi="Symbol"/>
      </w:rPr>
    </w:lvl>
    <w:lvl w:ilvl="2" w:tplc="0CF45666">
      <w:start w:val="1"/>
      <w:numFmt w:val="bullet"/>
      <w:lvlText w:val=""/>
      <w:lvlJc w:val="left"/>
      <w:pPr>
        <w:ind w:left="1080" w:hanging="360"/>
      </w:pPr>
      <w:rPr>
        <w:rFonts w:ascii="Symbol" w:hAnsi="Symbol"/>
      </w:rPr>
    </w:lvl>
    <w:lvl w:ilvl="3" w:tplc="F5D47D24">
      <w:start w:val="1"/>
      <w:numFmt w:val="bullet"/>
      <w:lvlText w:val=""/>
      <w:lvlJc w:val="left"/>
      <w:pPr>
        <w:ind w:left="1080" w:hanging="360"/>
      </w:pPr>
      <w:rPr>
        <w:rFonts w:ascii="Symbol" w:hAnsi="Symbol"/>
      </w:rPr>
    </w:lvl>
    <w:lvl w:ilvl="4" w:tplc="57D2ACA0">
      <w:start w:val="1"/>
      <w:numFmt w:val="bullet"/>
      <w:lvlText w:val=""/>
      <w:lvlJc w:val="left"/>
      <w:pPr>
        <w:ind w:left="1080" w:hanging="360"/>
      </w:pPr>
      <w:rPr>
        <w:rFonts w:ascii="Symbol" w:hAnsi="Symbol"/>
      </w:rPr>
    </w:lvl>
    <w:lvl w:ilvl="5" w:tplc="15AE259E">
      <w:start w:val="1"/>
      <w:numFmt w:val="bullet"/>
      <w:lvlText w:val=""/>
      <w:lvlJc w:val="left"/>
      <w:pPr>
        <w:ind w:left="1080" w:hanging="360"/>
      </w:pPr>
      <w:rPr>
        <w:rFonts w:ascii="Symbol" w:hAnsi="Symbol"/>
      </w:rPr>
    </w:lvl>
    <w:lvl w:ilvl="6" w:tplc="A49676E6">
      <w:start w:val="1"/>
      <w:numFmt w:val="bullet"/>
      <w:lvlText w:val=""/>
      <w:lvlJc w:val="left"/>
      <w:pPr>
        <w:ind w:left="1080" w:hanging="360"/>
      </w:pPr>
      <w:rPr>
        <w:rFonts w:ascii="Symbol" w:hAnsi="Symbol"/>
      </w:rPr>
    </w:lvl>
    <w:lvl w:ilvl="7" w:tplc="EFA06758">
      <w:start w:val="1"/>
      <w:numFmt w:val="bullet"/>
      <w:lvlText w:val=""/>
      <w:lvlJc w:val="left"/>
      <w:pPr>
        <w:ind w:left="1080" w:hanging="360"/>
      </w:pPr>
      <w:rPr>
        <w:rFonts w:ascii="Symbol" w:hAnsi="Symbol"/>
      </w:rPr>
    </w:lvl>
    <w:lvl w:ilvl="8" w:tplc="32D81770">
      <w:start w:val="1"/>
      <w:numFmt w:val="bullet"/>
      <w:lvlText w:val=""/>
      <w:lvlJc w:val="left"/>
      <w:pPr>
        <w:ind w:left="1080" w:hanging="360"/>
      </w:pPr>
      <w:rPr>
        <w:rFonts w:ascii="Symbol" w:hAnsi="Symbol"/>
      </w:rPr>
    </w:lvl>
  </w:abstractNum>
  <w:abstractNum w:abstractNumId="16" w15:restartNumberingAfterBreak="0">
    <w:nsid w:val="2F1867B3"/>
    <w:multiLevelType w:val="hybridMultilevel"/>
    <w:tmpl w:val="FA4E3AA8"/>
    <w:lvl w:ilvl="0" w:tplc="04090015">
      <w:start w:val="1"/>
      <w:numFmt w:val="upperLetter"/>
      <w:lvlText w:val="%1."/>
      <w:lvlJc w:val="left"/>
      <w:pPr>
        <w:ind w:left="810" w:hanging="360"/>
      </w:pPr>
      <w:rPr>
        <w:rFonts w:hint="default"/>
        <w:b w:val="0"/>
        <w:i w:val="0"/>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0CD6915"/>
    <w:multiLevelType w:val="hybridMultilevel"/>
    <w:tmpl w:val="4B9CF7D0"/>
    <w:lvl w:ilvl="0" w:tplc="F85809B2">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386E0755"/>
    <w:multiLevelType w:val="hybridMultilevel"/>
    <w:tmpl w:val="E668B7FA"/>
    <w:lvl w:ilvl="0" w:tplc="3FECA35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9F6542"/>
    <w:multiLevelType w:val="hybridMultilevel"/>
    <w:tmpl w:val="EBD84658"/>
    <w:lvl w:ilvl="0" w:tplc="F8488B96">
      <w:start w:val="1"/>
      <w:numFmt w:val="upperLetter"/>
      <w:lvlText w:val="%1."/>
      <w:lvlJc w:val="left"/>
      <w:pPr>
        <w:ind w:left="900" w:hanging="360"/>
      </w:pPr>
      <w:rPr>
        <w:rFonts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D796B"/>
    <w:multiLevelType w:val="hybridMultilevel"/>
    <w:tmpl w:val="C9A8EBD2"/>
    <w:lvl w:ilvl="0" w:tplc="04090001">
      <w:start w:val="1"/>
      <w:numFmt w:val="bullet"/>
      <w:lvlText w:val=""/>
      <w:lvlJc w:val="left"/>
      <w:pPr>
        <w:ind w:left="1170" w:hanging="360"/>
      </w:pPr>
      <w:rPr>
        <w:rFonts w:ascii="Symbol" w:hAnsi="Symbol" w:hint="default"/>
      </w:rPr>
    </w:lvl>
    <w:lvl w:ilvl="1" w:tplc="CA64FEA6">
      <w:start w:val="1"/>
      <w:numFmt w:val="lowerLetter"/>
      <w:lvlText w:val="%2."/>
      <w:lvlJc w:val="left"/>
      <w:pPr>
        <w:ind w:left="1440" w:hanging="360"/>
      </w:pPr>
      <w:rPr>
        <w:rFonts w:hint="default"/>
        <w:i w:val="0"/>
      </w:rPr>
    </w:lvl>
    <w:lvl w:ilvl="2" w:tplc="6F6294B2">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900332"/>
    <w:multiLevelType w:val="hybridMultilevel"/>
    <w:tmpl w:val="626C49F2"/>
    <w:lvl w:ilvl="0" w:tplc="333CCFD2">
      <w:start w:val="1"/>
      <w:numFmt w:val="bullet"/>
      <w:lvlText w:val=""/>
      <w:lvlJc w:val="left"/>
      <w:pPr>
        <w:ind w:left="1080" w:hanging="360"/>
      </w:pPr>
      <w:rPr>
        <w:rFonts w:ascii="Symbol" w:hAnsi="Symbol"/>
      </w:rPr>
    </w:lvl>
    <w:lvl w:ilvl="1" w:tplc="21CAB7AC">
      <w:start w:val="1"/>
      <w:numFmt w:val="bullet"/>
      <w:lvlText w:val=""/>
      <w:lvlJc w:val="left"/>
      <w:pPr>
        <w:ind w:left="1080" w:hanging="360"/>
      </w:pPr>
      <w:rPr>
        <w:rFonts w:ascii="Symbol" w:hAnsi="Symbol"/>
      </w:rPr>
    </w:lvl>
    <w:lvl w:ilvl="2" w:tplc="B5E0D426">
      <w:start w:val="1"/>
      <w:numFmt w:val="bullet"/>
      <w:lvlText w:val=""/>
      <w:lvlJc w:val="left"/>
      <w:pPr>
        <w:ind w:left="1080" w:hanging="360"/>
      </w:pPr>
      <w:rPr>
        <w:rFonts w:ascii="Symbol" w:hAnsi="Symbol"/>
      </w:rPr>
    </w:lvl>
    <w:lvl w:ilvl="3" w:tplc="4FA01D12">
      <w:start w:val="1"/>
      <w:numFmt w:val="bullet"/>
      <w:lvlText w:val=""/>
      <w:lvlJc w:val="left"/>
      <w:pPr>
        <w:ind w:left="1080" w:hanging="360"/>
      </w:pPr>
      <w:rPr>
        <w:rFonts w:ascii="Symbol" w:hAnsi="Symbol"/>
      </w:rPr>
    </w:lvl>
    <w:lvl w:ilvl="4" w:tplc="818C632A">
      <w:start w:val="1"/>
      <w:numFmt w:val="bullet"/>
      <w:lvlText w:val=""/>
      <w:lvlJc w:val="left"/>
      <w:pPr>
        <w:ind w:left="1080" w:hanging="360"/>
      </w:pPr>
      <w:rPr>
        <w:rFonts w:ascii="Symbol" w:hAnsi="Symbol"/>
      </w:rPr>
    </w:lvl>
    <w:lvl w:ilvl="5" w:tplc="B73C17E2">
      <w:start w:val="1"/>
      <w:numFmt w:val="bullet"/>
      <w:lvlText w:val=""/>
      <w:lvlJc w:val="left"/>
      <w:pPr>
        <w:ind w:left="1080" w:hanging="360"/>
      </w:pPr>
      <w:rPr>
        <w:rFonts w:ascii="Symbol" w:hAnsi="Symbol"/>
      </w:rPr>
    </w:lvl>
    <w:lvl w:ilvl="6" w:tplc="9104F39E">
      <w:start w:val="1"/>
      <w:numFmt w:val="bullet"/>
      <w:lvlText w:val=""/>
      <w:lvlJc w:val="left"/>
      <w:pPr>
        <w:ind w:left="1080" w:hanging="360"/>
      </w:pPr>
      <w:rPr>
        <w:rFonts w:ascii="Symbol" w:hAnsi="Symbol"/>
      </w:rPr>
    </w:lvl>
    <w:lvl w:ilvl="7" w:tplc="A3742380">
      <w:start w:val="1"/>
      <w:numFmt w:val="bullet"/>
      <w:lvlText w:val=""/>
      <w:lvlJc w:val="left"/>
      <w:pPr>
        <w:ind w:left="1080" w:hanging="360"/>
      </w:pPr>
      <w:rPr>
        <w:rFonts w:ascii="Symbol" w:hAnsi="Symbol"/>
      </w:rPr>
    </w:lvl>
    <w:lvl w:ilvl="8" w:tplc="37148774">
      <w:start w:val="1"/>
      <w:numFmt w:val="bullet"/>
      <w:lvlText w:val=""/>
      <w:lvlJc w:val="left"/>
      <w:pPr>
        <w:ind w:left="1080" w:hanging="360"/>
      </w:pPr>
      <w:rPr>
        <w:rFonts w:ascii="Symbol" w:hAnsi="Symbol"/>
      </w:rPr>
    </w:lvl>
  </w:abstractNum>
  <w:abstractNum w:abstractNumId="29"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D5A1C"/>
    <w:multiLevelType w:val="hybridMultilevel"/>
    <w:tmpl w:val="5896FE2A"/>
    <w:lvl w:ilvl="0" w:tplc="2978564C">
      <w:start w:val="1"/>
      <w:numFmt w:val="bullet"/>
      <w:lvlText w:val=""/>
      <w:lvlJc w:val="left"/>
      <w:pPr>
        <w:ind w:left="1080" w:hanging="360"/>
      </w:pPr>
      <w:rPr>
        <w:rFonts w:ascii="Symbol" w:hAnsi="Symbol"/>
      </w:rPr>
    </w:lvl>
    <w:lvl w:ilvl="1" w:tplc="250803DE">
      <w:start w:val="1"/>
      <w:numFmt w:val="bullet"/>
      <w:lvlText w:val=""/>
      <w:lvlJc w:val="left"/>
      <w:pPr>
        <w:ind w:left="1080" w:hanging="360"/>
      </w:pPr>
      <w:rPr>
        <w:rFonts w:ascii="Symbol" w:hAnsi="Symbol"/>
      </w:rPr>
    </w:lvl>
    <w:lvl w:ilvl="2" w:tplc="9AFE99F4">
      <w:start w:val="1"/>
      <w:numFmt w:val="bullet"/>
      <w:lvlText w:val=""/>
      <w:lvlJc w:val="left"/>
      <w:pPr>
        <w:ind w:left="1080" w:hanging="360"/>
      </w:pPr>
      <w:rPr>
        <w:rFonts w:ascii="Symbol" w:hAnsi="Symbol"/>
      </w:rPr>
    </w:lvl>
    <w:lvl w:ilvl="3" w:tplc="A3E04368">
      <w:start w:val="1"/>
      <w:numFmt w:val="bullet"/>
      <w:lvlText w:val=""/>
      <w:lvlJc w:val="left"/>
      <w:pPr>
        <w:ind w:left="1080" w:hanging="360"/>
      </w:pPr>
      <w:rPr>
        <w:rFonts w:ascii="Symbol" w:hAnsi="Symbol"/>
      </w:rPr>
    </w:lvl>
    <w:lvl w:ilvl="4" w:tplc="5862438C">
      <w:start w:val="1"/>
      <w:numFmt w:val="bullet"/>
      <w:lvlText w:val=""/>
      <w:lvlJc w:val="left"/>
      <w:pPr>
        <w:ind w:left="1080" w:hanging="360"/>
      </w:pPr>
      <w:rPr>
        <w:rFonts w:ascii="Symbol" w:hAnsi="Symbol"/>
      </w:rPr>
    </w:lvl>
    <w:lvl w:ilvl="5" w:tplc="E4763256">
      <w:start w:val="1"/>
      <w:numFmt w:val="bullet"/>
      <w:lvlText w:val=""/>
      <w:lvlJc w:val="left"/>
      <w:pPr>
        <w:ind w:left="1080" w:hanging="360"/>
      </w:pPr>
      <w:rPr>
        <w:rFonts w:ascii="Symbol" w:hAnsi="Symbol"/>
      </w:rPr>
    </w:lvl>
    <w:lvl w:ilvl="6" w:tplc="5E0C52A4">
      <w:start w:val="1"/>
      <w:numFmt w:val="bullet"/>
      <w:lvlText w:val=""/>
      <w:lvlJc w:val="left"/>
      <w:pPr>
        <w:ind w:left="1080" w:hanging="360"/>
      </w:pPr>
      <w:rPr>
        <w:rFonts w:ascii="Symbol" w:hAnsi="Symbol"/>
      </w:rPr>
    </w:lvl>
    <w:lvl w:ilvl="7" w:tplc="F0A6B94C">
      <w:start w:val="1"/>
      <w:numFmt w:val="bullet"/>
      <w:lvlText w:val=""/>
      <w:lvlJc w:val="left"/>
      <w:pPr>
        <w:ind w:left="1080" w:hanging="360"/>
      </w:pPr>
      <w:rPr>
        <w:rFonts w:ascii="Symbol" w:hAnsi="Symbol"/>
      </w:rPr>
    </w:lvl>
    <w:lvl w:ilvl="8" w:tplc="3CB8E3A6">
      <w:start w:val="1"/>
      <w:numFmt w:val="bullet"/>
      <w:lvlText w:val=""/>
      <w:lvlJc w:val="left"/>
      <w:pPr>
        <w:ind w:left="1080" w:hanging="360"/>
      </w:pPr>
      <w:rPr>
        <w:rFonts w:ascii="Symbol" w:hAnsi="Symbol"/>
      </w:rPr>
    </w:lvl>
  </w:abstractNum>
  <w:abstractNum w:abstractNumId="31"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C5321"/>
    <w:multiLevelType w:val="hybridMultilevel"/>
    <w:tmpl w:val="C1545C4E"/>
    <w:lvl w:ilvl="0" w:tplc="96828CF0">
      <w:start w:val="1"/>
      <w:numFmt w:val="bullet"/>
      <w:lvlText w:val=""/>
      <w:lvlJc w:val="left"/>
      <w:pPr>
        <w:ind w:left="1080" w:hanging="360"/>
      </w:pPr>
      <w:rPr>
        <w:rFonts w:ascii="Symbol" w:hAnsi="Symbol"/>
      </w:rPr>
    </w:lvl>
    <w:lvl w:ilvl="1" w:tplc="6BDA0E86">
      <w:start w:val="1"/>
      <w:numFmt w:val="bullet"/>
      <w:lvlText w:val=""/>
      <w:lvlJc w:val="left"/>
      <w:pPr>
        <w:ind w:left="1080" w:hanging="360"/>
      </w:pPr>
      <w:rPr>
        <w:rFonts w:ascii="Symbol" w:hAnsi="Symbol"/>
      </w:rPr>
    </w:lvl>
    <w:lvl w:ilvl="2" w:tplc="9FC6F5F0">
      <w:start w:val="1"/>
      <w:numFmt w:val="bullet"/>
      <w:lvlText w:val=""/>
      <w:lvlJc w:val="left"/>
      <w:pPr>
        <w:ind w:left="1080" w:hanging="360"/>
      </w:pPr>
      <w:rPr>
        <w:rFonts w:ascii="Symbol" w:hAnsi="Symbol"/>
      </w:rPr>
    </w:lvl>
    <w:lvl w:ilvl="3" w:tplc="7884BF22">
      <w:start w:val="1"/>
      <w:numFmt w:val="bullet"/>
      <w:lvlText w:val=""/>
      <w:lvlJc w:val="left"/>
      <w:pPr>
        <w:ind w:left="1080" w:hanging="360"/>
      </w:pPr>
      <w:rPr>
        <w:rFonts w:ascii="Symbol" w:hAnsi="Symbol"/>
      </w:rPr>
    </w:lvl>
    <w:lvl w:ilvl="4" w:tplc="2EB67FD4">
      <w:start w:val="1"/>
      <w:numFmt w:val="bullet"/>
      <w:lvlText w:val=""/>
      <w:lvlJc w:val="left"/>
      <w:pPr>
        <w:ind w:left="1080" w:hanging="360"/>
      </w:pPr>
      <w:rPr>
        <w:rFonts w:ascii="Symbol" w:hAnsi="Symbol"/>
      </w:rPr>
    </w:lvl>
    <w:lvl w:ilvl="5" w:tplc="7332C130">
      <w:start w:val="1"/>
      <w:numFmt w:val="bullet"/>
      <w:lvlText w:val=""/>
      <w:lvlJc w:val="left"/>
      <w:pPr>
        <w:ind w:left="1080" w:hanging="360"/>
      </w:pPr>
      <w:rPr>
        <w:rFonts w:ascii="Symbol" w:hAnsi="Symbol"/>
      </w:rPr>
    </w:lvl>
    <w:lvl w:ilvl="6" w:tplc="C3E4AD44">
      <w:start w:val="1"/>
      <w:numFmt w:val="bullet"/>
      <w:lvlText w:val=""/>
      <w:lvlJc w:val="left"/>
      <w:pPr>
        <w:ind w:left="1080" w:hanging="360"/>
      </w:pPr>
      <w:rPr>
        <w:rFonts w:ascii="Symbol" w:hAnsi="Symbol"/>
      </w:rPr>
    </w:lvl>
    <w:lvl w:ilvl="7" w:tplc="B30C59C2">
      <w:start w:val="1"/>
      <w:numFmt w:val="bullet"/>
      <w:lvlText w:val=""/>
      <w:lvlJc w:val="left"/>
      <w:pPr>
        <w:ind w:left="1080" w:hanging="360"/>
      </w:pPr>
      <w:rPr>
        <w:rFonts w:ascii="Symbol" w:hAnsi="Symbol"/>
      </w:rPr>
    </w:lvl>
    <w:lvl w:ilvl="8" w:tplc="EC2C0224">
      <w:start w:val="1"/>
      <w:numFmt w:val="bullet"/>
      <w:lvlText w:val=""/>
      <w:lvlJc w:val="left"/>
      <w:pPr>
        <w:ind w:left="1080" w:hanging="360"/>
      </w:pPr>
      <w:rPr>
        <w:rFonts w:ascii="Symbol" w:hAnsi="Symbol"/>
      </w:rPr>
    </w:lvl>
  </w:abstractNum>
  <w:abstractNum w:abstractNumId="33" w15:restartNumberingAfterBreak="0">
    <w:nsid w:val="68153589"/>
    <w:multiLevelType w:val="hybridMultilevel"/>
    <w:tmpl w:val="5336AEA0"/>
    <w:lvl w:ilvl="0" w:tplc="E384D2F4">
      <w:start w:val="1"/>
      <w:numFmt w:val="decimal"/>
      <w:lvlText w:val="%1."/>
      <w:lvlJc w:val="left"/>
      <w:pPr>
        <w:ind w:left="1170" w:hanging="360"/>
      </w:pPr>
      <w:rPr>
        <w:rFonts w:hint="default"/>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326C21"/>
    <w:multiLevelType w:val="hybridMultilevel"/>
    <w:tmpl w:val="4BF696B6"/>
    <w:lvl w:ilvl="0" w:tplc="698812BC">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946087048">
    <w:abstractNumId w:val="38"/>
  </w:num>
  <w:num w:numId="2" w16cid:durableId="1362705418">
    <w:abstractNumId w:val="1"/>
  </w:num>
  <w:num w:numId="3" w16cid:durableId="591815372">
    <w:abstractNumId w:val="14"/>
  </w:num>
  <w:num w:numId="4" w16cid:durableId="1297879515">
    <w:abstractNumId w:val="20"/>
  </w:num>
  <w:num w:numId="5" w16cid:durableId="120925206">
    <w:abstractNumId w:val="22"/>
  </w:num>
  <w:num w:numId="6" w16cid:durableId="1268392485">
    <w:abstractNumId w:val="31"/>
  </w:num>
  <w:num w:numId="7" w16cid:durableId="423690356">
    <w:abstractNumId w:val="34"/>
  </w:num>
  <w:num w:numId="8" w16cid:durableId="58989750">
    <w:abstractNumId w:val="3"/>
  </w:num>
  <w:num w:numId="9" w16cid:durableId="1611012398">
    <w:abstractNumId w:val="26"/>
  </w:num>
  <w:num w:numId="10" w16cid:durableId="56786856">
    <w:abstractNumId w:val="12"/>
  </w:num>
  <w:num w:numId="11" w16cid:durableId="1354113479">
    <w:abstractNumId w:val="37"/>
  </w:num>
  <w:num w:numId="12" w16cid:durableId="1450589977">
    <w:abstractNumId w:val="19"/>
  </w:num>
  <w:num w:numId="13" w16cid:durableId="1745297692">
    <w:abstractNumId w:val="18"/>
  </w:num>
  <w:num w:numId="14" w16cid:durableId="895555910">
    <w:abstractNumId w:val="7"/>
  </w:num>
  <w:num w:numId="15" w16cid:durableId="71239204">
    <w:abstractNumId w:val="13"/>
  </w:num>
  <w:num w:numId="16" w16cid:durableId="506210663">
    <w:abstractNumId w:val="35"/>
  </w:num>
  <w:num w:numId="17" w16cid:durableId="1445151729">
    <w:abstractNumId w:val="27"/>
  </w:num>
  <w:num w:numId="18" w16cid:durableId="1839686680">
    <w:abstractNumId w:val="23"/>
  </w:num>
  <w:num w:numId="19" w16cid:durableId="1922834731">
    <w:abstractNumId w:val="10"/>
  </w:num>
  <w:num w:numId="20" w16cid:durableId="2121492737">
    <w:abstractNumId w:val="6"/>
  </w:num>
  <w:num w:numId="21" w16cid:durableId="975721981">
    <w:abstractNumId w:val="29"/>
  </w:num>
  <w:num w:numId="22" w16cid:durableId="1328628779">
    <w:abstractNumId w:val="25"/>
  </w:num>
  <w:num w:numId="23" w16cid:durableId="592125670">
    <w:abstractNumId w:val="5"/>
  </w:num>
  <w:num w:numId="24" w16cid:durableId="658509482">
    <w:abstractNumId w:val="36"/>
  </w:num>
  <w:num w:numId="25" w16cid:durableId="1283657223">
    <w:abstractNumId w:val="16"/>
  </w:num>
  <w:num w:numId="26" w16cid:durableId="1670477561">
    <w:abstractNumId w:val="2"/>
  </w:num>
  <w:num w:numId="27" w16cid:durableId="1227300527">
    <w:abstractNumId w:val="17"/>
  </w:num>
  <w:num w:numId="28" w16cid:durableId="139542457">
    <w:abstractNumId w:val="21"/>
  </w:num>
  <w:num w:numId="29" w16cid:durableId="382561374">
    <w:abstractNumId w:val="4"/>
  </w:num>
  <w:num w:numId="30" w16cid:durableId="1489862506">
    <w:abstractNumId w:val="11"/>
  </w:num>
  <w:num w:numId="31" w16cid:durableId="1756440292">
    <w:abstractNumId w:val="9"/>
  </w:num>
  <w:num w:numId="32" w16cid:durableId="1500463170">
    <w:abstractNumId w:val="8"/>
  </w:num>
  <w:num w:numId="33" w16cid:durableId="2060085438">
    <w:abstractNumId w:val="33"/>
  </w:num>
  <w:num w:numId="34" w16cid:durableId="905186568">
    <w:abstractNumId w:val="24"/>
  </w:num>
  <w:num w:numId="35" w16cid:durableId="1051921061">
    <w:abstractNumId w:val="32"/>
  </w:num>
  <w:num w:numId="36" w16cid:durableId="69887399">
    <w:abstractNumId w:val="30"/>
  </w:num>
  <w:num w:numId="37" w16cid:durableId="812673563">
    <w:abstractNumId w:val="0"/>
  </w:num>
  <w:num w:numId="38" w16cid:durableId="934901678">
    <w:abstractNumId w:val="15"/>
  </w:num>
  <w:num w:numId="39" w16cid:durableId="19828030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345"/>
    <w:rsid w:val="0000147B"/>
    <w:rsid w:val="0000426F"/>
    <w:rsid w:val="00006339"/>
    <w:rsid w:val="00007E4E"/>
    <w:rsid w:val="0001365F"/>
    <w:rsid w:val="00017A0C"/>
    <w:rsid w:val="0002019C"/>
    <w:rsid w:val="0002668E"/>
    <w:rsid w:val="00032D3F"/>
    <w:rsid w:val="00035B7E"/>
    <w:rsid w:val="00043670"/>
    <w:rsid w:val="000465DE"/>
    <w:rsid w:val="0004733E"/>
    <w:rsid w:val="000501DA"/>
    <w:rsid w:val="0005393D"/>
    <w:rsid w:val="00054CD4"/>
    <w:rsid w:val="00057A33"/>
    <w:rsid w:val="00060509"/>
    <w:rsid w:val="00067B83"/>
    <w:rsid w:val="00082F9F"/>
    <w:rsid w:val="00083740"/>
    <w:rsid w:val="00083E30"/>
    <w:rsid w:val="00087FEB"/>
    <w:rsid w:val="0009355B"/>
    <w:rsid w:val="00094136"/>
    <w:rsid w:val="000968A8"/>
    <w:rsid w:val="000A235A"/>
    <w:rsid w:val="000B5D4F"/>
    <w:rsid w:val="000C52B1"/>
    <w:rsid w:val="000D0C07"/>
    <w:rsid w:val="000E1A51"/>
    <w:rsid w:val="000E4C2F"/>
    <w:rsid w:val="000F10C2"/>
    <w:rsid w:val="000F4AB4"/>
    <w:rsid w:val="00107038"/>
    <w:rsid w:val="001148A8"/>
    <w:rsid w:val="001325A9"/>
    <w:rsid w:val="001325E1"/>
    <w:rsid w:val="0013768B"/>
    <w:rsid w:val="00142D41"/>
    <w:rsid w:val="00142E58"/>
    <w:rsid w:val="0014316D"/>
    <w:rsid w:val="0014557C"/>
    <w:rsid w:val="00146AE2"/>
    <w:rsid w:val="00146C6E"/>
    <w:rsid w:val="00154D7C"/>
    <w:rsid w:val="0015530B"/>
    <w:rsid w:val="0016052F"/>
    <w:rsid w:val="00160A91"/>
    <w:rsid w:val="00161B29"/>
    <w:rsid w:val="001624EC"/>
    <w:rsid w:val="00170B14"/>
    <w:rsid w:val="00177256"/>
    <w:rsid w:val="001818D7"/>
    <w:rsid w:val="00182B1C"/>
    <w:rsid w:val="00185104"/>
    <w:rsid w:val="00186F78"/>
    <w:rsid w:val="00192747"/>
    <w:rsid w:val="001962BE"/>
    <w:rsid w:val="00196689"/>
    <w:rsid w:val="001966AC"/>
    <w:rsid w:val="00196935"/>
    <w:rsid w:val="0019746F"/>
    <w:rsid w:val="001A6A4E"/>
    <w:rsid w:val="001A7FDD"/>
    <w:rsid w:val="001B50A4"/>
    <w:rsid w:val="001B5C82"/>
    <w:rsid w:val="001C57D3"/>
    <w:rsid w:val="001D0D34"/>
    <w:rsid w:val="001D2177"/>
    <w:rsid w:val="001D70D4"/>
    <w:rsid w:val="001D7F5E"/>
    <w:rsid w:val="001E4CF1"/>
    <w:rsid w:val="001E7D12"/>
    <w:rsid w:val="001F0A30"/>
    <w:rsid w:val="001F49EB"/>
    <w:rsid w:val="002001EF"/>
    <w:rsid w:val="00204D95"/>
    <w:rsid w:val="002057B0"/>
    <w:rsid w:val="00205A0D"/>
    <w:rsid w:val="00206582"/>
    <w:rsid w:val="0020675F"/>
    <w:rsid w:val="00206C5E"/>
    <w:rsid w:val="002128C1"/>
    <w:rsid w:val="00215779"/>
    <w:rsid w:val="00216A64"/>
    <w:rsid w:val="00217F04"/>
    <w:rsid w:val="00220736"/>
    <w:rsid w:val="00222BEA"/>
    <w:rsid w:val="00223DF9"/>
    <w:rsid w:val="00230FE4"/>
    <w:rsid w:val="00231D4B"/>
    <w:rsid w:val="00233651"/>
    <w:rsid w:val="00234D4A"/>
    <w:rsid w:val="002441DF"/>
    <w:rsid w:val="00253AFF"/>
    <w:rsid w:val="00254020"/>
    <w:rsid w:val="0025452A"/>
    <w:rsid w:val="00261E67"/>
    <w:rsid w:val="00274002"/>
    <w:rsid w:val="002805F5"/>
    <w:rsid w:val="00285997"/>
    <w:rsid w:val="00295F28"/>
    <w:rsid w:val="002A39EE"/>
    <w:rsid w:val="002A754A"/>
    <w:rsid w:val="002B0582"/>
    <w:rsid w:val="002B3B3A"/>
    <w:rsid w:val="002B4965"/>
    <w:rsid w:val="002C1259"/>
    <w:rsid w:val="002C25E8"/>
    <w:rsid w:val="002C2869"/>
    <w:rsid w:val="002C6AAB"/>
    <w:rsid w:val="002C77C2"/>
    <w:rsid w:val="002D019A"/>
    <w:rsid w:val="002D04E9"/>
    <w:rsid w:val="002D14DE"/>
    <w:rsid w:val="002D168E"/>
    <w:rsid w:val="002D2472"/>
    <w:rsid w:val="002D4A2F"/>
    <w:rsid w:val="002E3513"/>
    <w:rsid w:val="002E48E7"/>
    <w:rsid w:val="002E4CC0"/>
    <w:rsid w:val="002E5306"/>
    <w:rsid w:val="002F1601"/>
    <w:rsid w:val="002F359B"/>
    <w:rsid w:val="002F4066"/>
    <w:rsid w:val="0030073B"/>
    <w:rsid w:val="00312B31"/>
    <w:rsid w:val="003140D6"/>
    <w:rsid w:val="00327C28"/>
    <w:rsid w:val="0033430D"/>
    <w:rsid w:val="00336E37"/>
    <w:rsid w:val="003458A9"/>
    <w:rsid w:val="00350F22"/>
    <w:rsid w:val="0037143A"/>
    <w:rsid w:val="00372660"/>
    <w:rsid w:val="003840CC"/>
    <w:rsid w:val="00386A91"/>
    <w:rsid w:val="003954F0"/>
    <w:rsid w:val="003A1857"/>
    <w:rsid w:val="003A2155"/>
    <w:rsid w:val="003B5E8E"/>
    <w:rsid w:val="003C1E66"/>
    <w:rsid w:val="003C45DC"/>
    <w:rsid w:val="003D5944"/>
    <w:rsid w:val="003D624B"/>
    <w:rsid w:val="003D7BE7"/>
    <w:rsid w:val="003E13B5"/>
    <w:rsid w:val="003E3D6F"/>
    <w:rsid w:val="003E700F"/>
    <w:rsid w:val="003F1920"/>
    <w:rsid w:val="003F3D44"/>
    <w:rsid w:val="00401C9E"/>
    <w:rsid w:val="00405BD8"/>
    <w:rsid w:val="00415B6A"/>
    <w:rsid w:val="00435472"/>
    <w:rsid w:val="0046392D"/>
    <w:rsid w:val="00472342"/>
    <w:rsid w:val="00472C6C"/>
    <w:rsid w:val="00480C09"/>
    <w:rsid w:val="004857D0"/>
    <w:rsid w:val="00493710"/>
    <w:rsid w:val="00496BCF"/>
    <w:rsid w:val="00497AED"/>
    <w:rsid w:val="004C18F4"/>
    <w:rsid w:val="004C6FD4"/>
    <w:rsid w:val="004C7108"/>
    <w:rsid w:val="004D2096"/>
    <w:rsid w:val="004E09A7"/>
    <w:rsid w:val="004E0B99"/>
    <w:rsid w:val="004E59B2"/>
    <w:rsid w:val="004E7257"/>
    <w:rsid w:val="004F17E9"/>
    <w:rsid w:val="004F6394"/>
    <w:rsid w:val="00505830"/>
    <w:rsid w:val="00505A7F"/>
    <w:rsid w:val="005103B8"/>
    <w:rsid w:val="00513848"/>
    <w:rsid w:val="00515149"/>
    <w:rsid w:val="00524787"/>
    <w:rsid w:val="00524984"/>
    <w:rsid w:val="00527727"/>
    <w:rsid w:val="00531A9D"/>
    <w:rsid w:val="00540122"/>
    <w:rsid w:val="005423D4"/>
    <w:rsid w:val="005431D7"/>
    <w:rsid w:val="005439CC"/>
    <w:rsid w:val="00543C66"/>
    <w:rsid w:val="005537B0"/>
    <w:rsid w:val="005546AB"/>
    <w:rsid w:val="00556E30"/>
    <w:rsid w:val="0056097C"/>
    <w:rsid w:val="0056386B"/>
    <w:rsid w:val="005677E2"/>
    <w:rsid w:val="005776FD"/>
    <w:rsid w:val="00577AC0"/>
    <w:rsid w:val="00582258"/>
    <w:rsid w:val="00583376"/>
    <w:rsid w:val="00585511"/>
    <w:rsid w:val="0058667D"/>
    <w:rsid w:val="00586F2D"/>
    <w:rsid w:val="00594FE3"/>
    <w:rsid w:val="005B6D63"/>
    <w:rsid w:val="005B6DF2"/>
    <w:rsid w:val="005C06DB"/>
    <w:rsid w:val="005C17DF"/>
    <w:rsid w:val="005C3607"/>
    <w:rsid w:val="005D009F"/>
    <w:rsid w:val="005D32E4"/>
    <w:rsid w:val="005D5146"/>
    <w:rsid w:val="005D7B81"/>
    <w:rsid w:val="005D7C96"/>
    <w:rsid w:val="005E0D33"/>
    <w:rsid w:val="005E411E"/>
    <w:rsid w:val="005F0433"/>
    <w:rsid w:val="005F051C"/>
    <w:rsid w:val="00600AE2"/>
    <w:rsid w:val="00606337"/>
    <w:rsid w:val="00606B7E"/>
    <w:rsid w:val="00610D71"/>
    <w:rsid w:val="00613962"/>
    <w:rsid w:val="00614283"/>
    <w:rsid w:val="0063182D"/>
    <w:rsid w:val="006327E3"/>
    <w:rsid w:val="00636A4A"/>
    <w:rsid w:val="00637AFC"/>
    <w:rsid w:val="00641439"/>
    <w:rsid w:val="00641AE3"/>
    <w:rsid w:val="006474BB"/>
    <w:rsid w:val="0065131D"/>
    <w:rsid w:val="006529ED"/>
    <w:rsid w:val="006664E9"/>
    <w:rsid w:val="00666C45"/>
    <w:rsid w:val="00666F03"/>
    <w:rsid w:val="00667B85"/>
    <w:rsid w:val="006749B7"/>
    <w:rsid w:val="00694BBD"/>
    <w:rsid w:val="006B267A"/>
    <w:rsid w:val="006B31DA"/>
    <w:rsid w:val="006B5765"/>
    <w:rsid w:val="006B7497"/>
    <w:rsid w:val="006C62DC"/>
    <w:rsid w:val="006C70EB"/>
    <w:rsid w:val="006C74DF"/>
    <w:rsid w:val="006D2B54"/>
    <w:rsid w:val="006D5822"/>
    <w:rsid w:val="006D67C1"/>
    <w:rsid w:val="006E0FCD"/>
    <w:rsid w:val="006E44BD"/>
    <w:rsid w:val="006F03DE"/>
    <w:rsid w:val="006F262B"/>
    <w:rsid w:val="006F2F34"/>
    <w:rsid w:val="006F3950"/>
    <w:rsid w:val="006F4D70"/>
    <w:rsid w:val="006F4DC3"/>
    <w:rsid w:val="006F613A"/>
    <w:rsid w:val="00703755"/>
    <w:rsid w:val="007042FE"/>
    <w:rsid w:val="00705CF7"/>
    <w:rsid w:val="00705D49"/>
    <w:rsid w:val="00711492"/>
    <w:rsid w:val="00714B06"/>
    <w:rsid w:val="00714EF4"/>
    <w:rsid w:val="00715125"/>
    <w:rsid w:val="007163E2"/>
    <w:rsid w:val="007207B2"/>
    <w:rsid w:val="00724A99"/>
    <w:rsid w:val="00733A5C"/>
    <w:rsid w:val="00737F26"/>
    <w:rsid w:val="00740202"/>
    <w:rsid w:val="00740A1A"/>
    <w:rsid w:val="00744250"/>
    <w:rsid w:val="00746EDE"/>
    <w:rsid w:val="0075121E"/>
    <w:rsid w:val="00767BED"/>
    <w:rsid w:val="00770CC7"/>
    <w:rsid w:val="00770D10"/>
    <w:rsid w:val="007764CE"/>
    <w:rsid w:val="0078359B"/>
    <w:rsid w:val="0079012C"/>
    <w:rsid w:val="00791B8C"/>
    <w:rsid w:val="0079754D"/>
    <w:rsid w:val="007A0BCC"/>
    <w:rsid w:val="007A0F2E"/>
    <w:rsid w:val="007B07AE"/>
    <w:rsid w:val="007B18F3"/>
    <w:rsid w:val="007B50D0"/>
    <w:rsid w:val="007B75EE"/>
    <w:rsid w:val="007C546F"/>
    <w:rsid w:val="007C5B3F"/>
    <w:rsid w:val="007D08AA"/>
    <w:rsid w:val="007D4801"/>
    <w:rsid w:val="007D7D25"/>
    <w:rsid w:val="007E5759"/>
    <w:rsid w:val="007F1F19"/>
    <w:rsid w:val="007F2A99"/>
    <w:rsid w:val="008024FC"/>
    <w:rsid w:val="00804032"/>
    <w:rsid w:val="008045AC"/>
    <w:rsid w:val="00810379"/>
    <w:rsid w:val="008201F6"/>
    <w:rsid w:val="00825229"/>
    <w:rsid w:val="00833817"/>
    <w:rsid w:val="00841D8B"/>
    <w:rsid w:val="00841EDC"/>
    <w:rsid w:val="0084503D"/>
    <w:rsid w:val="0084784B"/>
    <w:rsid w:val="00854961"/>
    <w:rsid w:val="00857C10"/>
    <w:rsid w:val="00867345"/>
    <w:rsid w:val="008709F1"/>
    <w:rsid w:val="0087411E"/>
    <w:rsid w:val="00874FE0"/>
    <w:rsid w:val="00875924"/>
    <w:rsid w:val="00877EC7"/>
    <w:rsid w:val="00882E87"/>
    <w:rsid w:val="00885DA6"/>
    <w:rsid w:val="0088636E"/>
    <w:rsid w:val="00896E94"/>
    <w:rsid w:val="008A554E"/>
    <w:rsid w:val="008B0705"/>
    <w:rsid w:val="008B2EAB"/>
    <w:rsid w:val="008B4AA8"/>
    <w:rsid w:val="008C0A01"/>
    <w:rsid w:val="008C1FA0"/>
    <w:rsid w:val="008C5E4D"/>
    <w:rsid w:val="008C6B3A"/>
    <w:rsid w:val="008C71B0"/>
    <w:rsid w:val="008D167C"/>
    <w:rsid w:val="008D5A89"/>
    <w:rsid w:val="008E3514"/>
    <w:rsid w:val="008E570F"/>
    <w:rsid w:val="008F6389"/>
    <w:rsid w:val="008F677A"/>
    <w:rsid w:val="00901211"/>
    <w:rsid w:val="00901EB7"/>
    <w:rsid w:val="00902C9B"/>
    <w:rsid w:val="009135E0"/>
    <w:rsid w:val="00915533"/>
    <w:rsid w:val="00915CA4"/>
    <w:rsid w:val="00921CB5"/>
    <w:rsid w:val="00926037"/>
    <w:rsid w:val="00926353"/>
    <w:rsid w:val="00927E86"/>
    <w:rsid w:val="00932CEE"/>
    <w:rsid w:val="0093779C"/>
    <w:rsid w:val="00950820"/>
    <w:rsid w:val="00960372"/>
    <w:rsid w:val="00961071"/>
    <w:rsid w:val="00963062"/>
    <w:rsid w:val="009735FA"/>
    <w:rsid w:val="00977ECA"/>
    <w:rsid w:val="00982180"/>
    <w:rsid w:val="009928B2"/>
    <w:rsid w:val="009935BC"/>
    <w:rsid w:val="009943AA"/>
    <w:rsid w:val="009A44B4"/>
    <w:rsid w:val="009B1C36"/>
    <w:rsid w:val="009B44F0"/>
    <w:rsid w:val="009B7850"/>
    <w:rsid w:val="009C0C70"/>
    <w:rsid w:val="009C3A48"/>
    <w:rsid w:val="009C61B2"/>
    <w:rsid w:val="009D0303"/>
    <w:rsid w:val="009D5928"/>
    <w:rsid w:val="009D739F"/>
    <w:rsid w:val="009E3D5A"/>
    <w:rsid w:val="009E54DC"/>
    <w:rsid w:val="009E6F29"/>
    <w:rsid w:val="009F5532"/>
    <w:rsid w:val="00A02258"/>
    <w:rsid w:val="00A06953"/>
    <w:rsid w:val="00A071B8"/>
    <w:rsid w:val="00A10363"/>
    <w:rsid w:val="00A1104C"/>
    <w:rsid w:val="00A17A2F"/>
    <w:rsid w:val="00A17E89"/>
    <w:rsid w:val="00A20F73"/>
    <w:rsid w:val="00A41969"/>
    <w:rsid w:val="00A46EDB"/>
    <w:rsid w:val="00A533B9"/>
    <w:rsid w:val="00A558E8"/>
    <w:rsid w:val="00A60413"/>
    <w:rsid w:val="00A6711C"/>
    <w:rsid w:val="00A72DA0"/>
    <w:rsid w:val="00A74031"/>
    <w:rsid w:val="00A775BC"/>
    <w:rsid w:val="00A83658"/>
    <w:rsid w:val="00A85489"/>
    <w:rsid w:val="00A85546"/>
    <w:rsid w:val="00A87B1F"/>
    <w:rsid w:val="00A97C66"/>
    <w:rsid w:val="00AA044E"/>
    <w:rsid w:val="00AA2A26"/>
    <w:rsid w:val="00AA336E"/>
    <w:rsid w:val="00AA428E"/>
    <w:rsid w:val="00AB4333"/>
    <w:rsid w:val="00AB5EDD"/>
    <w:rsid w:val="00AC3506"/>
    <w:rsid w:val="00AD1AA6"/>
    <w:rsid w:val="00AD2758"/>
    <w:rsid w:val="00AF1F2A"/>
    <w:rsid w:val="00AF30EF"/>
    <w:rsid w:val="00AF5490"/>
    <w:rsid w:val="00B05E99"/>
    <w:rsid w:val="00B155A2"/>
    <w:rsid w:val="00B1651E"/>
    <w:rsid w:val="00B208F3"/>
    <w:rsid w:val="00B26C29"/>
    <w:rsid w:val="00B27B53"/>
    <w:rsid w:val="00B31D54"/>
    <w:rsid w:val="00B31F52"/>
    <w:rsid w:val="00B42AE2"/>
    <w:rsid w:val="00B4633B"/>
    <w:rsid w:val="00B50F7C"/>
    <w:rsid w:val="00B5130F"/>
    <w:rsid w:val="00B55B2F"/>
    <w:rsid w:val="00B61487"/>
    <w:rsid w:val="00B64762"/>
    <w:rsid w:val="00B70BD5"/>
    <w:rsid w:val="00B73ECF"/>
    <w:rsid w:val="00B7592B"/>
    <w:rsid w:val="00B777AF"/>
    <w:rsid w:val="00B80605"/>
    <w:rsid w:val="00B8063A"/>
    <w:rsid w:val="00B80D8D"/>
    <w:rsid w:val="00B81789"/>
    <w:rsid w:val="00B82517"/>
    <w:rsid w:val="00B84C03"/>
    <w:rsid w:val="00B92DF1"/>
    <w:rsid w:val="00BA0DFE"/>
    <w:rsid w:val="00BA1557"/>
    <w:rsid w:val="00BA3F85"/>
    <w:rsid w:val="00BB1CAF"/>
    <w:rsid w:val="00BB4A9F"/>
    <w:rsid w:val="00BF4150"/>
    <w:rsid w:val="00BF5EE1"/>
    <w:rsid w:val="00BF607F"/>
    <w:rsid w:val="00C01AA6"/>
    <w:rsid w:val="00C06257"/>
    <w:rsid w:val="00C079B0"/>
    <w:rsid w:val="00C13A33"/>
    <w:rsid w:val="00C14250"/>
    <w:rsid w:val="00C2297C"/>
    <w:rsid w:val="00C24275"/>
    <w:rsid w:val="00C2788C"/>
    <w:rsid w:val="00C33FF9"/>
    <w:rsid w:val="00C37D6A"/>
    <w:rsid w:val="00C419C7"/>
    <w:rsid w:val="00C445DA"/>
    <w:rsid w:val="00C44BD0"/>
    <w:rsid w:val="00C50D98"/>
    <w:rsid w:val="00C55AB2"/>
    <w:rsid w:val="00C646D2"/>
    <w:rsid w:val="00C64BB4"/>
    <w:rsid w:val="00C67730"/>
    <w:rsid w:val="00C7135A"/>
    <w:rsid w:val="00C7196A"/>
    <w:rsid w:val="00C73CF5"/>
    <w:rsid w:val="00C75BD4"/>
    <w:rsid w:val="00C76CC7"/>
    <w:rsid w:val="00C815CD"/>
    <w:rsid w:val="00C81B11"/>
    <w:rsid w:val="00C9420B"/>
    <w:rsid w:val="00C96847"/>
    <w:rsid w:val="00CA2435"/>
    <w:rsid w:val="00CA2908"/>
    <w:rsid w:val="00CA49F5"/>
    <w:rsid w:val="00CA521C"/>
    <w:rsid w:val="00CA53B9"/>
    <w:rsid w:val="00CA5AF3"/>
    <w:rsid w:val="00CA5C08"/>
    <w:rsid w:val="00CA638D"/>
    <w:rsid w:val="00CA6545"/>
    <w:rsid w:val="00CB3C44"/>
    <w:rsid w:val="00CB4303"/>
    <w:rsid w:val="00CB63DD"/>
    <w:rsid w:val="00CC03BD"/>
    <w:rsid w:val="00CC1F9C"/>
    <w:rsid w:val="00CD321B"/>
    <w:rsid w:val="00CD3A16"/>
    <w:rsid w:val="00CD55DA"/>
    <w:rsid w:val="00CD7A56"/>
    <w:rsid w:val="00CF0A91"/>
    <w:rsid w:val="00CF2624"/>
    <w:rsid w:val="00CF56F0"/>
    <w:rsid w:val="00D0742A"/>
    <w:rsid w:val="00D07D53"/>
    <w:rsid w:val="00D13942"/>
    <w:rsid w:val="00D22A8F"/>
    <w:rsid w:val="00D25223"/>
    <w:rsid w:val="00D2618C"/>
    <w:rsid w:val="00D27064"/>
    <w:rsid w:val="00D36448"/>
    <w:rsid w:val="00D550ED"/>
    <w:rsid w:val="00D574CA"/>
    <w:rsid w:val="00D60E31"/>
    <w:rsid w:val="00D60E98"/>
    <w:rsid w:val="00D61BFF"/>
    <w:rsid w:val="00D706CF"/>
    <w:rsid w:val="00D71BC4"/>
    <w:rsid w:val="00D71CF6"/>
    <w:rsid w:val="00D945D4"/>
    <w:rsid w:val="00D95243"/>
    <w:rsid w:val="00D970F3"/>
    <w:rsid w:val="00DB1DE9"/>
    <w:rsid w:val="00DB6AA1"/>
    <w:rsid w:val="00DB7073"/>
    <w:rsid w:val="00DD025A"/>
    <w:rsid w:val="00DD04E7"/>
    <w:rsid w:val="00DD36FC"/>
    <w:rsid w:val="00DD6ADB"/>
    <w:rsid w:val="00DD7D7A"/>
    <w:rsid w:val="00DE18E2"/>
    <w:rsid w:val="00DE2F96"/>
    <w:rsid w:val="00DF7AED"/>
    <w:rsid w:val="00DF7DE5"/>
    <w:rsid w:val="00E021AF"/>
    <w:rsid w:val="00E051CF"/>
    <w:rsid w:val="00E10458"/>
    <w:rsid w:val="00E1087B"/>
    <w:rsid w:val="00E139AE"/>
    <w:rsid w:val="00E14EBF"/>
    <w:rsid w:val="00E20C91"/>
    <w:rsid w:val="00E3091D"/>
    <w:rsid w:val="00E47FAD"/>
    <w:rsid w:val="00E5379E"/>
    <w:rsid w:val="00E63B62"/>
    <w:rsid w:val="00E66278"/>
    <w:rsid w:val="00E70F11"/>
    <w:rsid w:val="00E84C1D"/>
    <w:rsid w:val="00E878D2"/>
    <w:rsid w:val="00E91479"/>
    <w:rsid w:val="00E95614"/>
    <w:rsid w:val="00E97C17"/>
    <w:rsid w:val="00EA2DCC"/>
    <w:rsid w:val="00EA3809"/>
    <w:rsid w:val="00EA4C74"/>
    <w:rsid w:val="00EA635E"/>
    <w:rsid w:val="00EB2E34"/>
    <w:rsid w:val="00EB6E6C"/>
    <w:rsid w:val="00EC2A0F"/>
    <w:rsid w:val="00EC31A3"/>
    <w:rsid w:val="00EC7C9B"/>
    <w:rsid w:val="00ED0A0D"/>
    <w:rsid w:val="00EE77EF"/>
    <w:rsid w:val="00EE7C58"/>
    <w:rsid w:val="00F01F73"/>
    <w:rsid w:val="00F03DC0"/>
    <w:rsid w:val="00F103DA"/>
    <w:rsid w:val="00F10D4D"/>
    <w:rsid w:val="00F10DF2"/>
    <w:rsid w:val="00F17C3D"/>
    <w:rsid w:val="00F22A10"/>
    <w:rsid w:val="00F24FC6"/>
    <w:rsid w:val="00F25445"/>
    <w:rsid w:val="00F2704A"/>
    <w:rsid w:val="00F2705D"/>
    <w:rsid w:val="00F31F1E"/>
    <w:rsid w:val="00F41654"/>
    <w:rsid w:val="00F422E1"/>
    <w:rsid w:val="00F42FEA"/>
    <w:rsid w:val="00F47894"/>
    <w:rsid w:val="00F62FF5"/>
    <w:rsid w:val="00F67BBD"/>
    <w:rsid w:val="00F71F8E"/>
    <w:rsid w:val="00F74762"/>
    <w:rsid w:val="00F855FA"/>
    <w:rsid w:val="00F90945"/>
    <w:rsid w:val="00F922EF"/>
    <w:rsid w:val="00F92522"/>
    <w:rsid w:val="00F95133"/>
    <w:rsid w:val="00FA61E0"/>
    <w:rsid w:val="00FA6C11"/>
    <w:rsid w:val="00FA7E38"/>
    <w:rsid w:val="00FB0592"/>
    <w:rsid w:val="00FB139B"/>
    <w:rsid w:val="00FB2382"/>
    <w:rsid w:val="00FB3C7A"/>
    <w:rsid w:val="00FC49C9"/>
    <w:rsid w:val="00FD488C"/>
    <w:rsid w:val="00FD59AE"/>
    <w:rsid w:val="00FE06A8"/>
    <w:rsid w:val="00FE290A"/>
    <w:rsid w:val="00FF1350"/>
    <w:rsid w:val="00FF332D"/>
    <w:rsid w:val="00FF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CF06F"/>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paragraph" w:styleId="Revision">
    <w:name w:val="Revision"/>
    <w:hidden/>
    <w:uiPriority w:val="99"/>
    <w:semiHidden/>
    <w:rsid w:val="0002019C"/>
    <w:rPr>
      <w:sz w:val="24"/>
      <w:szCs w:val="24"/>
    </w:rPr>
  </w:style>
  <w:style w:type="character" w:styleId="UnresolvedMention">
    <w:name w:val="Unresolved Mention"/>
    <w:basedOn w:val="DefaultParagraphFont"/>
    <w:uiPriority w:val="99"/>
    <w:semiHidden/>
    <w:unhideWhenUsed/>
    <w:rsid w:val="00E7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1496">
      <w:bodyDiv w:val="1"/>
      <w:marLeft w:val="0"/>
      <w:marRight w:val="0"/>
      <w:marTop w:val="0"/>
      <w:marBottom w:val="0"/>
      <w:divBdr>
        <w:top w:val="none" w:sz="0" w:space="0" w:color="auto"/>
        <w:left w:val="none" w:sz="0" w:space="0" w:color="auto"/>
        <w:bottom w:val="none" w:sz="0" w:space="0" w:color="auto"/>
        <w:right w:val="none" w:sz="0" w:space="0" w:color="auto"/>
      </w:divBdr>
      <w:divsChild>
        <w:div w:id="37666800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38517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ainegeneral.org/app/files/public/6460f387-09dc-4968-b162-eee6121a1497/aaosbackpainguidelines.pdf" TargetMode="External"/><Relationship Id="rId3" Type="http://schemas.openxmlformats.org/officeDocument/2006/relationships/customXml" Target="../customXml/item3.xml"/><Relationship Id="rId21" Type="http://schemas.openxmlformats.org/officeDocument/2006/relationships/hyperlink" Target="http://www.cms.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uptoda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ptod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3561B-B79D-4BA5-84CC-A49D757AB8E7}">
  <ds:schemaRefs>
    <ds:schemaRef ds:uri="http://schemas.openxmlformats.org/officeDocument/2006/bibliography"/>
  </ds:schemaRefs>
</ds:datastoreItem>
</file>

<file path=customXml/itemProps2.xml><?xml version="1.0" encoding="utf-8"?>
<ds:datastoreItem xmlns:ds="http://schemas.openxmlformats.org/officeDocument/2006/customXml" ds:itemID="{034E40E4-A561-490B-96EB-210A0C9C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E0CAF3-C616-4F49-856B-A3B788D0F090}">
  <ds:schemaRefs>
    <ds:schemaRef ds:uri="http://schemas.microsoft.com/sharepoint/v3/contenttype/forms"/>
  </ds:schemaRefs>
</ds:datastoreItem>
</file>

<file path=customXml/itemProps4.xml><?xml version="1.0" encoding="utf-8"?>
<ds:datastoreItem xmlns:ds="http://schemas.openxmlformats.org/officeDocument/2006/customXml" ds:itemID="{56A94792-5B8B-454F-A22A-F2914C5DF0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3090</Words>
  <Characters>19576</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Tara M. Doucette</cp:lastModifiedBy>
  <cp:revision>2</cp:revision>
  <cp:lastPrinted>2023-06-01T21:11:00Z</cp:lastPrinted>
  <dcterms:created xsi:type="dcterms:W3CDTF">2025-05-15T19:01:00Z</dcterms:created>
  <dcterms:modified xsi:type="dcterms:W3CDTF">2025-05-15T19:01:00Z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2022-05-31T11:57:24Z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886dc8b5-3821-4ac8-8de9-8ab2c3d1398f</vt:lpwstr>
  </property>
  <property fmtid="{D5CDD505-2E9C-101B-9397-08002B2CF9AE}" pid="8" name="MSIP_Label_5a776955-85f6-4fec-9553-96dd3e0373c4_ContentBits">
    <vt:lpwstr>0</vt:lpwstr>
  </property>
</Properties>
</file>