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D8FB" w14:textId="25FBF756" w:rsidR="00D574CA" w:rsidRPr="009F1A44" w:rsidRDefault="00230FE4" w:rsidP="00D574CA">
      <w:pPr>
        <w:pStyle w:val="PolicyMainHead"/>
        <w:tabs>
          <w:tab w:val="left" w:pos="360"/>
        </w:tabs>
        <w:spacing w:after="0" w:line="240" w:lineRule="auto"/>
        <w:rPr>
          <w:rFonts w:ascii="Times New Roman" w:hAnsi="Times New Roman"/>
          <w:color w:val="00548C"/>
          <w:sz w:val="32"/>
          <w:szCs w:val="32"/>
        </w:rPr>
      </w:pPr>
      <w:r w:rsidRPr="009F1A44">
        <w:rPr>
          <w:rFonts w:ascii="Times New Roman" w:hAnsi="Times New Roman"/>
          <w:color w:val="00548C"/>
          <w:sz w:val="32"/>
          <w:szCs w:val="32"/>
        </w:rPr>
        <w:t xml:space="preserve">Clinical Policy: </w:t>
      </w:r>
      <w:r w:rsidR="0044133A" w:rsidRPr="009F1A44">
        <w:rPr>
          <w:rFonts w:ascii="Times New Roman" w:hAnsi="Times New Roman"/>
          <w:color w:val="00548C"/>
          <w:sz w:val="32"/>
          <w:szCs w:val="32"/>
        </w:rPr>
        <w:t>Phototherapy for Neonatal Hyperbilirubinemia</w:t>
      </w:r>
    </w:p>
    <w:p w14:paraId="7C22E847" w14:textId="77777777" w:rsidR="00B777AF" w:rsidRDefault="00B777AF" w:rsidP="00D574CA">
      <w:pPr>
        <w:pStyle w:val="PolicyMainHead"/>
        <w:tabs>
          <w:tab w:val="left" w:pos="360"/>
        </w:tabs>
        <w:spacing w:after="0" w:line="240" w:lineRule="auto"/>
        <w:rPr>
          <w:color w:val="00548C"/>
          <w:sz w:val="24"/>
        </w:rPr>
        <w:sectPr w:rsidR="00B777AF"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6CC444B6" w14:textId="6A9C62B7" w:rsidR="000637CF" w:rsidRPr="003D7BE7" w:rsidRDefault="000637CF" w:rsidP="000637CF">
      <w:pPr>
        <w:pStyle w:val="PolicyMainHead"/>
        <w:spacing w:after="0" w:line="240" w:lineRule="auto"/>
        <w:ind w:left="360"/>
        <w:rPr>
          <w:rFonts w:ascii="Times New Roman" w:hAnsi="Times New Roman"/>
          <w:color w:val="00548C"/>
          <w:sz w:val="24"/>
          <w:szCs w:val="24"/>
        </w:rPr>
        <w:sectPr w:rsidR="000637CF" w:rsidRPr="003D7BE7" w:rsidSect="00480C0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 xml:space="preserve">Reference Number: </w:t>
      </w:r>
      <w:r w:rsidRPr="00184FFA">
        <w:rPr>
          <w:rFonts w:ascii="Times New Roman" w:hAnsi="Times New Roman"/>
          <w:color w:val="00548C"/>
          <w:sz w:val="24"/>
          <w:szCs w:val="24"/>
        </w:rPr>
        <w:t>CP.</w:t>
      </w:r>
      <w:r>
        <w:rPr>
          <w:rFonts w:ascii="Times New Roman" w:hAnsi="Times New Roman"/>
          <w:color w:val="00548C"/>
          <w:sz w:val="24"/>
          <w:szCs w:val="24"/>
        </w:rPr>
        <w:t>MP</w:t>
      </w:r>
      <w:r w:rsidRPr="00184FFA">
        <w:rPr>
          <w:rFonts w:ascii="Times New Roman" w:hAnsi="Times New Roman"/>
          <w:color w:val="00548C"/>
          <w:sz w:val="24"/>
          <w:szCs w:val="24"/>
        </w:rPr>
        <w:t>.</w:t>
      </w:r>
      <w:r>
        <w:rPr>
          <w:rFonts w:ascii="Times New Roman" w:hAnsi="Times New Roman"/>
          <w:color w:val="00548C"/>
          <w:sz w:val="24"/>
          <w:szCs w:val="24"/>
        </w:rPr>
        <w:t>150</w:t>
      </w:r>
      <w:r w:rsidRPr="003D7BE7">
        <w:rPr>
          <w:rFonts w:ascii="Times New Roman" w:hAnsi="Times New Roman"/>
          <w:color w:val="00548C"/>
          <w:sz w:val="24"/>
          <w:szCs w:val="24"/>
        </w:rPr>
        <w:tab/>
      </w:r>
      <w:r>
        <w:rPr>
          <w:rFonts w:ascii="Times New Roman" w:hAnsi="Times New Roman"/>
          <w:color w:val="00548C"/>
          <w:sz w:val="24"/>
          <w:szCs w:val="24"/>
        </w:rPr>
        <w:tab/>
      </w:r>
      <w:r>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hyperlink w:anchor="Coding_Implications" w:history="1">
        <w:r w:rsidRPr="00875924">
          <w:rPr>
            <w:rStyle w:val="Hyperlink"/>
            <w:rFonts w:ascii="Times New Roman" w:hAnsi="Times New Roman"/>
            <w:sz w:val="24"/>
            <w:szCs w:val="24"/>
          </w:rPr>
          <w:t>Coding Implications</w:t>
        </w:r>
      </w:hyperlink>
      <w:r w:rsidRPr="003D7BE7">
        <w:rPr>
          <w:rFonts w:ascii="Times New Roman" w:hAnsi="Times New Roman"/>
          <w:color w:val="00548C"/>
          <w:sz w:val="24"/>
          <w:szCs w:val="24"/>
        </w:rPr>
        <w:tab/>
      </w:r>
    </w:p>
    <w:p w14:paraId="408CEEB5" w14:textId="34B9F0A4" w:rsidR="000637CF" w:rsidRDefault="00AF1750" w:rsidP="000637CF">
      <w:pPr>
        <w:pStyle w:val="PolicyMainHead"/>
        <w:tabs>
          <w:tab w:val="left" w:pos="360"/>
        </w:tabs>
        <w:spacing w:after="0" w:line="240" w:lineRule="auto"/>
        <w:rPr>
          <w:rStyle w:val="Strong"/>
          <w:rFonts w:ascii="Times New Roman" w:hAnsi="Times New Roman"/>
          <w:b w:val="0"/>
          <w:bCs w:val="0"/>
          <w:u w:val="single"/>
        </w:rPr>
        <w:sectPr w:rsidR="000637CF" w:rsidSect="00875924">
          <w:type w:val="continuous"/>
          <w:pgSz w:w="12240" w:h="15840" w:code="1"/>
          <w:pgMar w:top="1440" w:right="1170" w:bottom="1440" w:left="1440" w:header="576" w:footer="288" w:gutter="0"/>
          <w:cols w:num="2" w:space="720"/>
          <w:titlePg/>
          <w:docGrid w:linePitch="360"/>
        </w:sectPr>
      </w:pPr>
      <w:r>
        <w:rPr>
          <w:rFonts w:ascii="Times New Roman" w:hAnsi="Times New Roman"/>
          <w:color w:val="00548C"/>
          <w:sz w:val="24"/>
          <w:szCs w:val="24"/>
        </w:rPr>
        <w:t>Date of Last Revision</w:t>
      </w:r>
      <w:r w:rsidR="000637CF" w:rsidRPr="003D7BE7">
        <w:rPr>
          <w:rFonts w:ascii="Times New Roman" w:hAnsi="Times New Roman"/>
          <w:color w:val="00548C"/>
          <w:sz w:val="24"/>
          <w:szCs w:val="24"/>
        </w:rPr>
        <w:t>:</w:t>
      </w:r>
      <w:r w:rsidR="000637CF">
        <w:rPr>
          <w:rFonts w:ascii="Times New Roman" w:hAnsi="Times New Roman"/>
          <w:color w:val="00548C"/>
          <w:sz w:val="24"/>
          <w:szCs w:val="24"/>
        </w:rPr>
        <w:t xml:space="preserve"> </w:t>
      </w:r>
      <w:r w:rsidR="007F6A65">
        <w:rPr>
          <w:rFonts w:ascii="Times New Roman" w:hAnsi="Times New Roman"/>
          <w:color w:val="00548C"/>
          <w:sz w:val="24"/>
          <w:szCs w:val="24"/>
        </w:rPr>
        <w:t>0</w:t>
      </w:r>
      <w:r w:rsidR="009A3CED">
        <w:rPr>
          <w:rFonts w:ascii="Times New Roman" w:hAnsi="Times New Roman"/>
          <w:color w:val="00548C"/>
          <w:sz w:val="24"/>
          <w:szCs w:val="24"/>
        </w:rPr>
        <w:t>6</w:t>
      </w:r>
      <w:r w:rsidR="000637CF">
        <w:rPr>
          <w:rFonts w:ascii="Times New Roman" w:hAnsi="Times New Roman"/>
          <w:color w:val="00548C"/>
          <w:sz w:val="24"/>
          <w:szCs w:val="24"/>
        </w:rPr>
        <w:t>/</w:t>
      </w:r>
      <w:r w:rsidR="007F6A65">
        <w:rPr>
          <w:rFonts w:ascii="Times New Roman" w:hAnsi="Times New Roman"/>
          <w:color w:val="00548C"/>
          <w:sz w:val="24"/>
          <w:szCs w:val="24"/>
        </w:rPr>
        <w:t>25</w:t>
      </w:r>
      <w:r w:rsidR="000637CF">
        <w:rPr>
          <w:rFonts w:ascii="Times New Roman" w:hAnsi="Times New Roman"/>
          <w:color w:val="00548C"/>
          <w:sz w:val="24"/>
          <w:szCs w:val="24"/>
        </w:rPr>
        <w:tab/>
      </w:r>
      <w:r w:rsidR="000637CF">
        <w:rPr>
          <w:rFonts w:ascii="Times New Roman" w:hAnsi="Times New Roman"/>
          <w:color w:val="00548C"/>
          <w:sz w:val="24"/>
          <w:szCs w:val="24"/>
        </w:rPr>
        <w:tab/>
      </w:r>
      <w:r w:rsidR="000637CF">
        <w:rPr>
          <w:rFonts w:ascii="Times New Roman" w:hAnsi="Times New Roman"/>
          <w:color w:val="00548C"/>
          <w:sz w:val="24"/>
          <w:szCs w:val="24"/>
        </w:rPr>
        <w:tab/>
      </w:r>
      <w:r w:rsidR="000637CF">
        <w:rPr>
          <w:rFonts w:ascii="Times New Roman" w:hAnsi="Times New Roman"/>
          <w:color w:val="00548C"/>
          <w:sz w:val="24"/>
          <w:szCs w:val="24"/>
        </w:rPr>
        <w:tab/>
      </w:r>
      <w:r w:rsidR="000637CF">
        <w:rPr>
          <w:rFonts w:ascii="Times New Roman" w:hAnsi="Times New Roman"/>
          <w:color w:val="00548C"/>
          <w:sz w:val="24"/>
          <w:szCs w:val="24"/>
        </w:rPr>
        <w:tab/>
      </w:r>
      <w:r w:rsidR="000637CF">
        <w:rPr>
          <w:rFonts w:ascii="Times New Roman" w:hAnsi="Times New Roman"/>
          <w:color w:val="00548C"/>
          <w:sz w:val="24"/>
          <w:szCs w:val="24"/>
        </w:rPr>
        <w:tab/>
      </w:r>
      <w:r w:rsidR="000637CF">
        <w:rPr>
          <w:rFonts w:ascii="Times New Roman" w:hAnsi="Times New Roman"/>
          <w:color w:val="00548C"/>
          <w:sz w:val="24"/>
          <w:szCs w:val="24"/>
        </w:rPr>
        <w:tab/>
        <w:t xml:space="preserve">         </w:t>
      </w:r>
      <w:hyperlink w:anchor="Revision_Log" w:history="1">
        <w:r w:rsidR="000637CF" w:rsidRPr="003D7BE7">
          <w:rPr>
            <w:rStyle w:val="Hyperlink"/>
            <w:rFonts w:ascii="Times New Roman" w:hAnsi="Times New Roman"/>
            <w:sz w:val="24"/>
            <w:szCs w:val="24"/>
          </w:rPr>
          <w:t>Revision Log</w:t>
        </w:r>
      </w:hyperlink>
      <w:r w:rsidR="000637CF">
        <w:rPr>
          <w:rFonts w:ascii="Times New Roman" w:hAnsi="Times New Roman"/>
          <w:color w:val="00548C"/>
          <w:sz w:val="24"/>
          <w:szCs w:val="24"/>
        </w:rPr>
        <w:t xml:space="preserve"> </w:t>
      </w:r>
    </w:p>
    <w:p w14:paraId="12609DD0" w14:textId="77777777" w:rsidR="000637CF" w:rsidRDefault="000637CF" w:rsidP="00D574CA">
      <w:pPr>
        <w:pStyle w:val="NormalWeb"/>
        <w:spacing w:before="0" w:beforeAutospacing="0" w:after="0" w:afterAutospacing="0"/>
        <w:rPr>
          <w:rFonts w:ascii="Times New Roman" w:hAnsi="Times New Roman" w:cs="Times New Roman"/>
          <w:b/>
          <w:color w:val="00548C"/>
        </w:rPr>
      </w:pPr>
    </w:p>
    <w:p w14:paraId="660DD7E4"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3C203D44" w14:textId="77777777" w:rsidR="00C73CF5" w:rsidRDefault="00C73CF5" w:rsidP="00875924">
      <w:pPr>
        <w:pStyle w:val="NormalWeb"/>
        <w:spacing w:before="0" w:beforeAutospacing="0" w:after="0" w:afterAutospacing="0"/>
        <w:jc w:val="center"/>
        <w:rPr>
          <w:rStyle w:val="Strong"/>
          <w:rFonts w:ascii="Times New Roman" w:hAnsi="Times New Roman" w:cs="Times New Roman"/>
          <w:b w:val="0"/>
          <w:bCs w:val="0"/>
          <w:u w:val="single"/>
        </w:rPr>
      </w:pPr>
    </w:p>
    <w:p w14:paraId="3BDB21B6" w14:textId="77777777" w:rsidR="00583376" w:rsidRPr="001B5473" w:rsidRDefault="00583376" w:rsidP="001B5473">
      <w:pPr>
        <w:pStyle w:val="Heading1"/>
        <w:rPr>
          <w:sz w:val="24"/>
        </w:rPr>
      </w:pPr>
      <w:r w:rsidRPr="001B5473">
        <w:rPr>
          <w:sz w:val="24"/>
        </w:rPr>
        <w:t xml:space="preserve">Description </w:t>
      </w:r>
    </w:p>
    <w:p w14:paraId="60A90BF2" w14:textId="2F0BE365" w:rsidR="005D7B81" w:rsidRPr="006D5CF5" w:rsidRDefault="00FF66AA" w:rsidP="00196935">
      <w:pPr>
        <w:rPr>
          <w:vertAlign w:val="superscript"/>
        </w:rPr>
      </w:pPr>
      <w:r>
        <w:t xml:space="preserve">This policy details medical necessity criteria for </w:t>
      </w:r>
      <w:r w:rsidR="00302873">
        <w:t xml:space="preserve">home </w:t>
      </w:r>
      <w:r>
        <w:t xml:space="preserve">phototherapy for the treatment of </w:t>
      </w:r>
      <w:r w:rsidR="0051462B">
        <w:t xml:space="preserve">neonatal hyperbilirubinemia. </w:t>
      </w:r>
      <w:r w:rsidR="0051462B" w:rsidRPr="00790582">
        <w:t xml:space="preserve">Almost all newborns will develop </w:t>
      </w:r>
      <w:bookmarkStart w:id="0" w:name="_Hlk146183735"/>
      <w:r w:rsidR="0051462B" w:rsidRPr="00790582">
        <w:t xml:space="preserve">total serum bilirubin </w:t>
      </w:r>
      <w:bookmarkEnd w:id="0"/>
      <w:r w:rsidR="0051462B" w:rsidRPr="00790582">
        <w:t>(TSB) levels greater than the upper limit of normal for adults, 1 mg/dL. Increasing</w:t>
      </w:r>
      <w:r w:rsidR="0051462B">
        <w:t xml:space="preserve"> TSB can cause jaundice, and newborns with severe hyperbilirubinemia are at risk for developing acute neurotoxicity as bilirubin crosses the blood-brain barrier. Acute bilirubin-induced neurologic dysfunction (BIND) can have chronic and permanent neurologic effects, termed kernicterus.</w:t>
      </w:r>
      <w:r w:rsidR="00C33135">
        <w:t xml:space="preserve"> Thus, screening for hyperbilirubinemia should be conducted on all infants prior to discharge.</w:t>
      </w:r>
      <w:r w:rsidR="00E835BA">
        <w:rPr>
          <w:vertAlign w:val="superscript"/>
        </w:rPr>
        <w:t>1</w:t>
      </w:r>
    </w:p>
    <w:p w14:paraId="503C3208" w14:textId="77777777" w:rsidR="00FF66AA" w:rsidRPr="00B777AF" w:rsidRDefault="00FF66AA" w:rsidP="00196935"/>
    <w:p w14:paraId="3058450F" w14:textId="77777777" w:rsidR="0093648C" w:rsidRPr="009F1A44" w:rsidRDefault="00583376" w:rsidP="009F1A44">
      <w:pPr>
        <w:pStyle w:val="Heading2"/>
        <w:rPr>
          <w:bCs w:val="0"/>
        </w:rPr>
      </w:pPr>
      <w:r w:rsidRPr="00B777AF">
        <w:rPr>
          <w:u w:val="none"/>
        </w:rPr>
        <w:t>Policy/Criteria</w:t>
      </w:r>
    </w:p>
    <w:p w14:paraId="455E165B" w14:textId="1FA162A0" w:rsidR="00C96847" w:rsidRPr="00790582" w:rsidRDefault="00F74762" w:rsidP="00B374A8">
      <w:pPr>
        <w:numPr>
          <w:ilvl w:val="0"/>
          <w:numId w:val="11"/>
        </w:numPr>
        <w:ind w:left="360"/>
      </w:pPr>
      <w:r>
        <w:rPr>
          <w:bCs/>
          <w:color w:val="000000"/>
        </w:rPr>
        <w:t>It is the policy of</w:t>
      </w:r>
      <w:r w:rsidR="00E97C17">
        <w:rPr>
          <w:bCs/>
          <w:color w:val="000000"/>
        </w:rPr>
        <w:t xml:space="preserve"> </w:t>
      </w:r>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r w:rsidR="00C75BD4" w:rsidRPr="00C75BD4">
        <w:rPr>
          <w:bCs/>
          <w:color w:val="000000"/>
          <w:vertAlign w:val="superscript"/>
        </w:rPr>
        <w:t>®</w:t>
      </w:r>
      <w:r>
        <w:rPr>
          <w:bCs/>
          <w:color w:val="000000"/>
        </w:rPr>
        <w:t xml:space="preserve"> </w:t>
      </w:r>
      <w:r w:rsidR="00C96847">
        <w:t>that</w:t>
      </w:r>
      <w:r w:rsidR="008D6DE3">
        <w:t xml:space="preserve"> conventional phototherapy</w:t>
      </w:r>
      <w:r w:rsidR="00E053B8">
        <w:t xml:space="preserve"> in the home</w:t>
      </w:r>
      <w:r w:rsidR="008D6DE3">
        <w:t xml:space="preserve">, applied by a single light source in the blue-green </w:t>
      </w:r>
      <w:r w:rsidR="008D6DE3" w:rsidRPr="001859A6">
        <w:t>spectrum</w:t>
      </w:r>
      <w:r w:rsidR="0089490F" w:rsidRPr="001859A6">
        <w:t xml:space="preserve"> </w:t>
      </w:r>
      <w:r w:rsidR="0089490F" w:rsidRPr="00672C4A">
        <w:t>(460</w:t>
      </w:r>
      <w:r w:rsidR="00181172">
        <w:t xml:space="preserve"> to </w:t>
      </w:r>
      <w:r w:rsidR="00F20F81" w:rsidRPr="00672C4A">
        <w:t>490nm)</w:t>
      </w:r>
      <w:r w:rsidR="008D6DE3" w:rsidRPr="004D2524">
        <w:t xml:space="preserve">, </w:t>
      </w:r>
      <w:r w:rsidR="00B02016" w:rsidRPr="001859A6">
        <w:t>for</w:t>
      </w:r>
      <w:r w:rsidR="00B02016">
        <w:t xml:space="preserve"> the treatment of </w:t>
      </w:r>
      <w:r w:rsidR="008D6DE3">
        <w:t>physiologic</w:t>
      </w:r>
      <w:r w:rsidR="00B02016">
        <w:t xml:space="preserve"> </w:t>
      </w:r>
      <w:r w:rsidR="00B02016" w:rsidRPr="006D5CF5">
        <w:t>hyperbilirubinemia</w:t>
      </w:r>
      <w:r w:rsidR="009D5928" w:rsidRPr="006D5CF5">
        <w:t xml:space="preserve"> </w:t>
      </w:r>
      <w:r w:rsidR="00D96AB7" w:rsidRPr="006D5CF5">
        <w:t>in infants</w:t>
      </w:r>
      <w:r w:rsidR="00C96847">
        <w:t xml:space="preserve"> is </w:t>
      </w:r>
      <w:r w:rsidR="00C96847" w:rsidRPr="005D6347">
        <w:rPr>
          <w:b/>
        </w:rPr>
        <w:t xml:space="preserve">medically </w:t>
      </w:r>
      <w:r w:rsidR="00C96847" w:rsidRPr="00790582">
        <w:rPr>
          <w:b/>
        </w:rPr>
        <w:t>necessary</w:t>
      </w:r>
      <w:r w:rsidR="00C96847" w:rsidRPr="00790582">
        <w:t xml:space="preserve"> </w:t>
      </w:r>
      <w:r w:rsidR="001675D9" w:rsidRPr="00790582">
        <w:t>when meeting</w:t>
      </w:r>
      <w:r w:rsidR="00E053B8" w:rsidRPr="00790582">
        <w:t xml:space="preserve"> all of</w:t>
      </w:r>
      <w:r w:rsidR="001675D9" w:rsidRPr="00790582">
        <w:t xml:space="preserve"> the following guidelines:</w:t>
      </w:r>
    </w:p>
    <w:p w14:paraId="5DEDA64D" w14:textId="3926F184" w:rsidR="00876316" w:rsidRPr="00790582" w:rsidRDefault="00876316" w:rsidP="008D6DE3">
      <w:pPr>
        <w:pStyle w:val="ListParagraph"/>
        <w:numPr>
          <w:ilvl w:val="2"/>
          <w:numId w:val="11"/>
        </w:numPr>
        <w:ind w:left="720" w:hanging="360"/>
        <w:rPr>
          <w:bCs/>
          <w:color w:val="000000"/>
        </w:rPr>
      </w:pPr>
      <w:r w:rsidRPr="00790582">
        <w:rPr>
          <w:bCs/>
          <w:color w:val="000000"/>
        </w:rPr>
        <w:t>Infant is ≥ 38 weeks gestation</w:t>
      </w:r>
      <w:r w:rsidR="009B3622" w:rsidRPr="00790582">
        <w:rPr>
          <w:bCs/>
          <w:color w:val="000000"/>
        </w:rPr>
        <w:t>;</w:t>
      </w:r>
      <w:r w:rsidR="00F92135" w:rsidRPr="00790582">
        <w:rPr>
          <w:bCs/>
          <w:color w:val="000000"/>
        </w:rPr>
        <w:t xml:space="preserve"> </w:t>
      </w:r>
    </w:p>
    <w:p w14:paraId="458C8CF5" w14:textId="035ED910" w:rsidR="004640A1" w:rsidRPr="00790582" w:rsidRDefault="000023BE" w:rsidP="008D6DE3">
      <w:pPr>
        <w:pStyle w:val="ListParagraph"/>
        <w:numPr>
          <w:ilvl w:val="2"/>
          <w:numId w:val="11"/>
        </w:numPr>
        <w:ind w:left="720" w:hanging="360"/>
        <w:rPr>
          <w:bCs/>
          <w:color w:val="000000"/>
        </w:rPr>
      </w:pPr>
      <w:r w:rsidRPr="00790582">
        <w:rPr>
          <w:bCs/>
          <w:color w:val="000000"/>
        </w:rPr>
        <w:t>I</w:t>
      </w:r>
      <w:r w:rsidR="004640A1" w:rsidRPr="00790582">
        <w:rPr>
          <w:bCs/>
          <w:color w:val="000000"/>
        </w:rPr>
        <w:t xml:space="preserve">nfant </w:t>
      </w:r>
      <w:r w:rsidR="008D6DE3" w:rsidRPr="00790582">
        <w:rPr>
          <w:bCs/>
          <w:color w:val="000000"/>
        </w:rPr>
        <w:t>status is</w:t>
      </w:r>
      <w:r w:rsidR="008B24F9" w:rsidRPr="00790582">
        <w:rPr>
          <w:bCs/>
          <w:color w:val="000000"/>
        </w:rPr>
        <w:t xml:space="preserve"> one of the following</w:t>
      </w:r>
      <w:r w:rsidR="004640A1" w:rsidRPr="00790582">
        <w:rPr>
          <w:bCs/>
          <w:color w:val="000000"/>
        </w:rPr>
        <w:t>:</w:t>
      </w:r>
      <w:r w:rsidR="00EE316B" w:rsidRPr="00790582">
        <w:rPr>
          <w:bCs/>
          <w:color w:val="000000"/>
        </w:rPr>
        <w:t xml:space="preserve"> </w:t>
      </w:r>
    </w:p>
    <w:p w14:paraId="3C085C0F" w14:textId="01822E22" w:rsidR="004E1F12" w:rsidRPr="00790582" w:rsidRDefault="004E1F12" w:rsidP="009F1A44">
      <w:pPr>
        <w:pStyle w:val="ListParagraph"/>
        <w:numPr>
          <w:ilvl w:val="3"/>
          <w:numId w:val="32"/>
        </w:numPr>
        <w:ind w:left="1080"/>
        <w:rPr>
          <w:bCs/>
          <w:color w:val="000000"/>
        </w:rPr>
      </w:pPr>
      <w:r w:rsidRPr="00790582">
        <w:rPr>
          <w:bCs/>
          <w:color w:val="000000"/>
        </w:rPr>
        <w:t>Previously discharged home and readmission</w:t>
      </w:r>
      <w:r w:rsidR="004640A1" w:rsidRPr="00790582">
        <w:rPr>
          <w:bCs/>
          <w:color w:val="000000"/>
        </w:rPr>
        <w:t xml:space="preserve"> </w:t>
      </w:r>
      <w:r w:rsidR="00B14DE9" w:rsidRPr="00790582">
        <w:rPr>
          <w:bCs/>
          <w:color w:val="000000"/>
        </w:rPr>
        <w:t>is being considered only</w:t>
      </w:r>
      <w:r w:rsidR="008C65D3" w:rsidRPr="00790582">
        <w:rPr>
          <w:bCs/>
          <w:color w:val="000000"/>
        </w:rPr>
        <w:t xml:space="preserve"> </w:t>
      </w:r>
      <w:r w:rsidR="004640A1" w:rsidRPr="00790582">
        <w:rPr>
          <w:bCs/>
          <w:color w:val="000000"/>
        </w:rPr>
        <w:t>for hyperbilirubinemia</w:t>
      </w:r>
      <w:r w:rsidRPr="00790582">
        <w:rPr>
          <w:bCs/>
          <w:color w:val="000000"/>
        </w:rPr>
        <w:t>;</w:t>
      </w:r>
    </w:p>
    <w:p w14:paraId="27C0891D" w14:textId="370A28FC" w:rsidR="00AA7C66" w:rsidRPr="00790582" w:rsidRDefault="00AA7C66" w:rsidP="009F1A44">
      <w:pPr>
        <w:pStyle w:val="ListParagraph"/>
        <w:numPr>
          <w:ilvl w:val="3"/>
          <w:numId w:val="32"/>
        </w:numPr>
        <w:ind w:left="1080"/>
        <w:rPr>
          <w:bCs/>
          <w:color w:val="000000"/>
        </w:rPr>
      </w:pPr>
      <w:r w:rsidRPr="00790582">
        <w:rPr>
          <w:bCs/>
          <w:color w:val="000000"/>
        </w:rPr>
        <w:t>Infant is</w:t>
      </w:r>
      <w:r w:rsidR="00E32CA1" w:rsidRPr="00790582">
        <w:rPr>
          <w:bCs/>
          <w:color w:val="000000"/>
        </w:rPr>
        <w:t xml:space="preserve"> currently inpatient and</w:t>
      </w:r>
      <w:r w:rsidRPr="00790582">
        <w:rPr>
          <w:bCs/>
          <w:color w:val="000000"/>
        </w:rPr>
        <w:t xml:space="preserve"> ready for discharge except for needing treatment for elevated bilirubin</w:t>
      </w:r>
      <w:r w:rsidR="00104DBF" w:rsidRPr="00790582">
        <w:rPr>
          <w:bCs/>
          <w:color w:val="000000"/>
        </w:rPr>
        <w:t>;</w:t>
      </w:r>
    </w:p>
    <w:p w14:paraId="44929A96" w14:textId="77777777" w:rsidR="00132E3B" w:rsidRPr="00790582" w:rsidRDefault="004E1F12" w:rsidP="00563996">
      <w:pPr>
        <w:pStyle w:val="ListParagraph"/>
        <w:numPr>
          <w:ilvl w:val="2"/>
          <w:numId w:val="11"/>
        </w:numPr>
        <w:ind w:left="720" w:hanging="360"/>
      </w:pPr>
      <w:r w:rsidRPr="00790582">
        <w:t xml:space="preserve">The infant is feeding well, is active, and </w:t>
      </w:r>
      <w:r w:rsidR="00BA3478" w:rsidRPr="00790582">
        <w:t xml:space="preserve">clinically </w:t>
      </w:r>
      <w:r w:rsidRPr="00790582">
        <w:t>well;</w:t>
      </w:r>
    </w:p>
    <w:p w14:paraId="0AA1EE67" w14:textId="30F81A66" w:rsidR="004E1F12" w:rsidRPr="00790582" w:rsidRDefault="00EC24C2" w:rsidP="00132E3B">
      <w:pPr>
        <w:pStyle w:val="ListParagraph"/>
        <w:numPr>
          <w:ilvl w:val="2"/>
          <w:numId w:val="11"/>
        </w:numPr>
        <w:ind w:left="720" w:hanging="360"/>
      </w:pPr>
      <w:r w:rsidRPr="00790582">
        <w:t xml:space="preserve"> </w:t>
      </w:r>
      <w:r w:rsidR="00132E3B" w:rsidRPr="00790582">
        <w:t>If breastfeeding or chestfeeding, lactation support from a qualified professional has been offered;</w:t>
      </w:r>
    </w:p>
    <w:p w14:paraId="6367C3C6" w14:textId="0951A365" w:rsidR="009A5C02" w:rsidRPr="00E47478" w:rsidRDefault="00E32CA1" w:rsidP="00B11405">
      <w:pPr>
        <w:pStyle w:val="ListParagraph"/>
        <w:numPr>
          <w:ilvl w:val="2"/>
          <w:numId w:val="11"/>
        </w:numPr>
        <w:ind w:left="720" w:hanging="360"/>
      </w:pPr>
      <w:r w:rsidRPr="00790582">
        <w:t xml:space="preserve">A primary </w:t>
      </w:r>
      <w:r w:rsidR="006F2094" w:rsidRPr="00790582">
        <w:t>care</w:t>
      </w:r>
      <w:r w:rsidR="006F2094" w:rsidRPr="00E47478">
        <w:t xml:space="preserve"> </w:t>
      </w:r>
      <w:r w:rsidRPr="00E47478">
        <w:t xml:space="preserve">provider </w:t>
      </w:r>
      <w:r w:rsidR="008812A4" w:rsidRPr="00E47478">
        <w:t xml:space="preserve">is </w:t>
      </w:r>
      <w:r w:rsidRPr="00E47478">
        <w:t xml:space="preserve">willing to manage home care with established follow-up within </w:t>
      </w:r>
      <w:r w:rsidR="00E46835" w:rsidRPr="00E47478">
        <w:t>12</w:t>
      </w:r>
      <w:r w:rsidR="008010B5" w:rsidRPr="00E47478">
        <w:t xml:space="preserve"> to</w:t>
      </w:r>
      <w:r w:rsidR="00662D36" w:rsidRPr="00E47478">
        <w:t xml:space="preserve"> </w:t>
      </w:r>
      <w:r w:rsidR="00E46835" w:rsidRPr="00E47478">
        <w:t>24</w:t>
      </w:r>
      <w:r w:rsidR="00017ECE" w:rsidRPr="00E47478">
        <w:t xml:space="preserve"> hours</w:t>
      </w:r>
      <w:r w:rsidR="001E2E5C" w:rsidRPr="00E47478">
        <w:t xml:space="preserve"> after discharge</w:t>
      </w:r>
      <w:r w:rsidR="00702ED2" w:rsidRPr="00E47478">
        <w:t>;</w:t>
      </w:r>
    </w:p>
    <w:p w14:paraId="3435B2D5" w14:textId="7A2B2F2D" w:rsidR="00506E5A" w:rsidRPr="00790582" w:rsidRDefault="00506E5A" w:rsidP="00B11405">
      <w:pPr>
        <w:pStyle w:val="ListParagraph"/>
        <w:numPr>
          <w:ilvl w:val="2"/>
          <w:numId w:val="11"/>
        </w:numPr>
        <w:ind w:left="720" w:hanging="360"/>
      </w:pPr>
      <w:r w:rsidRPr="00790582">
        <w:t>≥</w:t>
      </w:r>
      <w:r w:rsidR="00E36402" w:rsidRPr="00790582">
        <w:t xml:space="preserve"> </w:t>
      </w:r>
      <w:r w:rsidRPr="00790582">
        <w:t>48 hours old</w:t>
      </w:r>
      <w:r w:rsidR="001E2E5C" w:rsidRPr="00790582">
        <w:t>;</w:t>
      </w:r>
    </w:p>
    <w:p w14:paraId="07F691CB" w14:textId="26E04FB8" w:rsidR="00506E5A" w:rsidRPr="00790582" w:rsidRDefault="00143ABA" w:rsidP="00B11405">
      <w:pPr>
        <w:pStyle w:val="ListParagraph"/>
        <w:numPr>
          <w:ilvl w:val="2"/>
          <w:numId w:val="11"/>
        </w:numPr>
        <w:ind w:left="720" w:hanging="360"/>
      </w:pPr>
      <w:r w:rsidRPr="00790582">
        <w:t>An LED-based phototherapy device will be available in the home without delay</w:t>
      </w:r>
      <w:r w:rsidR="001E2E5C" w:rsidRPr="00790582">
        <w:t>;</w:t>
      </w:r>
    </w:p>
    <w:p w14:paraId="474CD221" w14:textId="065F1C9D" w:rsidR="00143ABA" w:rsidRPr="00790582" w:rsidRDefault="00977906" w:rsidP="00B11405">
      <w:pPr>
        <w:pStyle w:val="ListParagraph"/>
        <w:numPr>
          <w:ilvl w:val="2"/>
          <w:numId w:val="11"/>
        </w:numPr>
        <w:ind w:left="720" w:hanging="360"/>
      </w:pPr>
      <w:r w:rsidRPr="00790582">
        <w:t>No previous phototherapy</w:t>
      </w:r>
      <w:r w:rsidR="001E2E5C" w:rsidRPr="00790582">
        <w:t>;</w:t>
      </w:r>
    </w:p>
    <w:p w14:paraId="42CFB8F2" w14:textId="1D2C6D3C" w:rsidR="008C49AB" w:rsidRPr="00790582" w:rsidRDefault="00104DBF" w:rsidP="00B11405">
      <w:pPr>
        <w:pStyle w:val="ListParagraph"/>
        <w:numPr>
          <w:ilvl w:val="2"/>
          <w:numId w:val="11"/>
        </w:numPr>
        <w:ind w:left="720" w:hanging="360"/>
      </w:pPr>
      <w:r w:rsidRPr="00790582">
        <w:t>Total serum bilirubin (</w:t>
      </w:r>
      <w:r w:rsidR="00977906" w:rsidRPr="00790582">
        <w:t>TSB</w:t>
      </w:r>
      <w:r w:rsidRPr="00790582">
        <w:t>)</w:t>
      </w:r>
      <w:r w:rsidR="00977906" w:rsidRPr="00790582">
        <w:t xml:space="preserve"> </w:t>
      </w:r>
      <w:r w:rsidR="001E2E5C" w:rsidRPr="00790582">
        <w:t>will</w:t>
      </w:r>
      <w:r w:rsidR="00977906" w:rsidRPr="00790582">
        <w:t xml:space="preserve"> be measured daily</w:t>
      </w:r>
      <w:r w:rsidR="001E2E5C" w:rsidRPr="00790582">
        <w:t>;</w:t>
      </w:r>
    </w:p>
    <w:p w14:paraId="7DBD0491" w14:textId="0CBDCDB2" w:rsidR="008B24F9" w:rsidRPr="00790582" w:rsidRDefault="008B24F9" w:rsidP="00B11405">
      <w:pPr>
        <w:pStyle w:val="ListParagraph"/>
        <w:numPr>
          <w:ilvl w:val="2"/>
          <w:numId w:val="11"/>
        </w:numPr>
        <w:ind w:left="720" w:hanging="360"/>
      </w:pPr>
      <w:r w:rsidRPr="00790582">
        <w:t xml:space="preserve">Infant has none of the following risk factors: </w:t>
      </w:r>
    </w:p>
    <w:p w14:paraId="6184AB4F" w14:textId="501A2CD4" w:rsidR="008B24F9" w:rsidRPr="00790582" w:rsidRDefault="008B24F9" w:rsidP="00506E5A">
      <w:pPr>
        <w:pStyle w:val="ListParagraph"/>
        <w:numPr>
          <w:ilvl w:val="0"/>
          <w:numId w:val="35"/>
        </w:numPr>
        <w:ind w:left="1080"/>
        <w:rPr>
          <w:bCs/>
        </w:rPr>
      </w:pPr>
      <w:r w:rsidRPr="00790582">
        <w:rPr>
          <w:bCs/>
        </w:rPr>
        <w:t>Isoimmune hemolytic disease</w:t>
      </w:r>
      <w:r w:rsidR="004B6A5E" w:rsidRPr="00790582">
        <w:rPr>
          <w:bCs/>
        </w:rPr>
        <w:t xml:space="preserve"> (</w:t>
      </w:r>
      <w:r w:rsidR="00FF0101" w:rsidRPr="00790582">
        <w:rPr>
          <w:bCs/>
        </w:rPr>
        <w:t>i</w:t>
      </w:r>
      <w:r w:rsidR="001E2E5C" w:rsidRPr="00790582">
        <w:rPr>
          <w:bCs/>
        </w:rPr>
        <w:t>.</w:t>
      </w:r>
      <w:r w:rsidR="00FF0101" w:rsidRPr="00790582">
        <w:rPr>
          <w:bCs/>
        </w:rPr>
        <w:t>e</w:t>
      </w:r>
      <w:r w:rsidR="001E2E5C" w:rsidRPr="00790582">
        <w:rPr>
          <w:bCs/>
        </w:rPr>
        <w:t>.</w:t>
      </w:r>
      <w:r w:rsidR="00CC1117" w:rsidRPr="00790582">
        <w:rPr>
          <w:bCs/>
        </w:rPr>
        <w:t>,</w:t>
      </w:r>
      <w:r w:rsidR="00FF0101" w:rsidRPr="00790582">
        <w:rPr>
          <w:bCs/>
        </w:rPr>
        <w:t xml:space="preserve"> positive </w:t>
      </w:r>
      <w:r w:rsidR="004C3C46" w:rsidRPr="00790582">
        <w:rPr>
          <w:bCs/>
        </w:rPr>
        <w:t>direct antiglobulin test)</w:t>
      </w:r>
      <w:r w:rsidR="00F72498" w:rsidRPr="00790582">
        <w:rPr>
          <w:bCs/>
        </w:rPr>
        <w:t xml:space="preserve">, </w:t>
      </w:r>
      <w:r w:rsidR="003C2024" w:rsidRPr="00790582">
        <w:rPr>
          <w:bCs/>
        </w:rPr>
        <w:t>glucose-6-phosphate dehydrogenase (</w:t>
      </w:r>
      <w:r w:rsidR="00265059" w:rsidRPr="00790582">
        <w:rPr>
          <w:bCs/>
        </w:rPr>
        <w:t>G6PD</w:t>
      </w:r>
      <w:r w:rsidR="003C2024" w:rsidRPr="004F10FC">
        <w:rPr>
          <w:bCs/>
        </w:rPr>
        <w:t>)</w:t>
      </w:r>
      <w:r w:rsidR="00542191" w:rsidRPr="004F10FC">
        <w:rPr>
          <w:bCs/>
        </w:rPr>
        <w:t xml:space="preserve"> deficiency</w:t>
      </w:r>
      <w:r w:rsidR="00265059" w:rsidRPr="004F10FC">
        <w:rPr>
          <w:bCs/>
        </w:rPr>
        <w:t xml:space="preserve">, </w:t>
      </w:r>
      <w:r w:rsidR="00D211F5" w:rsidRPr="00790582">
        <w:rPr>
          <w:bCs/>
        </w:rPr>
        <w:t xml:space="preserve">or </w:t>
      </w:r>
      <w:r w:rsidR="00265059" w:rsidRPr="00790582">
        <w:rPr>
          <w:bCs/>
        </w:rPr>
        <w:t>other hemolytic disease</w:t>
      </w:r>
      <w:r w:rsidR="00D211F5" w:rsidRPr="00790582">
        <w:rPr>
          <w:bCs/>
        </w:rPr>
        <w:t>;</w:t>
      </w:r>
    </w:p>
    <w:p w14:paraId="39ACDF59" w14:textId="2AB86966" w:rsidR="008B24F9" w:rsidRPr="008A0B6F" w:rsidRDefault="00C61E3D" w:rsidP="009F1A44">
      <w:pPr>
        <w:pStyle w:val="ListParagraph"/>
        <w:numPr>
          <w:ilvl w:val="0"/>
          <w:numId w:val="35"/>
        </w:numPr>
        <w:ind w:left="1080"/>
        <w:rPr>
          <w:bCs/>
          <w:color w:val="000000"/>
        </w:rPr>
      </w:pPr>
      <w:r w:rsidRPr="008A0B6F">
        <w:rPr>
          <w:bCs/>
        </w:rPr>
        <w:t xml:space="preserve">Hypoxic </w:t>
      </w:r>
      <w:r w:rsidRPr="008A0B6F">
        <w:rPr>
          <w:bCs/>
          <w:color w:val="000000"/>
        </w:rPr>
        <w:t>Ischemia Encephalopathy (HIE)</w:t>
      </w:r>
      <w:r w:rsidR="000014E9" w:rsidRPr="008A0B6F">
        <w:rPr>
          <w:bCs/>
          <w:color w:val="000000"/>
        </w:rPr>
        <w:t>/</w:t>
      </w:r>
      <w:r w:rsidR="008B24F9" w:rsidRPr="008A0B6F">
        <w:rPr>
          <w:bCs/>
          <w:color w:val="000000"/>
        </w:rPr>
        <w:t>Asphyxia</w:t>
      </w:r>
      <w:r w:rsidR="0022416B" w:rsidRPr="008A0B6F">
        <w:rPr>
          <w:bCs/>
          <w:color w:val="000000"/>
        </w:rPr>
        <w:t>;</w:t>
      </w:r>
      <w:r w:rsidR="001E3EEC" w:rsidRPr="008A0B6F">
        <w:rPr>
          <w:bCs/>
          <w:color w:val="000000"/>
        </w:rPr>
        <w:t xml:space="preserve"> </w:t>
      </w:r>
    </w:p>
    <w:p w14:paraId="21BBA928" w14:textId="1DC99FE1" w:rsidR="008B24F9" w:rsidRPr="008A0B6F" w:rsidRDefault="008B24F9" w:rsidP="009F1A44">
      <w:pPr>
        <w:pStyle w:val="ListParagraph"/>
        <w:numPr>
          <w:ilvl w:val="0"/>
          <w:numId w:val="35"/>
        </w:numPr>
        <w:ind w:left="1080"/>
        <w:rPr>
          <w:bCs/>
          <w:color w:val="000000"/>
        </w:rPr>
      </w:pPr>
      <w:r w:rsidRPr="008A0B6F">
        <w:rPr>
          <w:bCs/>
          <w:color w:val="000000"/>
        </w:rPr>
        <w:t>Temperature instability</w:t>
      </w:r>
      <w:r w:rsidR="0022416B" w:rsidRPr="008A0B6F">
        <w:rPr>
          <w:bCs/>
          <w:color w:val="000000"/>
        </w:rPr>
        <w:t>;</w:t>
      </w:r>
      <w:r w:rsidR="00B2029B" w:rsidRPr="008A0B6F">
        <w:rPr>
          <w:bCs/>
          <w:color w:val="000000"/>
        </w:rPr>
        <w:t xml:space="preserve"> </w:t>
      </w:r>
    </w:p>
    <w:p w14:paraId="37553414" w14:textId="08B3BD91" w:rsidR="008B24F9" w:rsidRPr="008A0B6F" w:rsidRDefault="008B24F9" w:rsidP="009F1A44">
      <w:pPr>
        <w:pStyle w:val="ListParagraph"/>
        <w:numPr>
          <w:ilvl w:val="0"/>
          <w:numId w:val="35"/>
        </w:numPr>
        <w:ind w:left="1080"/>
        <w:rPr>
          <w:bCs/>
          <w:color w:val="000000"/>
        </w:rPr>
      </w:pPr>
      <w:r w:rsidRPr="008A0B6F">
        <w:rPr>
          <w:bCs/>
          <w:color w:val="000000"/>
        </w:rPr>
        <w:t>Sepsis</w:t>
      </w:r>
      <w:r w:rsidR="0022416B" w:rsidRPr="008A0B6F">
        <w:rPr>
          <w:bCs/>
          <w:color w:val="000000"/>
        </w:rPr>
        <w:t>;</w:t>
      </w:r>
    </w:p>
    <w:p w14:paraId="5ABBC738" w14:textId="1037EE07" w:rsidR="008B24F9" w:rsidRPr="008A0B6F" w:rsidRDefault="008B24F9" w:rsidP="009F1A44">
      <w:pPr>
        <w:pStyle w:val="ListParagraph"/>
        <w:numPr>
          <w:ilvl w:val="0"/>
          <w:numId w:val="35"/>
        </w:numPr>
        <w:ind w:left="1080"/>
        <w:rPr>
          <w:bCs/>
          <w:color w:val="000000"/>
        </w:rPr>
      </w:pPr>
      <w:r w:rsidRPr="008A0B6F">
        <w:rPr>
          <w:bCs/>
          <w:color w:val="000000"/>
        </w:rPr>
        <w:t>Acidosis</w:t>
      </w:r>
      <w:r w:rsidR="0022416B" w:rsidRPr="008A0B6F">
        <w:rPr>
          <w:bCs/>
          <w:color w:val="000000"/>
        </w:rPr>
        <w:t>;</w:t>
      </w:r>
      <w:r w:rsidR="003931CF" w:rsidRPr="008A0B6F">
        <w:rPr>
          <w:bCs/>
          <w:color w:val="000000"/>
        </w:rPr>
        <w:t xml:space="preserve"> </w:t>
      </w:r>
    </w:p>
    <w:p w14:paraId="70D69505" w14:textId="4BC0250A" w:rsidR="008B24F9" w:rsidRPr="008A0B6F" w:rsidRDefault="008B24F9" w:rsidP="009F1A44">
      <w:pPr>
        <w:pStyle w:val="ListParagraph"/>
        <w:numPr>
          <w:ilvl w:val="0"/>
          <w:numId w:val="35"/>
        </w:numPr>
        <w:ind w:left="1080"/>
        <w:rPr>
          <w:bCs/>
          <w:color w:val="000000"/>
        </w:rPr>
      </w:pPr>
      <w:r w:rsidRPr="008A0B6F">
        <w:rPr>
          <w:bCs/>
          <w:color w:val="000000"/>
        </w:rPr>
        <w:t xml:space="preserve">Albumin </w:t>
      </w:r>
      <w:r w:rsidR="00E053B8" w:rsidRPr="008A0B6F">
        <w:rPr>
          <w:bCs/>
          <w:color w:val="000000"/>
        </w:rPr>
        <w:t>&lt;</w:t>
      </w:r>
      <w:r w:rsidRPr="008A0B6F">
        <w:rPr>
          <w:bCs/>
          <w:color w:val="000000"/>
        </w:rPr>
        <w:t xml:space="preserve"> 3.0 g/dL (if measured)</w:t>
      </w:r>
      <w:r w:rsidR="0022416B" w:rsidRPr="008A0B6F">
        <w:rPr>
          <w:bCs/>
          <w:color w:val="000000"/>
        </w:rPr>
        <w:t>;</w:t>
      </w:r>
    </w:p>
    <w:p w14:paraId="731FCD4F" w14:textId="1CF56BCC" w:rsidR="001F615C" w:rsidRPr="008A0B6F" w:rsidRDefault="001F615C" w:rsidP="009F1A44">
      <w:pPr>
        <w:pStyle w:val="ListParagraph"/>
        <w:numPr>
          <w:ilvl w:val="0"/>
          <w:numId w:val="35"/>
        </w:numPr>
        <w:ind w:left="1080"/>
        <w:rPr>
          <w:bCs/>
          <w:color w:val="000000"/>
        </w:rPr>
      </w:pPr>
      <w:r w:rsidRPr="008A0B6F">
        <w:rPr>
          <w:bCs/>
          <w:color w:val="000000"/>
        </w:rPr>
        <w:t>Birth weight &lt;</w:t>
      </w:r>
      <w:r w:rsidR="00CE0C01" w:rsidRPr="008A0B6F">
        <w:rPr>
          <w:bCs/>
          <w:color w:val="000000"/>
        </w:rPr>
        <w:t xml:space="preserve"> </w:t>
      </w:r>
      <w:r w:rsidRPr="008A0B6F">
        <w:rPr>
          <w:bCs/>
          <w:color w:val="000000"/>
        </w:rPr>
        <w:t>2500g</w:t>
      </w:r>
      <w:r w:rsidR="0022416B" w:rsidRPr="008A0B6F">
        <w:rPr>
          <w:bCs/>
          <w:color w:val="000000"/>
        </w:rPr>
        <w:t>;</w:t>
      </w:r>
      <w:r w:rsidR="00AC6504" w:rsidRPr="008A0B6F">
        <w:rPr>
          <w:bCs/>
          <w:color w:val="000000"/>
        </w:rPr>
        <w:t xml:space="preserve"> </w:t>
      </w:r>
    </w:p>
    <w:p w14:paraId="26145081" w14:textId="2F2BD592" w:rsidR="00AA7C66" w:rsidRPr="008A0B6F" w:rsidRDefault="00AA7C66" w:rsidP="009F1A44">
      <w:pPr>
        <w:pStyle w:val="ListParagraph"/>
        <w:numPr>
          <w:ilvl w:val="0"/>
          <w:numId w:val="35"/>
        </w:numPr>
        <w:ind w:left="1080"/>
        <w:rPr>
          <w:bCs/>
          <w:color w:val="000000"/>
        </w:rPr>
      </w:pPr>
      <w:r w:rsidRPr="008A0B6F">
        <w:rPr>
          <w:bCs/>
          <w:color w:val="000000"/>
        </w:rPr>
        <w:t>Significant cephalohematoma or bruising</w:t>
      </w:r>
      <w:r w:rsidR="0022416B" w:rsidRPr="008A0B6F">
        <w:rPr>
          <w:bCs/>
          <w:color w:val="000000"/>
        </w:rPr>
        <w:t>;</w:t>
      </w:r>
    </w:p>
    <w:p w14:paraId="746121A1" w14:textId="4C311306" w:rsidR="00AA7C66" w:rsidRPr="00E37D83" w:rsidRDefault="00AA7C66" w:rsidP="009F1A44">
      <w:pPr>
        <w:pStyle w:val="ListParagraph"/>
        <w:numPr>
          <w:ilvl w:val="0"/>
          <w:numId w:val="35"/>
        </w:numPr>
        <w:ind w:left="1080"/>
        <w:rPr>
          <w:bCs/>
          <w:color w:val="000000"/>
        </w:rPr>
      </w:pPr>
      <w:r w:rsidRPr="00E37D83">
        <w:rPr>
          <w:bCs/>
          <w:color w:val="000000"/>
        </w:rPr>
        <w:t xml:space="preserve">Weight loss </w:t>
      </w:r>
      <w:r w:rsidR="00AD50F0" w:rsidRPr="00E37D83">
        <w:rPr>
          <w:bCs/>
          <w:color w:val="000000"/>
        </w:rPr>
        <w:t>≥</w:t>
      </w:r>
      <w:r w:rsidR="00E36402" w:rsidRPr="00E37D83">
        <w:rPr>
          <w:bCs/>
          <w:color w:val="000000"/>
        </w:rPr>
        <w:t xml:space="preserve"> </w:t>
      </w:r>
      <w:r w:rsidRPr="00E37D83">
        <w:rPr>
          <w:bCs/>
          <w:color w:val="000000"/>
        </w:rPr>
        <w:t>10%</w:t>
      </w:r>
      <w:r w:rsidR="0022416B" w:rsidRPr="00E37D83">
        <w:rPr>
          <w:bCs/>
          <w:color w:val="000000"/>
        </w:rPr>
        <w:t>;</w:t>
      </w:r>
      <w:r w:rsidR="00A46E18" w:rsidRPr="00E37D83">
        <w:rPr>
          <w:bCs/>
          <w:color w:val="000000"/>
        </w:rPr>
        <w:t xml:space="preserve"> </w:t>
      </w:r>
    </w:p>
    <w:p w14:paraId="4D54033E" w14:textId="64CB1FBB" w:rsidR="00AA7C66" w:rsidRPr="00E37D83" w:rsidRDefault="00AA7C66" w:rsidP="009F1A44">
      <w:pPr>
        <w:pStyle w:val="ListParagraph"/>
        <w:numPr>
          <w:ilvl w:val="0"/>
          <w:numId w:val="35"/>
        </w:numPr>
        <w:ind w:left="1080"/>
        <w:rPr>
          <w:bCs/>
          <w:color w:val="000000"/>
        </w:rPr>
      </w:pPr>
      <w:r w:rsidRPr="00E37D83">
        <w:rPr>
          <w:bCs/>
          <w:color w:val="000000"/>
        </w:rPr>
        <w:lastRenderedPageBreak/>
        <w:t>Elevated direct-reacting</w:t>
      </w:r>
      <w:r w:rsidR="00AD50F0" w:rsidRPr="00E37D83">
        <w:rPr>
          <w:bCs/>
          <w:color w:val="000000"/>
        </w:rPr>
        <w:t>/conjugated</w:t>
      </w:r>
      <w:r w:rsidRPr="00E37D83">
        <w:rPr>
          <w:bCs/>
          <w:color w:val="000000"/>
        </w:rPr>
        <w:t xml:space="preserve"> bilirubin</w:t>
      </w:r>
      <w:r w:rsidR="0022416B" w:rsidRPr="00E37D83">
        <w:rPr>
          <w:bCs/>
          <w:color w:val="000000"/>
        </w:rPr>
        <w:t>;</w:t>
      </w:r>
      <w:r w:rsidR="00A46E18" w:rsidRPr="00E37D83">
        <w:rPr>
          <w:bCs/>
          <w:color w:val="000000"/>
        </w:rPr>
        <w:t xml:space="preserve"> </w:t>
      </w:r>
    </w:p>
    <w:p w14:paraId="2B0D2EC7" w14:textId="751D99F5" w:rsidR="00AA7C66" w:rsidRPr="00E37D83" w:rsidRDefault="00AA7C66" w:rsidP="009F1A44">
      <w:pPr>
        <w:pStyle w:val="ListParagraph"/>
        <w:numPr>
          <w:ilvl w:val="0"/>
          <w:numId w:val="35"/>
        </w:numPr>
        <w:ind w:left="1080"/>
        <w:rPr>
          <w:bCs/>
          <w:color w:val="000000"/>
        </w:rPr>
      </w:pPr>
      <w:r w:rsidRPr="00E37D83">
        <w:rPr>
          <w:bCs/>
          <w:color w:val="000000"/>
        </w:rPr>
        <w:t>Jaundice</w:t>
      </w:r>
      <w:r w:rsidR="00E92B74" w:rsidRPr="00E37D83">
        <w:rPr>
          <w:bCs/>
          <w:color w:val="000000"/>
        </w:rPr>
        <w:t xml:space="preserve"> appearing </w:t>
      </w:r>
      <w:r w:rsidRPr="00E37D83">
        <w:rPr>
          <w:bCs/>
          <w:color w:val="000000"/>
        </w:rPr>
        <w:t>in first 24 hours of life</w:t>
      </w:r>
      <w:r w:rsidR="0022416B" w:rsidRPr="00E37D83">
        <w:rPr>
          <w:bCs/>
          <w:color w:val="000000"/>
        </w:rPr>
        <w:t>;</w:t>
      </w:r>
    </w:p>
    <w:p w14:paraId="7A75E13A" w14:textId="60FF2343" w:rsidR="00065818" w:rsidRPr="00E37D83" w:rsidRDefault="00065818" w:rsidP="009F1A44">
      <w:pPr>
        <w:pStyle w:val="ListParagraph"/>
        <w:numPr>
          <w:ilvl w:val="0"/>
          <w:numId w:val="35"/>
        </w:numPr>
        <w:ind w:left="1080"/>
        <w:rPr>
          <w:bCs/>
          <w:color w:val="000000"/>
        </w:rPr>
      </w:pPr>
      <w:r w:rsidRPr="00E37D83">
        <w:rPr>
          <w:bCs/>
          <w:color w:val="000000"/>
        </w:rPr>
        <w:t>Laboratory or clinical evidence of hypothyroidism</w:t>
      </w:r>
      <w:r w:rsidR="0022416B" w:rsidRPr="00E37D83">
        <w:rPr>
          <w:bCs/>
          <w:color w:val="000000"/>
        </w:rPr>
        <w:t>;</w:t>
      </w:r>
      <w:r w:rsidR="00A46E18" w:rsidRPr="00E37D83">
        <w:rPr>
          <w:bCs/>
          <w:color w:val="000000"/>
        </w:rPr>
        <w:t xml:space="preserve"> </w:t>
      </w:r>
    </w:p>
    <w:p w14:paraId="244D5870" w14:textId="26AB59E0" w:rsidR="00B55A16" w:rsidRPr="00E37D83" w:rsidRDefault="001E1D56" w:rsidP="009F1A44">
      <w:pPr>
        <w:pStyle w:val="ListParagraph"/>
        <w:numPr>
          <w:ilvl w:val="0"/>
          <w:numId w:val="35"/>
        </w:numPr>
        <w:ind w:left="1080"/>
        <w:rPr>
          <w:bCs/>
        </w:rPr>
      </w:pPr>
      <w:r w:rsidRPr="00E37D83">
        <w:rPr>
          <w:bCs/>
        </w:rPr>
        <w:t>Significant clinical instability in the previous 24 hours</w:t>
      </w:r>
      <w:r w:rsidR="00C254D7" w:rsidRPr="00E37D83">
        <w:rPr>
          <w:bCs/>
        </w:rPr>
        <w:t>;</w:t>
      </w:r>
      <w:r w:rsidRPr="00E37D83">
        <w:rPr>
          <w:bCs/>
        </w:rPr>
        <w:t xml:space="preserve"> </w:t>
      </w:r>
    </w:p>
    <w:p w14:paraId="31439961" w14:textId="0BA854AD" w:rsidR="00BE79B1" w:rsidRPr="00E37D83" w:rsidRDefault="007C0D47" w:rsidP="009F1A44">
      <w:pPr>
        <w:pStyle w:val="ListParagraph"/>
        <w:numPr>
          <w:ilvl w:val="0"/>
          <w:numId w:val="35"/>
        </w:numPr>
        <w:ind w:left="1080"/>
        <w:rPr>
          <w:bCs/>
        </w:rPr>
      </w:pPr>
      <w:r w:rsidRPr="00E37D83">
        <w:rPr>
          <w:bCs/>
        </w:rPr>
        <w:t>Clinical history of a p</w:t>
      </w:r>
      <w:r w:rsidR="00266C52" w:rsidRPr="00E37D83">
        <w:rPr>
          <w:bCs/>
        </w:rPr>
        <w:t>arent or sibling requiring phototherapy or exchange transfusion</w:t>
      </w:r>
      <w:r w:rsidR="00C254D7" w:rsidRPr="00E37D83">
        <w:rPr>
          <w:bCs/>
        </w:rPr>
        <w:t>;</w:t>
      </w:r>
    </w:p>
    <w:p w14:paraId="1795D89C" w14:textId="70444FD9" w:rsidR="00266C52" w:rsidRPr="00E37D83" w:rsidRDefault="0010646A" w:rsidP="009F1A44">
      <w:pPr>
        <w:pStyle w:val="ListParagraph"/>
        <w:numPr>
          <w:ilvl w:val="0"/>
          <w:numId w:val="35"/>
        </w:numPr>
        <w:ind w:left="1080"/>
        <w:rPr>
          <w:bCs/>
        </w:rPr>
      </w:pPr>
      <w:r w:rsidRPr="00E37D83">
        <w:rPr>
          <w:bCs/>
        </w:rPr>
        <w:t xml:space="preserve">Exclusive </w:t>
      </w:r>
      <w:r w:rsidR="009416EE" w:rsidRPr="00E37D83">
        <w:rPr>
          <w:bCs/>
        </w:rPr>
        <w:t xml:space="preserve">breastfeeding or </w:t>
      </w:r>
      <w:r w:rsidR="00DB12F6" w:rsidRPr="00E37D83">
        <w:rPr>
          <w:bCs/>
        </w:rPr>
        <w:t>chest</w:t>
      </w:r>
      <w:r w:rsidR="00204648" w:rsidRPr="00E37D83">
        <w:rPr>
          <w:bCs/>
        </w:rPr>
        <w:t xml:space="preserve"> </w:t>
      </w:r>
      <w:r w:rsidRPr="00E37D83">
        <w:rPr>
          <w:bCs/>
        </w:rPr>
        <w:t>feeding with suboptimal intake</w:t>
      </w:r>
      <w:r w:rsidR="008F359E" w:rsidRPr="00E37D83">
        <w:rPr>
          <w:bCs/>
        </w:rPr>
        <w:t xml:space="preserve"> </w:t>
      </w:r>
    </w:p>
    <w:p w14:paraId="118B8B9D" w14:textId="4753B370" w:rsidR="0010646A" w:rsidRPr="00E37D83" w:rsidRDefault="00A624F5" w:rsidP="009F1A44">
      <w:pPr>
        <w:pStyle w:val="ListParagraph"/>
        <w:numPr>
          <w:ilvl w:val="0"/>
          <w:numId w:val="35"/>
        </w:numPr>
        <w:ind w:left="1080"/>
        <w:rPr>
          <w:bCs/>
        </w:rPr>
      </w:pPr>
      <w:r w:rsidRPr="00E37D83">
        <w:rPr>
          <w:bCs/>
        </w:rPr>
        <w:t>Down syndrome</w:t>
      </w:r>
      <w:r w:rsidR="00C254D7" w:rsidRPr="00E37D83">
        <w:rPr>
          <w:bCs/>
        </w:rPr>
        <w:t>;</w:t>
      </w:r>
    </w:p>
    <w:p w14:paraId="43322EF1" w14:textId="39DB47BF" w:rsidR="00C608B3" w:rsidRPr="00E37D83" w:rsidRDefault="00A624F5" w:rsidP="00F22A65">
      <w:pPr>
        <w:pStyle w:val="ListParagraph"/>
        <w:numPr>
          <w:ilvl w:val="0"/>
          <w:numId w:val="35"/>
        </w:numPr>
        <w:ind w:left="1080"/>
        <w:rPr>
          <w:bCs/>
        </w:rPr>
      </w:pPr>
      <w:r w:rsidRPr="00E37D83">
        <w:rPr>
          <w:bCs/>
        </w:rPr>
        <w:t>Macrosomic infant of a diabetic mother</w:t>
      </w:r>
      <w:r w:rsidR="00104DBF" w:rsidRPr="00E37D83">
        <w:rPr>
          <w:bCs/>
        </w:rPr>
        <w:t>;</w:t>
      </w:r>
    </w:p>
    <w:p w14:paraId="17800863" w14:textId="77777777" w:rsidR="00992507" w:rsidRDefault="00992507" w:rsidP="00F22A65">
      <w:pPr>
        <w:pStyle w:val="ListParagraph"/>
        <w:rPr>
          <w:bCs/>
          <w:color w:val="000000"/>
        </w:rPr>
      </w:pPr>
    </w:p>
    <w:p w14:paraId="25395444" w14:textId="5007CB9C" w:rsidR="00302873" w:rsidRPr="00B11405" w:rsidRDefault="00302873" w:rsidP="00B11405">
      <w:pPr>
        <w:pStyle w:val="ListParagraph"/>
        <w:numPr>
          <w:ilvl w:val="2"/>
          <w:numId w:val="11"/>
        </w:numPr>
        <w:ind w:left="720" w:hanging="360"/>
      </w:pPr>
      <w:r w:rsidRPr="00B11405">
        <w:t>TSB is wi</w:t>
      </w:r>
      <w:r w:rsidR="00CA0F04" w:rsidRPr="00B11405">
        <w:t>thin the levels noted in Table 1</w:t>
      </w:r>
      <w:r w:rsidRPr="00B11405">
        <w:t xml:space="preserve"> below:</w:t>
      </w:r>
    </w:p>
    <w:p w14:paraId="0000312A" w14:textId="2CDE9549" w:rsidR="004D5B5E" w:rsidRPr="00662D36" w:rsidRDefault="00CA0F04" w:rsidP="00136BB1">
      <w:pPr>
        <w:pStyle w:val="ListParagraph"/>
        <w:rPr>
          <w:bCs/>
          <w:color w:val="000000"/>
        </w:rPr>
      </w:pPr>
      <w:r w:rsidRPr="00662D36">
        <w:rPr>
          <w:bCs/>
          <w:color w:val="000000"/>
        </w:rPr>
        <w:t>Table 1</w:t>
      </w:r>
      <w:r w:rsidR="00AB4887" w:rsidRPr="00662D36">
        <w:rPr>
          <w:bCs/>
          <w:color w:val="000000"/>
        </w:rPr>
        <w:t>. Acceptable TSB levels for home phototherapy in infants without risk factors, by age</w:t>
      </w:r>
      <w:r w:rsidR="00662D36">
        <w:rPr>
          <w:bCs/>
          <w:color w:val="000000"/>
        </w:rPr>
        <w:t>:</w:t>
      </w:r>
    </w:p>
    <w:p w14:paraId="766ECA21" w14:textId="77777777" w:rsidR="00662D36" w:rsidRPr="007C050D" w:rsidRDefault="00662D36" w:rsidP="00E053B8">
      <w:pPr>
        <w:pStyle w:val="ListParagraph"/>
        <w:tabs>
          <w:tab w:val="left" w:pos="450"/>
        </w:tabs>
        <w:rPr>
          <w:b/>
          <w:bCs/>
          <w:color w:val="000000"/>
          <w:sz w:val="22"/>
          <w:szCs w:val="20"/>
          <w:vertAlign w:val="superscript"/>
        </w:rPr>
      </w:pPr>
    </w:p>
    <w:tbl>
      <w:tblPr>
        <w:tblW w:w="3690" w:type="dxa"/>
        <w:tblInd w:w="802" w:type="dxa"/>
        <w:tblBorders>
          <w:top w:val="single" w:sz="12" w:space="0" w:color="DBDBDB"/>
          <w:left w:val="single" w:sz="12" w:space="0" w:color="DBDBDB"/>
          <w:bottom w:val="single" w:sz="12" w:space="0" w:color="DBDBDB"/>
          <w:right w:val="single" w:sz="2" w:space="0" w:color="DBDBDB"/>
        </w:tblBorders>
        <w:shd w:val="clear" w:color="auto" w:fill="FFFFFF"/>
        <w:tblCellMar>
          <w:top w:w="75" w:type="dxa"/>
          <w:left w:w="75" w:type="dxa"/>
          <w:bottom w:w="75" w:type="dxa"/>
          <w:right w:w="75" w:type="dxa"/>
        </w:tblCellMar>
        <w:tblLook w:val="04A0" w:firstRow="1" w:lastRow="0" w:firstColumn="1" w:lastColumn="0" w:noHBand="0" w:noVBand="1"/>
      </w:tblPr>
      <w:tblGrid>
        <w:gridCol w:w="1710"/>
        <w:gridCol w:w="1980"/>
      </w:tblGrid>
      <w:tr w:rsidR="00302873" w:rsidRPr="00317DB3" w14:paraId="4E0C4A61" w14:textId="7F8CA3F2" w:rsidTr="009F1A44">
        <w:tc>
          <w:tcPr>
            <w:tcW w:w="1710" w:type="dxa"/>
            <w:tcBorders>
              <w:top w:val="single" w:sz="12" w:space="0" w:color="DBDBDB"/>
              <w:left w:val="outset" w:sz="6" w:space="0" w:color="auto"/>
              <w:bottom w:val="outset" w:sz="6" w:space="0" w:color="auto"/>
              <w:right w:val="single" w:sz="12" w:space="0" w:color="DBDBDB"/>
            </w:tcBorders>
            <w:shd w:val="clear" w:color="auto" w:fill="00548C"/>
            <w:hideMark/>
          </w:tcPr>
          <w:p w14:paraId="1196DAA3" w14:textId="7B02990F" w:rsidR="00302873" w:rsidRPr="000E0BC7" w:rsidRDefault="00302873" w:rsidP="00772107">
            <w:pPr>
              <w:rPr>
                <w:color w:val="FFFFFF" w:themeColor="background1"/>
              </w:rPr>
            </w:pPr>
            <w:r w:rsidRPr="000E0BC7">
              <w:rPr>
                <w:b/>
                <w:bCs/>
                <w:color w:val="FFFFFF" w:themeColor="background1"/>
              </w:rPr>
              <w:t xml:space="preserve">Age </w:t>
            </w:r>
          </w:p>
        </w:tc>
        <w:tc>
          <w:tcPr>
            <w:tcW w:w="1980" w:type="dxa"/>
            <w:tcBorders>
              <w:top w:val="single" w:sz="12" w:space="0" w:color="DBDBDB"/>
              <w:left w:val="outset" w:sz="6" w:space="0" w:color="auto"/>
              <w:bottom w:val="outset" w:sz="6" w:space="0" w:color="auto"/>
              <w:right w:val="single" w:sz="12" w:space="0" w:color="DBDBDB"/>
            </w:tcBorders>
            <w:shd w:val="clear" w:color="auto" w:fill="00548C"/>
            <w:hideMark/>
          </w:tcPr>
          <w:p w14:paraId="634E4DD2" w14:textId="59BB3FD5" w:rsidR="00302873" w:rsidRPr="000E0BC7" w:rsidRDefault="00302873" w:rsidP="00E053B8">
            <w:pPr>
              <w:rPr>
                <w:color w:val="FFFFFF" w:themeColor="background1"/>
              </w:rPr>
            </w:pPr>
            <w:r w:rsidRPr="000E0BC7">
              <w:rPr>
                <w:b/>
                <w:bCs/>
                <w:color w:val="FFFFFF" w:themeColor="background1"/>
              </w:rPr>
              <w:t xml:space="preserve">TSB Level </w:t>
            </w:r>
          </w:p>
        </w:tc>
      </w:tr>
      <w:tr w:rsidR="00302873" w:rsidRPr="00317DB3" w14:paraId="4E545937" w14:textId="254D6553" w:rsidTr="0071043D">
        <w:trPr>
          <w:trHeight w:val="183"/>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488E43F4" w14:textId="314EA247" w:rsidR="00302873" w:rsidRPr="000E0BC7" w:rsidRDefault="00302873" w:rsidP="00772107">
            <w:r>
              <w:t>24</w:t>
            </w:r>
            <w:r w:rsidR="008010B5">
              <w:t xml:space="preserve"> to </w:t>
            </w:r>
            <w:r>
              <w:t>36 hours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4D1C3E1" w14:textId="60B7F761" w:rsidR="00302873" w:rsidRDefault="00121B71" w:rsidP="00772107">
            <w:r>
              <w:t>≤ 11</w:t>
            </w:r>
            <w:r w:rsidR="00E053B8">
              <w:t xml:space="preserve"> mg/</w:t>
            </w:r>
            <w:r w:rsidR="0065249A">
              <w:t xml:space="preserve">                                                     </w:t>
            </w:r>
            <w:r w:rsidR="00747D1C">
              <w:t xml:space="preserve">              </w:t>
            </w:r>
            <w:r w:rsidR="00E053B8">
              <w:t>dL</w:t>
            </w:r>
          </w:p>
        </w:tc>
      </w:tr>
      <w:tr w:rsidR="00302873" w:rsidRPr="00317DB3" w14:paraId="4D66ACEC" w14:textId="69BC4DF7" w:rsidTr="0071043D">
        <w:trPr>
          <w:trHeight w:val="183"/>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14EF81F4" w14:textId="6DEA2786" w:rsidR="00302873" w:rsidRPr="000E0BC7" w:rsidRDefault="00302873" w:rsidP="00772107">
            <w:r>
              <w:t>36</w:t>
            </w:r>
            <w:r w:rsidR="008010B5">
              <w:t xml:space="preserve"> to </w:t>
            </w:r>
            <w:r w:rsidRPr="000E0BC7">
              <w:t>48</w:t>
            </w:r>
            <w:r>
              <w:t xml:space="preserve"> hours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4359217E" w14:textId="758E28B3" w:rsidR="00302873" w:rsidRPr="000E0BC7" w:rsidRDefault="00302873" w:rsidP="00772107">
            <w:r>
              <w:t>≤ 1</w:t>
            </w:r>
            <w:r w:rsidR="00121B71">
              <w:t>4</w:t>
            </w:r>
            <w:r w:rsidR="00E053B8">
              <w:t xml:space="preserve"> mg/dL</w:t>
            </w:r>
          </w:p>
        </w:tc>
      </w:tr>
      <w:tr w:rsidR="00302873" w:rsidRPr="00317DB3" w14:paraId="1C4F9F1D" w14:textId="7BF8B41C" w:rsidTr="0071043D">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7704C4E1" w14:textId="3A18FEB3" w:rsidR="00302873" w:rsidRPr="000E0BC7" w:rsidRDefault="00302873" w:rsidP="00772107">
            <w:r>
              <w:t>48</w:t>
            </w:r>
            <w:r w:rsidR="008010B5">
              <w:t xml:space="preserve"> to </w:t>
            </w:r>
            <w:r>
              <w:t>60 hours</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0D01E234" w14:textId="05ADEA0D" w:rsidR="00302873" w:rsidRPr="000E0BC7" w:rsidRDefault="00302873" w:rsidP="00772107">
            <w:r>
              <w:t>≤ 1</w:t>
            </w:r>
            <w:r w:rsidR="00121B71">
              <w:t>5</w:t>
            </w:r>
            <w:r w:rsidR="00E053B8">
              <w:t xml:space="preserve"> mg/dL</w:t>
            </w:r>
          </w:p>
        </w:tc>
      </w:tr>
      <w:tr w:rsidR="00302873" w:rsidRPr="00317DB3" w14:paraId="3912D7B0" w14:textId="051E2ECF" w:rsidTr="0071043D">
        <w:tc>
          <w:tcPr>
            <w:tcW w:w="1710" w:type="dxa"/>
            <w:tcBorders>
              <w:top w:val="single" w:sz="4" w:space="0" w:color="auto"/>
              <w:left w:val="single" w:sz="4" w:space="0" w:color="auto"/>
              <w:bottom w:val="single" w:sz="4" w:space="0" w:color="auto"/>
              <w:right w:val="single" w:sz="4" w:space="0" w:color="auto"/>
            </w:tcBorders>
            <w:shd w:val="clear" w:color="auto" w:fill="auto"/>
          </w:tcPr>
          <w:p w14:paraId="3597D42F" w14:textId="7E8EFE8B" w:rsidR="00302873" w:rsidRPr="000E0BC7" w:rsidRDefault="00302873" w:rsidP="00772107">
            <w:r>
              <w:t>60</w:t>
            </w:r>
            <w:r w:rsidR="008010B5">
              <w:t xml:space="preserve"> to</w:t>
            </w:r>
            <w:r w:rsidR="00662D36">
              <w:t xml:space="preserve"> </w:t>
            </w:r>
            <w:r>
              <w:t>72 hours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CB3CED7" w14:textId="14B1D3FC" w:rsidR="00302873" w:rsidRDefault="00302873" w:rsidP="00772107">
            <w:r>
              <w:t>≤ 1</w:t>
            </w:r>
            <w:r w:rsidR="00121B71">
              <w:t>6</w:t>
            </w:r>
            <w:r w:rsidR="00E053B8">
              <w:t xml:space="preserve"> mg/dL</w:t>
            </w:r>
          </w:p>
        </w:tc>
      </w:tr>
      <w:tr w:rsidR="00302873" w:rsidRPr="00317DB3" w14:paraId="7186D753" w14:textId="6C5D0C08" w:rsidTr="0071043D">
        <w:tc>
          <w:tcPr>
            <w:tcW w:w="1710" w:type="dxa"/>
            <w:tcBorders>
              <w:top w:val="single" w:sz="4" w:space="0" w:color="auto"/>
              <w:left w:val="single" w:sz="4" w:space="0" w:color="auto"/>
              <w:bottom w:val="single" w:sz="4" w:space="0" w:color="auto"/>
              <w:right w:val="single" w:sz="4" w:space="0" w:color="auto"/>
            </w:tcBorders>
            <w:shd w:val="clear" w:color="auto" w:fill="auto"/>
          </w:tcPr>
          <w:p w14:paraId="22E93CA7" w14:textId="0C7E8E20" w:rsidR="00302873" w:rsidRPr="000E0BC7" w:rsidRDefault="00302873" w:rsidP="00772107">
            <w:r>
              <w:t>&gt;</w:t>
            </w:r>
            <w:r w:rsidR="00DB71E4">
              <w:t xml:space="preserve"> </w:t>
            </w:r>
            <w:r>
              <w:t>72 hours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8C8919B" w14:textId="531BCB8F" w:rsidR="00302873" w:rsidRDefault="00302873" w:rsidP="00772107">
            <w:r>
              <w:t>≤ 1</w:t>
            </w:r>
            <w:r w:rsidR="00121B71">
              <w:t>7</w:t>
            </w:r>
            <w:r w:rsidR="00E053B8">
              <w:t xml:space="preserve"> mg/dL</w:t>
            </w:r>
          </w:p>
        </w:tc>
      </w:tr>
    </w:tbl>
    <w:p w14:paraId="1F492D1B" w14:textId="48A37C00" w:rsidR="001F615C" w:rsidRPr="00075993" w:rsidRDefault="001F615C" w:rsidP="00F22A65">
      <w:pPr>
        <w:pStyle w:val="ListParagraph"/>
        <w:rPr>
          <w:bCs/>
          <w:color w:val="000000"/>
        </w:rPr>
      </w:pPr>
    </w:p>
    <w:p w14:paraId="6E9D9CE4" w14:textId="05199D81" w:rsidR="00AB310F" w:rsidRPr="00F22A65" w:rsidRDefault="00AB310F" w:rsidP="00F22A65">
      <w:pPr>
        <w:pStyle w:val="ListParagraph"/>
        <w:rPr>
          <w:b/>
        </w:rPr>
      </w:pPr>
      <w:r w:rsidRPr="00F22A65">
        <w:rPr>
          <w:b/>
        </w:rPr>
        <w:t xml:space="preserve">*Note: </w:t>
      </w:r>
      <w:r w:rsidR="005C71E5" w:rsidRPr="00F22A65">
        <w:rPr>
          <w:bCs/>
        </w:rPr>
        <w:t xml:space="preserve">The TSB home phototherapy table </w:t>
      </w:r>
      <w:r w:rsidR="00B60523" w:rsidRPr="00F22A65">
        <w:rPr>
          <w:bCs/>
        </w:rPr>
        <w:t>a</w:t>
      </w:r>
      <w:r w:rsidR="009547C4" w:rsidRPr="00F22A65">
        <w:rPr>
          <w:bCs/>
        </w:rPr>
        <w:t>bove</w:t>
      </w:r>
      <w:r w:rsidR="005C71E5" w:rsidRPr="00F22A65">
        <w:rPr>
          <w:bCs/>
        </w:rPr>
        <w:t xml:space="preserve"> allows for conservative TSB levels to align with</w:t>
      </w:r>
      <w:r w:rsidR="00BD6DA1" w:rsidRPr="00F22A65">
        <w:rPr>
          <w:bCs/>
        </w:rPr>
        <w:t xml:space="preserve"> the lower </w:t>
      </w:r>
      <w:r w:rsidR="009547C4" w:rsidRPr="00F22A65">
        <w:rPr>
          <w:bCs/>
        </w:rPr>
        <w:t xml:space="preserve">age </w:t>
      </w:r>
      <w:r w:rsidR="00BD6DA1" w:rsidRPr="00F22A65">
        <w:rPr>
          <w:bCs/>
        </w:rPr>
        <w:t>limit</w:t>
      </w:r>
      <w:r w:rsidR="009547C4" w:rsidRPr="00F22A65">
        <w:rPr>
          <w:bCs/>
        </w:rPr>
        <w:t xml:space="preserve"> in hours provided in</w:t>
      </w:r>
      <w:r w:rsidR="00BD6DA1" w:rsidRPr="00F22A65">
        <w:rPr>
          <w:bCs/>
        </w:rPr>
        <w:t xml:space="preserve"> the age ranges for</w:t>
      </w:r>
      <w:r w:rsidR="005C71E5" w:rsidRPr="00F22A65">
        <w:rPr>
          <w:bCs/>
        </w:rPr>
        <w:t xml:space="preserve"> inpatient criteria for hyperbilirubinemia</w:t>
      </w:r>
      <w:r w:rsidR="00DF6742" w:rsidRPr="00F22A65">
        <w:rPr>
          <w:bCs/>
        </w:rPr>
        <w:t xml:space="preserve"> (see section II).</w:t>
      </w:r>
    </w:p>
    <w:p w14:paraId="1638F72D" w14:textId="29045FB2" w:rsidR="00AB310F" w:rsidRPr="0015652C" w:rsidRDefault="00AB310F" w:rsidP="00136BB1">
      <w:pPr>
        <w:rPr>
          <w:bCs/>
        </w:rPr>
      </w:pPr>
    </w:p>
    <w:p w14:paraId="56E86C27" w14:textId="2FCD796B" w:rsidR="00DF6742" w:rsidRPr="00F22A65" w:rsidRDefault="001F615C" w:rsidP="00B60523">
      <w:pPr>
        <w:pStyle w:val="ListParagraph"/>
        <w:numPr>
          <w:ilvl w:val="0"/>
          <w:numId w:val="32"/>
        </w:numPr>
        <w:ind w:left="360"/>
        <w:rPr>
          <w:b/>
        </w:rPr>
      </w:pPr>
      <w:bookmarkStart w:id="1" w:name="_Hlk175731475"/>
      <w:r w:rsidRPr="008D6DE3">
        <w:rPr>
          <w:bCs/>
        </w:rPr>
        <w:t>It is the policy of Centene</w:t>
      </w:r>
      <w:r>
        <w:rPr>
          <w:bCs/>
        </w:rPr>
        <w:t xml:space="preserve"> Corporation that</w:t>
      </w:r>
      <w:r w:rsidRPr="008D6DE3">
        <w:rPr>
          <w:bCs/>
        </w:rPr>
        <w:t xml:space="preserve"> </w:t>
      </w:r>
      <w:r>
        <w:rPr>
          <w:bCs/>
        </w:rPr>
        <w:t>when criteria for home phototherapy</w:t>
      </w:r>
      <w:r w:rsidR="004549A1">
        <w:rPr>
          <w:bCs/>
        </w:rPr>
        <w:t xml:space="preserve"> are</w:t>
      </w:r>
      <w:r>
        <w:rPr>
          <w:bCs/>
        </w:rPr>
        <w:t xml:space="preserve"> met, inpatient</w:t>
      </w:r>
      <w:r w:rsidR="00A96185">
        <w:rPr>
          <w:bCs/>
        </w:rPr>
        <w:t xml:space="preserve"> phototherapy</w:t>
      </w:r>
      <w:r>
        <w:rPr>
          <w:bCs/>
        </w:rPr>
        <w:t xml:space="preserve"> for hyperbilirubinemia is </w:t>
      </w:r>
      <w:r w:rsidRPr="00075993">
        <w:rPr>
          <w:b/>
          <w:bCs/>
        </w:rPr>
        <w:t>not medically necessary</w:t>
      </w:r>
      <w:r>
        <w:rPr>
          <w:bCs/>
        </w:rPr>
        <w:t xml:space="preserve"> unless documentation of extenuating circumstances</w:t>
      </w:r>
      <w:r w:rsidR="009A5C02">
        <w:rPr>
          <w:bCs/>
        </w:rPr>
        <w:t xml:space="preserve"> (including, but not limited to, expected </w:t>
      </w:r>
      <w:r w:rsidR="003905FE">
        <w:rPr>
          <w:bCs/>
        </w:rPr>
        <w:t xml:space="preserve">lack of </w:t>
      </w:r>
      <w:r w:rsidR="005C78CC">
        <w:rPr>
          <w:bCs/>
        </w:rPr>
        <w:t>ability to adhere to</w:t>
      </w:r>
      <w:r w:rsidR="009A5C02">
        <w:rPr>
          <w:bCs/>
        </w:rPr>
        <w:t xml:space="preserve"> therapy at home)</w:t>
      </w:r>
      <w:r>
        <w:rPr>
          <w:bCs/>
        </w:rPr>
        <w:t xml:space="preserve"> is provided.</w:t>
      </w:r>
      <w:r w:rsidR="00BD6DA1">
        <w:rPr>
          <w:bCs/>
        </w:rPr>
        <w:t xml:space="preserve"> </w:t>
      </w:r>
    </w:p>
    <w:bookmarkEnd w:id="1"/>
    <w:p w14:paraId="234548D1" w14:textId="77777777" w:rsidR="00DF6742" w:rsidRPr="00F22A65" w:rsidRDefault="00DF6742" w:rsidP="00F22A65">
      <w:pPr>
        <w:pStyle w:val="ListParagraph"/>
        <w:ind w:left="360"/>
        <w:rPr>
          <w:b/>
        </w:rPr>
      </w:pPr>
    </w:p>
    <w:p w14:paraId="1D15CB67" w14:textId="77777777" w:rsidR="003905FE" w:rsidRDefault="00DF6742" w:rsidP="009A5C02">
      <w:pPr>
        <w:pStyle w:val="ListParagraph"/>
        <w:rPr>
          <w:bCs/>
        </w:rPr>
      </w:pPr>
      <w:r w:rsidRPr="00F22A65">
        <w:rPr>
          <w:b/>
        </w:rPr>
        <w:t>* Note:</w:t>
      </w:r>
      <w:r w:rsidRPr="00F22A65">
        <w:rPr>
          <w:bCs/>
        </w:rPr>
        <w:t xml:space="preserve"> </w:t>
      </w:r>
    </w:p>
    <w:p w14:paraId="0E4BDC8C" w14:textId="1CED6F8B" w:rsidR="009A5C02" w:rsidRPr="009A5C02" w:rsidRDefault="00BD6DA1" w:rsidP="00FA3F7D">
      <w:pPr>
        <w:pStyle w:val="ListParagraph"/>
        <w:numPr>
          <w:ilvl w:val="0"/>
          <w:numId w:val="46"/>
        </w:numPr>
        <w:ind w:left="1080"/>
        <w:rPr>
          <w:bCs/>
        </w:rPr>
      </w:pPr>
      <w:r w:rsidRPr="00F22A65">
        <w:rPr>
          <w:bCs/>
        </w:rPr>
        <w:t xml:space="preserve">Infants should be admitted for inpatient phototherapy if the TSB concentration is more than 1 mg/dL above the </w:t>
      </w:r>
      <w:r w:rsidR="00F02EDC" w:rsidRPr="00F02EDC">
        <w:rPr>
          <w:bCs/>
        </w:rPr>
        <w:t xml:space="preserve">American Academy of Pediatrics </w:t>
      </w:r>
      <w:r w:rsidR="00110C2A">
        <w:rPr>
          <w:bCs/>
        </w:rPr>
        <w:t>(</w:t>
      </w:r>
      <w:r w:rsidRPr="00F22A65">
        <w:rPr>
          <w:bCs/>
        </w:rPr>
        <w:t>AAP</w:t>
      </w:r>
      <w:r w:rsidR="00110C2A">
        <w:rPr>
          <w:bCs/>
        </w:rPr>
        <w:t>)</w:t>
      </w:r>
      <w:r w:rsidRPr="00F22A65">
        <w:rPr>
          <w:bCs/>
        </w:rPr>
        <w:t xml:space="preserve"> guidelines phototherapy treatment threshold</w:t>
      </w:r>
      <w:r w:rsidR="009A5C02">
        <w:rPr>
          <w:bCs/>
        </w:rPr>
        <w:t xml:space="preserve"> in the </w:t>
      </w:r>
      <w:r w:rsidR="009A5C02" w:rsidRPr="009A5C02">
        <w:rPr>
          <w:bCs/>
        </w:rPr>
        <w:t xml:space="preserve">hyperbilirubinemia risk calculator </w:t>
      </w:r>
      <w:r w:rsidR="009A5C02">
        <w:rPr>
          <w:bCs/>
        </w:rPr>
        <w:t xml:space="preserve">at </w:t>
      </w:r>
    </w:p>
    <w:p w14:paraId="45C81F04" w14:textId="000463F1" w:rsidR="004818F4" w:rsidRDefault="00D00AE8" w:rsidP="00FA3F7D">
      <w:pPr>
        <w:pStyle w:val="ListParagraph"/>
        <w:ind w:left="1080"/>
        <w:rPr>
          <w:bCs/>
        </w:rPr>
      </w:pPr>
      <w:hyperlink r:id="rId17" w:history="1">
        <w:r w:rsidRPr="00386158">
          <w:rPr>
            <w:rStyle w:val="Hyperlink"/>
            <w:bCs/>
          </w:rPr>
          <w:t>https://peditools.org/bili2022/index.php</w:t>
        </w:r>
      </w:hyperlink>
      <w:r>
        <w:rPr>
          <w:bCs/>
        </w:rPr>
        <w:t xml:space="preserve">. </w:t>
      </w:r>
      <w:r w:rsidR="00DF6742" w:rsidRPr="00F22A65">
        <w:rPr>
          <w:bCs/>
        </w:rPr>
        <w:t>The</w:t>
      </w:r>
      <w:r w:rsidR="00DF6742">
        <w:rPr>
          <w:bCs/>
        </w:rPr>
        <w:t xml:space="preserve"> values in Table 1 above offer phototherapy at levels consistent with the AAP statement that phototherapy can be offered below the AAP treatment threshold per the provider’s discretion.</w:t>
      </w:r>
    </w:p>
    <w:p w14:paraId="503D398E" w14:textId="4E1514C1" w:rsidR="003905FE" w:rsidRPr="009A5C02" w:rsidRDefault="00FA771C" w:rsidP="00FA3F7D">
      <w:pPr>
        <w:pStyle w:val="ListParagraph"/>
        <w:numPr>
          <w:ilvl w:val="0"/>
          <w:numId w:val="46"/>
        </w:numPr>
        <w:ind w:left="1080"/>
        <w:rPr>
          <w:b/>
        </w:rPr>
      </w:pPr>
      <w:r>
        <w:rPr>
          <w:bCs/>
        </w:rPr>
        <w:t>Additional</w:t>
      </w:r>
      <w:r w:rsidR="003905FE">
        <w:rPr>
          <w:bCs/>
        </w:rPr>
        <w:t xml:space="preserve"> criteria for inpatient phototherapy for hyperbilirubinemia</w:t>
      </w:r>
      <w:r>
        <w:rPr>
          <w:bCs/>
        </w:rPr>
        <w:t>, to be used in conjunction with this policy,</w:t>
      </w:r>
      <w:r w:rsidR="003905FE">
        <w:rPr>
          <w:bCs/>
        </w:rPr>
        <w:t xml:space="preserve"> can be found in clinical decision support tools.</w:t>
      </w:r>
    </w:p>
    <w:p w14:paraId="179EA9E6" w14:textId="77777777" w:rsidR="001F615C" w:rsidRDefault="001F615C" w:rsidP="00075993">
      <w:pPr>
        <w:pStyle w:val="ListParagraph"/>
        <w:ind w:left="360"/>
        <w:rPr>
          <w:bCs/>
        </w:rPr>
      </w:pPr>
    </w:p>
    <w:p w14:paraId="3CE8A16A" w14:textId="43274151" w:rsidR="008B24F9" w:rsidRPr="00F22A65" w:rsidRDefault="004818F4" w:rsidP="00F22A65">
      <w:pPr>
        <w:pStyle w:val="ListParagraph"/>
        <w:numPr>
          <w:ilvl w:val="0"/>
          <w:numId w:val="32"/>
        </w:numPr>
        <w:ind w:left="360"/>
        <w:rPr>
          <w:bCs/>
        </w:rPr>
      </w:pPr>
      <w:r w:rsidRPr="00F22A65">
        <w:rPr>
          <w:bCs/>
        </w:rPr>
        <w:t xml:space="preserve"> </w:t>
      </w:r>
      <w:r w:rsidR="008B24F9" w:rsidRPr="00F22A65">
        <w:rPr>
          <w:bCs/>
        </w:rPr>
        <w:t>It is the policy of Centene Corporation that</w:t>
      </w:r>
      <w:r w:rsidR="00886B19" w:rsidRPr="00F22A65">
        <w:rPr>
          <w:bCs/>
        </w:rPr>
        <w:t xml:space="preserve"> other</w:t>
      </w:r>
      <w:r w:rsidR="008B24F9" w:rsidRPr="00F22A65">
        <w:rPr>
          <w:bCs/>
        </w:rPr>
        <w:t xml:space="preserve"> treatment for hyperbilirubinemia, including inpatient phototherapy</w:t>
      </w:r>
      <w:r w:rsidR="00785947" w:rsidRPr="00F22A65">
        <w:rPr>
          <w:bCs/>
        </w:rPr>
        <w:t xml:space="preserve"> (when not meeting criteria for home phototherapy per this policy)</w:t>
      </w:r>
      <w:r w:rsidR="008B24F9" w:rsidRPr="00F22A65">
        <w:rPr>
          <w:bCs/>
        </w:rPr>
        <w:t xml:space="preserve"> and </w:t>
      </w:r>
      <w:r w:rsidR="008B24F9" w:rsidRPr="00F22A65">
        <w:rPr>
          <w:bCs/>
        </w:rPr>
        <w:lastRenderedPageBreak/>
        <w:t xml:space="preserve">exchange transfusion, is </w:t>
      </w:r>
      <w:r w:rsidR="008B24F9" w:rsidRPr="00F22A65">
        <w:rPr>
          <w:b/>
          <w:bCs/>
        </w:rPr>
        <w:t>medically necessary</w:t>
      </w:r>
      <w:r w:rsidR="008B24F9" w:rsidRPr="00F22A65">
        <w:rPr>
          <w:bCs/>
        </w:rPr>
        <w:t xml:space="preserve"> when meeting the most current version of the relevant nationally recognized decision support tools.</w:t>
      </w:r>
    </w:p>
    <w:p w14:paraId="43853693" w14:textId="77777777" w:rsidR="009575C4" w:rsidRDefault="009575C4">
      <w:pPr>
        <w:rPr>
          <w:bCs/>
          <w:color w:val="000000"/>
        </w:rPr>
      </w:pPr>
    </w:p>
    <w:p w14:paraId="769A097D" w14:textId="499D556F" w:rsidR="008812A4" w:rsidRPr="008812A4" w:rsidRDefault="00FB0592" w:rsidP="00CE371D">
      <w:pPr>
        <w:pStyle w:val="Heading2"/>
      </w:pPr>
      <w:r w:rsidRPr="00B777AF">
        <w:rPr>
          <w:u w:val="none"/>
        </w:rPr>
        <w:t>Background</w:t>
      </w:r>
    </w:p>
    <w:p w14:paraId="60A1AD3A" w14:textId="4BB7E145" w:rsidR="00FC013A" w:rsidRDefault="00F96225">
      <w:r>
        <w:t>E</w:t>
      </w:r>
      <w:r w:rsidR="00520F5A">
        <w:t>fforts to reduce</w:t>
      </w:r>
      <w:r>
        <w:t xml:space="preserve"> kernicterus include prevention and management of hyperbilirubinemia.</w:t>
      </w:r>
      <w:r w:rsidR="002710E3">
        <w:t xml:space="preserve"> </w:t>
      </w:r>
      <w:r>
        <w:t>Preventive strategies focus on identifying at-risk infants and beginning preventive therapeutic interventions as needed, usually through universal screening of all neonates for</w:t>
      </w:r>
      <w:r w:rsidR="004115F3">
        <w:t xml:space="preserve"> </w:t>
      </w:r>
      <w:r>
        <w:t xml:space="preserve">hyperbilirubinemia, which may be performed by measurement of </w:t>
      </w:r>
      <w:r w:rsidR="00793C66" w:rsidRPr="00793C66">
        <w:t xml:space="preserve">total serum bilirubin </w:t>
      </w:r>
      <w:r w:rsidR="00793C66">
        <w:t>(</w:t>
      </w:r>
      <w:r>
        <w:t>TSB</w:t>
      </w:r>
      <w:r w:rsidR="00793C66">
        <w:t>)</w:t>
      </w:r>
      <w:r>
        <w:t xml:space="preserve"> or by use of a transcutaneous device</w:t>
      </w:r>
      <w:r w:rsidR="004A629E">
        <w:t xml:space="preserve"> to obtain a </w:t>
      </w:r>
      <w:r w:rsidR="009677F7">
        <w:t>t</w:t>
      </w:r>
      <w:r w:rsidR="004A629E">
        <w:t>ranscutaneous bilirubin</w:t>
      </w:r>
      <w:r w:rsidR="008C7797">
        <w:t xml:space="preserve"> </w:t>
      </w:r>
      <w:r w:rsidR="00CE6D9D">
        <w:t>(T</w:t>
      </w:r>
      <w:r w:rsidR="004A629E">
        <w:t>c</w:t>
      </w:r>
      <w:r w:rsidR="00CE6D9D">
        <w:t>B)</w:t>
      </w:r>
      <w:r w:rsidR="00A925F7">
        <w:t xml:space="preserve"> level</w:t>
      </w:r>
      <w:r>
        <w:t>.</w:t>
      </w:r>
      <w:r w:rsidR="00033593">
        <w:rPr>
          <w:vertAlign w:val="superscript"/>
        </w:rPr>
        <w:t>2</w:t>
      </w:r>
      <w:r>
        <w:t xml:space="preserve"> </w:t>
      </w:r>
    </w:p>
    <w:p w14:paraId="32E84AD6" w14:textId="77777777" w:rsidR="00F96225" w:rsidRDefault="00F96225"/>
    <w:p w14:paraId="7DD8683F" w14:textId="5D927738" w:rsidR="00750CC1" w:rsidRPr="00750CC1" w:rsidRDefault="003302A4" w:rsidP="00750CC1">
      <w:r>
        <w:t>G</w:t>
      </w:r>
      <w:r w:rsidR="002776CD" w:rsidRPr="002776CD">
        <w:t xml:space="preserve">lucose-6-phosphate dehydrogenase </w:t>
      </w:r>
      <w:r>
        <w:t>(</w:t>
      </w:r>
      <w:r w:rsidR="00750CC1" w:rsidRPr="00F22A65">
        <w:t>G6PD</w:t>
      </w:r>
      <w:r>
        <w:t>)</w:t>
      </w:r>
      <w:r w:rsidR="00750CC1" w:rsidRPr="00F22A65">
        <w:t xml:space="preserve"> deficiency is now recognized as one of the most significant causes of hyperbilirubinemia leading to kernicterus. Identifying neonates with G6PD deficiency is challenging, so knowledge of certain risk factors for this deficiency can lead to improved health outcomes. G6PD deficiency is more common in males because it is a sex-linked recessive gene located on the X chromosome, and males only have one X chromosome. G6PD deficiency is prevalent in populations with genetic ancestry from Sub-Saharan Africa, Middle East, Mediterranean, Arabian Peninsula, and Southeast Asia. Additionally, 13% of African American males and 4% of African American females have G6PD deficiency.</w:t>
      </w:r>
      <w:r w:rsidR="00E835BA">
        <w:rPr>
          <w:vertAlign w:val="superscript"/>
        </w:rPr>
        <w:t>3</w:t>
      </w:r>
      <w:r w:rsidR="00750CC1" w:rsidRPr="00750CC1">
        <w:t xml:space="preserve"> </w:t>
      </w:r>
    </w:p>
    <w:p w14:paraId="1E983B03" w14:textId="77777777" w:rsidR="00750CC1" w:rsidRDefault="00750CC1"/>
    <w:p w14:paraId="5115AE6D" w14:textId="451D7547" w:rsidR="00FC013A" w:rsidRDefault="00EC0DFD">
      <w:r w:rsidRPr="00330279">
        <w:t>Phototherapy is considered first-line treatment for neonatal hyperbilirubinemia, defined as TSB &gt; 95</w:t>
      </w:r>
      <w:r w:rsidRPr="00330279">
        <w:rPr>
          <w:vertAlign w:val="superscript"/>
        </w:rPr>
        <w:t>th</w:t>
      </w:r>
      <w:r w:rsidRPr="00330279">
        <w:t xml:space="preserve"> percentile on the hour-specific Bhutani nomogram for infants ≥</w:t>
      </w:r>
      <w:r w:rsidR="00DB71E4">
        <w:t xml:space="preserve"> </w:t>
      </w:r>
      <w:r w:rsidRPr="00330279">
        <w:t>35 weeks gestational age</w:t>
      </w:r>
      <w:r w:rsidR="00CE371D" w:rsidRPr="00330279">
        <w:t xml:space="preserve"> (GA)</w:t>
      </w:r>
      <w:r w:rsidRPr="00330279">
        <w:t>.</w:t>
      </w:r>
      <w:r w:rsidRPr="00330279">
        <w:rPr>
          <w:vertAlign w:val="superscript"/>
        </w:rPr>
        <w:t>1</w:t>
      </w:r>
      <w:r w:rsidRPr="00330279">
        <w:t xml:space="preserve"> </w:t>
      </w:r>
      <w:r w:rsidR="00435822" w:rsidRPr="00330279">
        <w:t>Phototherapy has been used widely for over 60 years and has been associated with few adverse events</w:t>
      </w:r>
      <w:r w:rsidR="007F0482" w:rsidRPr="00330279">
        <w:t xml:space="preserve"> in term infants</w:t>
      </w:r>
      <w:r w:rsidR="00435822" w:rsidRPr="00330279">
        <w:t xml:space="preserve">. Phototherapy decreases or reduces the rate of rise of bilirubinemia in almost all cases, regardless of the </w:t>
      </w:r>
      <w:r w:rsidR="004379E2" w:rsidRPr="00330279">
        <w:t>cause.</w:t>
      </w:r>
      <w:r w:rsidR="004379E2" w:rsidRPr="00330279">
        <w:rPr>
          <w:vertAlign w:val="superscript"/>
        </w:rPr>
        <w:t>2</w:t>
      </w:r>
      <w:r w:rsidR="004379E2" w:rsidRPr="00330279">
        <w:t xml:space="preserve"> It also </w:t>
      </w:r>
      <w:r w:rsidR="005372B4" w:rsidRPr="00330279">
        <w:t>reduces the risk that TSB will reach the level</w:t>
      </w:r>
      <w:r w:rsidR="004379E2" w:rsidRPr="00330279">
        <w:t xml:space="preserve"> associated with increased risk of kernicterus and that </w:t>
      </w:r>
      <w:r w:rsidR="005372B4" w:rsidRPr="00330279">
        <w:t xml:space="preserve">at which </w:t>
      </w:r>
      <w:r w:rsidR="007F0482" w:rsidRPr="00330279">
        <w:t>exchange</w:t>
      </w:r>
      <w:r w:rsidR="007F0482">
        <w:t xml:space="preserve"> </w:t>
      </w:r>
      <w:r w:rsidR="005372B4">
        <w:t xml:space="preserve">transfusion is </w:t>
      </w:r>
      <w:r w:rsidR="005372B4" w:rsidRPr="00796E8A">
        <w:t>recommended</w:t>
      </w:r>
      <w:r w:rsidR="004379E2" w:rsidRPr="0071043D">
        <w:t>.</w:t>
      </w:r>
    </w:p>
    <w:p w14:paraId="15A63BB5" w14:textId="77777777" w:rsidR="00FC013A" w:rsidRDefault="00FC013A"/>
    <w:p w14:paraId="387EB9FD" w14:textId="0A719C52" w:rsidR="00FC013A" w:rsidRPr="003C210A" w:rsidRDefault="00FC013A" w:rsidP="00FC013A">
      <w:pPr>
        <w:rPr>
          <w:vertAlign w:val="superscript"/>
        </w:rPr>
      </w:pPr>
      <w:r>
        <w:t>Some infants are more likely to be readmitted for treatment of hyperbilirubinemia after discharge from the</w:t>
      </w:r>
      <w:r w:rsidR="00EA28DE">
        <w:t>ir</w:t>
      </w:r>
      <w:r>
        <w:t xml:space="preserve"> birth hospitalization. Infants discharged in the first two days after birth were more likely to be readmitted for jaundice compared with infants who stayed longer than three days, an association that decreased with increasing GA.</w:t>
      </w:r>
      <w:r w:rsidR="00D44BC8">
        <w:rPr>
          <w:vertAlign w:val="superscript"/>
        </w:rPr>
        <w:t>4</w:t>
      </w:r>
      <w:r>
        <w:t xml:space="preserve"> Other risk factors for hyperbilirubinemia include vaginal delivery, exclusively breastfeeding at discharge, primiparous mother, maternal </w:t>
      </w:r>
      <w:r w:rsidRPr="00796E8A">
        <w:t xml:space="preserve">age </w:t>
      </w:r>
      <w:r w:rsidRPr="00CC0127">
        <w:t xml:space="preserve">less than </w:t>
      </w:r>
      <w:r w:rsidRPr="00796E8A">
        <w:t>20</w:t>
      </w:r>
      <w:r>
        <w:t xml:space="preserve"> years old, mother with an Asian country of birth</w:t>
      </w:r>
      <w:r w:rsidR="00450270">
        <w:t>,</w:t>
      </w:r>
      <w:r>
        <w:t xml:space="preserve"> and higher TSB relative to the treatment threshold at phototherapy initiation.</w:t>
      </w:r>
      <w:r w:rsidR="00D44BC8">
        <w:rPr>
          <w:vertAlign w:val="superscript"/>
        </w:rPr>
        <w:t>4,5</w:t>
      </w:r>
    </w:p>
    <w:p w14:paraId="2F72C429" w14:textId="77777777" w:rsidR="004606B4" w:rsidRDefault="004606B4" w:rsidP="004F7BE1"/>
    <w:p w14:paraId="4DCBECD5" w14:textId="33975599" w:rsidR="00EE19F9" w:rsidRPr="000916BE" w:rsidRDefault="004606B4" w:rsidP="004F7BE1">
      <w:r w:rsidRPr="000916BE">
        <w:t xml:space="preserve">Phototherapy works by </w:t>
      </w:r>
      <w:r w:rsidR="00450270" w:rsidRPr="000916BE">
        <w:t xml:space="preserve">using photons from light to </w:t>
      </w:r>
      <w:r w:rsidRPr="000916BE">
        <w:t>alter bilirubin molecules</w:t>
      </w:r>
      <w:r w:rsidR="00450270" w:rsidRPr="000916BE">
        <w:t xml:space="preserve"> </w:t>
      </w:r>
      <w:r w:rsidRPr="000916BE">
        <w:t>in the superficial capillaries into water-soluble, non-neurotoxic molecules and reducing unconjugated T</w:t>
      </w:r>
      <w:r w:rsidR="006F2B5E">
        <w:t>S</w:t>
      </w:r>
      <w:r w:rsidRPr="000916BE">
        <w:t>B levels.</w:t>
      </w:r>
      <w:r w:rsidR="00D44BC8">
        <w:rPr>
          <w:vertAlign w:val="superscript"/>
        </w:rPr>
        <w:t>1</w:t>
      </w:r>
      <w:r w:rsidRPr="000916BE">
        <w:t xml:space="preserve"> </w:t>
      </w:r>
      <w:r w:rsidR="005372B4" w:rsidRPr="000916BE">
        <w:t>Conventional phototherapy is delivered by a single light source</w:t>
      </w:r>
      <w:r w:rsidR="00D7742E" w:rsidRPr="000916BE">
        <w:t>. The preferred treatment is i</w:t>
      </w:r>
      <w:r w:rsidR="005372B4" w:rsidRPr="000916BE">
        <w:t xml:space="preserve">ntensive phototherapy </w:t>
      </w:r>
      <w:r w:rsidR="004F7BE1" w:rsidRPr="000916BE">
        <w:t xml:space="preserve">delivered by irradiance in the blue-green spectrum (wavelengths of approximately </w:t>
      </w:r>
      <w:r w:rsidR="000D44C4" w:rsidRPr="000916BE">
        <w:t>460</w:t>
      </w:r>
      <w:r w:rsidR="00662D36" w:rsidRPr="000916BE">
        <w:t xml:space="preserve"> to </w:t>
      </w:r>
      <w:r w:rsidR="004F7BE1" w:rsidRPr="000916BE">
        <w:t xml:space="preserve">490 nm) of at least 30 µW/cm2 per nm (measured at the infant’s skin directly below the center of the phototherapy unit) and </w:t>
      </w:r>
      <w:r w:rsidR="004E3BF8" w:rsidRPr="000916BE">
        <w:t xml:space="preserve">is </w:t>
      </w:r>
      <w:r w:rsidR="004F7BE1" w:rsidRPr="000916BE">
        <w:t>delivered to as much of the infant’s surface area as possible.</w:t>
      </w:r>
      <w:r w:rsidR="00D44BC8">
        <w:rPr>
          <w:vertAlign w:val="superscript"/>
        </w:rPr>
        <w:t>1</w:t>
      </w:r>
      <w:r w:rsidR="004806C5" w:rsidRPr="000916BE">
        <w:rPr>
          <w:vertAlign w:val="superscript"/>
        </w:rPr>
        <w:t>,</w:t>
      </w:r>
      <w:r w:rsidR="00566BAA">
        <w:rPr>
          <w:vertAlign w:val="superscript"/>
        </w:rPr>
        <w:t>6</w:t>
      </w:r>
      <w:r w:rsidR="004E3BF8" w:rsidRPr="000916BE">
        <w:t xml:space="preserve"> C</w:t>
      </w:r>
      <w:r w:rsidR="00302873" w:rsidRPr="000916BE">
        <w:t xml:space="preserve">onventional </w:t>
      </w:r>
      <w:r w:rsidR="005372B4" w:rsidRPr="000916BE">
        <w:t>phototherapy may be delivered in the hospital</w:t>
      </w:r>
      <w:r w:rsidR="00EE19F9" w:rsidRPr="000916BE">
        <w:t xml:space="preserve"> </w:t>
      </w:r>
      <w:r w:rsidR="005372B4" w:rsidRPr="000916BE">
        <w:t>or in the home</w:t>
      </w:r>
      <w:r w:rsidR="00EE19F9" w:rsidRPr="000916BE">
        <w:t xml:space="preserve"> setting</w:t>
      </w:r>
      <w:r w:rsidR="005372B4" w:rsidRPr="000916BE">
        <w:t>.</w:t>
      </w:r>
      <w:r w:rsidR="00566BAA">
        <w:rPr>
          <w:vertAlign w:val="superscript"/>
        </w:rPr>
        <w:t>7</w:t>
      </w:r>
      <w:r w:rsidR="005372B4" w:rsidRPr="000916BE">
        <w:t xml:space="preserve"> </w:t>
      </w:r>
    </w:p>
    <w:p w14:paraId="47E7B56A" w14:textId="77777777" w:rsidR="00A110D4" w:rsidRPr="000916BE" w:rsidRDefault="00A110D4" w:rsidP="00EE19F9"/>
    <w:p w14:paraId="7EBAB6F3" w14:textId="0932B7F3" w:rsidR="005372B4" w:rsidRPr="0071043D" w:rsidRDefault="00C82C76" w:rsidP="004F7BE1">
      <w:pPr>
        <w:rPr>
          <w:vertAlign w:val="superscript"/>
        </w:rPr>
      </w:pPr>
      <w:r w:rsidRPr="000916BE">
        <w:t>Home phototherapy can be less disruptive to the family and is appropriate for otherwise healthy, term infants without hemolysis and other risk factors, who have T</w:t>
      </w:r>
      <w:r w:rsidR="00B43BD5">
        <w:t>S</w:t>
      </w:r>
      <w:r w:rsidRPr="000916BE">
        <w:t xml:space="preserve">B levels 2 to 3 mg/dL below </w:t>
      </w:r>
      <w:r w:rsidRPr="000916BE">
        <w:lastRenderedPageBreak/>
        <w:t>the recommended threshold level for initiation of hospital phototherapy, are feeding well, and can be closely followed.</w:t>
      </w:r>
      <w:r w:rsidR="00566BAA">
        <w:rPr>
          <w:vertAlign w:val="superscript"/>
        </w:rPr>
        <w:t>1</w:t>
      </w:r>
      <w:r w:rsidRPr="000916BE">
        <w:rPr>
          <w:vertAlign w:val="superscript"/>
        </w:rPr>
        <w:t xml:space="preserve"> </w:t>
      </w:r>
      <w:r w:rsidR="00BA444E" w:rsidRPr="000916BE">
        <w:t>Per</w:t>
      </w:r>
      <w:r w:rsidR="00BA444E">
        <w:t xml:space="preserve"> </w:t>
      </w:r>
      <w:r w:rsidR="00C76A12">
        <w:t xml:space="preserve">the updated 2022 clinical practice guidelines from the </w:t>
      </w:r>
      <w:r w:rsidR="00C76A12" w:rsidRPr="00C76A12">
        <w:t xml:space="preserve">American Academy of Pediatrics </w:t>
      </w:r>
      <w:r w:rsidR="00682D93">
        <w:t>(AAP), home phototherapy is an option that can be started at a lower threshold, such as 2 mg/dL below the phototherapy threshold, to reduce</w:t>
      </w:r>
      <w:r w:rsidR="00665480">
        <w:t xml:space="preserve"> the risk of hospital readmission.</w:t>
      </w:r>
      <w:r w:rsidR="00566BAA">
        <w:rPr>
          <w:vertAlign w:val="superscript"/>
        </w:rPr>
        <w:t>3</w:t>
      </w:r>
      <w:r w:rsidR="00665480">
        <w:t xml:space="preserve"> </w:t>
      </w:r>
      <w:r w:rsidR="00691017" w:rsidRPr="0071043D">
        <w:t xml:space="preserve">During phototherapy, infants </w:t>
      </w:r>
      <w:r w:rsidR="00691017" w:rsidRPr="000916BE">
        <w:t xml:space="preserve">should be placed on their backs and fully exposed to the light </w:t>
      </w:r>
      <w:r w:rsidR="004606B4" w:rsidRPr="000916BE">
        <w:t xml:space="preserve">with the exception of a diaper. Their </w:t>
      </w:r>
      <w:r w:rsidR="00691017" w:rsidRPr="000916BE">
        <w:t>eyes</w:t>
      </w:r>
      <w:r w:rsidR="004606B4" w:rsidRPr="000916BE">
        <w:t xml:space="preserve"> should be</w:t>
      </w:r>
      <w:r w:rsidR="00691017" w:rsidRPr="000916BE">
        <w:t xml:space="preserve"> shielded with an opaque blindfold</w:t>
      </w:r>
      <w:r w:rsidR="004606B4" w:rsidRPr="000916BE">
        <w:t xml:space="preserve"> with </w:t>
      </w:r>
      <w:r w:rsidR="00362E05" w:rsidRPr="000916BE">
        <w:t xml:space="preserve">attention given </w:t>
      </w:r>
      <w:r w:rsidR="00691017" w:rsidRPr="000916BE">
        <w:t xml:space="preserve">to prevent the blindfold from covering the nose or sliding off the </w:t>
      </w:r>
      <w:r w:rsidR="004606B4" w:rsidRPr="000916BE">
        <w:t>eyes</w:t>
      </w:r>
      <w:r w:rsidR="00691017" w:rsidRPr="000916BE">
        <w:t>.</w:t>
      </w:r>
      <w:r w:rsidR="00566BAA">
        <w:rPr>
          <w:vertAlign w:val="superscript"/>
        </w:rPr>
        <w:t>1</w:t>
      </w:r>
    </w:p>
    <w:p w14:paraId="3E96376B" w14:textId="77777777" w:rsidR="003C210A" w:rsidRDefault="003C210A"/>
    <w:p w14:paraId="23D8E967" w14:textId="6CBB5DC0" w:rsidR="005D3044" w:rsidRPr="00921470" w:rsidRDefault="005D3044">
      <w:pPr>
        <w:rPr>
          <w:i/>
          <w:highlight w:val="yellow"/>
          <w:vertAlign w:val="superscript"/>
        </w:rPr>
      </w:pPr>
      <w:r w:rsidRPr="005D3044">
        <w:rPr>
          <w:i/>
        </w:rPr>
        <w:t xml:space="preserve">American </w:t>
      </w:r>
      <w:r w:rsidRPr="00ED3917">
        <w:rPr>
          <w:i/>
        </w:rPr>
        <w:t>Academy of Pediatrics (AAP</w:t>
      </w:r>
      <w:r w:rsidR="002E1390" w:rsidRPr="00ED3917">
        <w:rPr>
          <w:i/>
        </w:rPr>
        <w:t>)</w:t>
      </w:r>
    </w:p>
    <w:p w14:paraId="537ECC9D" w14:textId="294F4221" w:rsidR="00C4029A" w:rsidRDefault="00D7150C">
      <w:r w:rsidRPr="00D7150C">
        <w:t xml:space="preserve">In 2022 the AAP published updated clinical practice guidelines that are meant to replace the 2004 clinical </w:t>
      </w:r>
      <w:r w:rsidRPr="00EC68F1">
        <w:t xml:space="preserve">guidelines </w:t>
      </w:r>
      <w:r w:rsidR="00C4029A" w:rsidRPr="00EC68F1">
        <w:t>concerning the assessment and treatment of neonatal hyperbilirubinemia</w:t>
      </w:r>
      <w:r w:rsidR="0076210C" w:rsidRPr="00EC68F1">
        <w:t xml:space="preserve"> in infants ≥35 weeks</w:t>
      </w:r>
      <w:r w:rsidR="00C4029A" w:rsidRPr="00EC68F1">
        <w:t>.</w:t>
      </w:r>
      <w:r w:rsidR="00566BAA">
        <w:rPr>
          <w:vertAlign w:val="superscript"/>
        </w:rPr>
        <w:t>3</w:t>
      </w:r>
      <w:r w:rsidR="00DD187C" w:rsidRPr="00EC68F1">
        <w:rPr>
          <w:vertAlign w:val="superscript"/>
        </w:rPr>
        <w:t xml:space="preserve"> </w:t>
      </w:r>
      <w:r w:rsidR="006943CE" w:rsidRPr="00921470">
        <w:t xml:space="preserve">The 2022 </w:t>
      </w:r>
      <w:r w:rsidR="006943CE">
        <w:t xml:space="preserve">AAP </w:t>
      </w:r>
      <w:r w:rsidR="006943CE" w:rsidRPr="00921470">
        <w:t>guidelines focus on recommendations for when infants should have a direct antiglobulin test (DAT) and blood type testing; implementation of care practices that promote evidence-based breastfeeding support that is family-centered; recommendation against providing the infant with water or dextrose water as an oral supplementation to prevent hyperbilirubinemia or to decrease bilirubin levels; importance of assessing for G6PD deficiency; assessment for hyperbilirubinemia neurotoxicity risk factors; recommendations for when TSB or TcB should be measured; recommendations for phototherapy treatment.</w:t>
      </w:r>
      <w:r w:rsidR="00ED3917" w:rsidRPr="00ED3917">
        <w:t xml:space="preserve"> The 2022 AAP guidelines address the issues of prevention, risk assessment, </w:t>
      </w:r>
      <w:r w:rsidR="00921470" w:rsidRPr="00ED3917">
        <w:t>monitoring,</w:t>
      </w:r>
      <w:r w:rsidR="00ED3917" w:rsidRPr="00ED3917">
        <w:t xml:space="preserve"> and treatment of neonatal hyperbilirubinemia in infants ≥</w:t>
      </w:r>
      <w:r w:rsidR="00DB71E4">
        <w:t xml:space="preserve"> </w:t>
      </w:r>
      <w:r w:rsidR="00ED3917" w:rsidRPr="00ED3917">
        <w:t>35 weeks.</w:t>
      </w:r>
      <w:r w:rsidR="00CD3FD9">
        <w:rPr>
          <w:vertAlign w:val="superscript"/>
        </w:rPr>
        <w:t>3</w:t>
      </w:r>
      <w:r w:rsidR="00E47A00">
        <w:t xml:space="preserve"> </w:t>
      </w:r>
    </w:p>
    <w:p w14:paraId="0B59CD6B" w14:textId="77777777" w:rsidR="00822E29" w:rsidRDefault="00822E29"/>
    <w:p w14:paraId="3E229FC9" w14:textId="4955178C" w:rsidR="00562C5B" w:rsidRPr="00273459" w:rsidRDefault="00562C5B">
      <w:pPr>
        <w:rPr>
          <w:i/>
          <w:vertAlign w:val="superscript"/>
        </w:rPr>
      </w:pPr>
      <w:r w:rsidRPr="00F17F5B">
        <w:rPr>
          <w:i/>
        </w:rPr>
        <w:t>National Institute for Health and Care Excellence</w:t>
      </w:r>
      <w:r>
        <w:rPr>
          <w:i/>
        </w:rPr>
        <w:t xml:space="preserve"> (NICE</w:t>
      </w:r>
      <w:r w:rsidR="00010050">
        <w:rPr>
          <w:i/>
        </w:rPr>
        <w:t>)</w:t>
      </w:r>
    </w:p>
    <w:p w14:paraId="5158C7D9" w14:textId="3F3F0497" w:rsidR="00562C5B" w:rsidRPr="00F17F5B" w:rsidRDefault="00562C5B">
      <w:r>
        <w:t>NICE guidelines cover diagnosing and treating jaundice in order to detect and prevent very high levels of bilirubin. They provide consensus-based thresholds for when phototherapy and exchange transfusion should be initiated by age in hours.</w:t>
      </w:r>
      <w:r w:rsidR="00995D58">
        <w:rPr>
          <w:vertAlign w:val="superscript"/>
        </w:rPr>
        <w:t>8</w:t>
      </w:r>
      <w:r w:rsidR="008C65D3">
        <w:t xml:space="preserve"> </w:t>
      </w:r>
    </w:p>
    <w:p w14:paraId="55F7A3E7" w14:textId="77777777" w:rsidR="0073700F" w:rsidRPr="0073700F" w:rsidRDefault="0073700F"/>
    <w:p w14:paraId="1857A71E" w14:textId="607540A1" w:rsidR="00C4029A" w:rsidRPr="00273459" w:rsidRDefault="00DD187C">
      <w:pPr>
        <w:rPr>
          <w:i/>
          <w:vertAlign w:val="superscript"/>
        </w:rPr>
      </w:pPr>
      <w:r w:rsidRPr="00DD187C">
        <w:rPr>
          <w:i/>
        </w:rPr>
        <w:t>United States Preventive Services Task Force</w:t>
      </w:r>
      <w:r>
        <w:rPr>
          <w:i/>
        </w:rPr>
        <w:t xml:space="preserve"> (USPSTF</w:t>
      </w:r>
      <w:r w:rsidR="002E1390">
        <w:rPr>
          <w:i/>
        </w:rPr>
        <w:t>)</w:t>
      </w:r>
    </w:p>
    <w:p w14:paraId="75B2E756" w14:textId="097ADDE3" w:rsidR="00DD187C" w:rsidRPr="00995D58" w:rsidRDefault="00C811C0">
      <w:pPr>
        <w:rPr>
          <w:vertAlign w:val="superscript"/>
        </w:rPr>
      </w:pPr>
      <w:r>
        <w:t>The USPSTF stated there was insufficient evidence to make recommendations regarding screening for hyperbilirubinemia for infants</w:t>
      </w:r>
      <w:r w:rsidR="002E1390">
        <w:t xml:space="preserve"> </w:t>
      </w:r>
      <w:r w:rsidRPr="0076210C">
        <w:t>≥</w:t>
      </w:r>
      <w:r w:rsidR="00DB71E4">
        <w:t xml:space="preserve"> </w:t>
      </w:r>
      <w:r w:rsidRPr="0076210C">
        <w:t>35 weeks</w:t>
      </w:r>
      <w:r>
        <w:t>.</w:t>
      </w:r>
      <w:r w:rsidR="00C33135">
        <w:rPr>
          <w:vertAlign w:val="superscript"/>
        </w:rPr>
        <w:t xml:space="preserve"> </w:t>
      </w:r>
      <w:r w:rsidR="00C33135" w:rsidRPr="00C33135">
        <w:t xml:space="preserve">They note that </w:t>
      </w:r>
      <w:r w:rsidR="00C33135">
        <w:t>r</w:t>
      </w:r>
      <w:r w:rsidR="00C33135" w:rsidRPr="00C33135">
        <w:t xml:space="preserve">isk factors for hyperbilirubinemia include family history of neonatal jaundice, exclusive breastfeeding, bruising, cephalohematoma, ethnicity (Asian or black), maternal age older than 25 years, male sex, </w:t>
      </w:r>
      <w:r w:rsidR="007D5414">
        <w:t>G6PD</w:t>
      </w:r>
      <w:r w:rsidR="00C33135" w:rsidRPr="00C33135">
        <w:t xml:space="preserve"> deficiency, and gestational age less than 38 weeks. The specific contribution of these risk factors to chronic bilirubin encephalopathy in healthy children is not well understood.</w:t>
      </w:r>
      <w:r w:rsidR="00AD208D">
        <w:t xml:space="preserve"> </w:t>
      </w:r>
      <w:r w:rsidR="005E1A3A">
        <w:t xml:space="preserve">Currently, </w:t>
      </w:r>
      <w:r w:rsidR="00AD208D">
        <w:t>the USPSTF notes this recommendation is “inactive</w:t>
      </w:r>
      <w:r w:rsidR="00010050">
        <w:t>.</w:t>
      </w:r>
      <w:r w:rsidR="00AD208D">
        <w:t>”</w:t>
      </w:r>
      <w:r w:rsidR="00995D58">
        <w:rPr>
          <w:vertAlign w:val="superscript"/>
        </w:rPr>
        <w:t>9</w:t>
      </w:r>
    </w:p>
    <w:p w14:paraId="6B61CC58" w14:textId="77777777" w:rsidR="009D5928" w:rsidRPr="000465DE" w:rsidRDefault="009D5928">
      <w:pPr>
        <w:rPr>
          <w:b/>
          <w:bCs/>
        </w:rPr>
      </w:pPr>
    </w:p>
    <w:p w14:paraId="21E940C9" w14:textId="77777777" w:rsidR="00170B14" w:rsidRPr="00B777AF" w:rsidRDefault="00170B14">
      <w:pPr>
        <w:rPr>
          <w:b/>
        </w:rPr>
      </w:pPr>
      <w:bookmarkStart w:id="2" w:name="Coding_Implications"/>
      <w:r w:rsidRPr="00B777AF">
        <w:rPr>
          <w:b/>
        </w:rPr>
        <w:t>Coding Implications</w:t>
      </w:r>
    </w:p>
    <w:bookmarkEnd w:id="2"/>
    <w:p w14:paraId="0C671964" w14:textId="2AA75365" w:rsidR="00AF5490" w:rsidRDefault="00DD6ADB">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20</w:t>
      </w:r>
      <w:r w:rsidR="006A6215">
        <w:t>2</w:t>
      </w:r>
      <w:r w:rsidR="009A3CED">
        <w:t>4</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E7516C">
        <w:t xml:space="preserve">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6A45D7E9" w14:textId="77777777" w:rsidR="00AF5490" w:rsidRPr="00A85489" w:rsidRDefault="00AF5490"/>
    <w:tbl>
      <w:tblPr>
        <w:tblStyle w:val="TableGrid"/>
        <w:tblW w:w="4772" w:type="pct"/>
        <w:tblLook w:val="0020" w:firstRow="1" w:lastRow="0" w:firstColumn="0" w:lastColumn="0" w:noHBand="0" w:noVBand="0"/>
      </w:tblPr>
      <w:tblGrid>
        <w:gridCol w:w="1109"/>
        <w:gridCol w:w="7815"/>
      </w:tblGrid>
      <w:tr w:rsidR="00B777AF" w:rsidRPr="00B777AF" w14:paraId="1218E755" w14:textId="77777777" w:rsidTr="00B92DF1">
        <w:trPr>
          <w:tblHeader/>
        </w:trPr>
        <w:tc>
          <w:tcPr>
            <w:tcW w:w="1138" w:type="dxa"/>
            <w:shd w:val="clear" w:color="auto" w:fill="00548C"/>
          </w:tcPr>
          <w:p w14:paraId="1478E388" w14:textId="77777777" w:rsidR="00D36448" w:rsidRPr="00B777AF" w:rsidRDefault="00D36448">
            <w:pPr>
              <w:rPr>
                <w:b/>
                <w:bCs/>
                <w:color w:val="FFFFFF" w:themeColor="background1"/>
              </w:rPr>
            </w:pPr>
            <w:r w:rsidRPr="00B777AF">
              <w:rPr>
                <w:b/>
                <w:color w:val="FFFFFF" w:themeColor="background1"/>
              </w:rPr>
              <w:lastRenderedPageBreak/>
              <w:t>CPT</w:t>
            </w:r>
            <w:r w:rsidR="005D7B81">
              <w:rPr>
                <w:b/>
                <w:color w:val="FFFFFF" w:themeColor="background1"/>
                <w:vertAlign w:val="superscript"/>
              </w:rPr>
              <w:t>®</w:t>
            </w:r>
            <w:r w:rsidRPr="00B777AF">
              <w:rPr>
                <w:b/>
                <w:color w:val="FFFFFF" w:themeColor="background1"/>
              </w:rPr>
              <w:t xml:space="preserve"> Codes </w:t>
            </w:r>
          </w:p>
        </w:tc>
        <w:tc>
          <w:tcPr>
            <w:tcW w:w="8510" w:type="dxa"/>
            <w:shd w:val="clear" w:color="auto" w:fill="00548C"/>
          </w:tcPr>
          <w:p w14:paraId="7CBDA2BB" w14:textId="77777777" w:rsidR="00D36448" w:rsidRPr="00B777AF" w:rsidRDefault="00D36448">
            <w:pPr>
              <w:rPr>
                <w:b/>
                <w:bCs/>
                <w:color w:val="FFFFFF" w:themeColor="background1"/>
              </w:rPr>
            </w:pPr>
            <w:r w:rsidRPr="00B777AF">
              <w:rPr>
                <w:b/>
                <w:color w:val="FFFFFF" w:themeColor="background1"/>
              </w:rPr>
              <w:t>Description</w:t>
            </w:r>
          </w:p>
        </w:tc>
      </w:tr>
      <w:tr w:rsidR="00D36448" w:rsidRPr="005144C0" w14:paraId="2B8271A4" w14:textId="77777777" w:rsidTr="00480C09">
        <w:tc>
          <w:tcPr>
            <w:tcW w:w="1138" w:type="dxa"/>
          </w:tcPr>
          <w:p w14:paraId="606F640B" w14:textId="34E52C0B" w:rsidR="00D36448" w:rsidRPr="005144C0" w:rsidRDefault="00FC2739" w:rsidP="00B374A8">
            <w:pPr>
              <w:rPr>
                <w:bCs/>
              </w:rPr>
            </w:pPr>
            <w:r>
              <w:rPr>
                <w:bCs/>
              </w:rPr>
              <w:t>N/A</w:t>
            </w:r>
          </w:p>
        </w:tc>
        <w:tc>
          <w:tcPr>
            <w:tcW w:w="8510" w:type="dxa"/>
          </w:tcPr>
          <w:p w14:paraId="2C5DF4BB" w14:textId="77777777" w:rsidR="00D36448" w:rsidRPr="005144C0" w:rsidRDefault="00D36448" w:rsidP="003B062F">
            <w:pPr>
              <w:rPr>
                <w:bCs/>
              </w:rPr>
            </w:pPr>
          </w:p>
        </w:tc>
      </w:tr>
    </w:tbl>
    <w:p w14:paraId="464E73E6" w14:textId="77777777" w:rsidR="00AF5490" w:rsidRDefault="00AF5490" w:rsidP="00B374A8"/>
    <w:tbl>
      <w:tblPr>
        <w:tblStyle w:val="TableGrid"/>
        <w:tblW w:w="4772" w:type="pct"/>
        <w:tblLook w:val="0020" w:firstRow="1" w:lastRow="0" w:firstColumn="0" w:lastColumn="0" w:noHBand="0" w:noVBand="0"/>
      </w:tblPr>
      <w:tblGrid>
        <w:gridCol w:w="1127"/>
        <w:gridCol w:w="7797"/>
      </w:tblGrid>
      <w:tr w:rsidR="003F3D44" w:rsidRPr="00B777AF" w14:paraId="509AF60C" w14:textId="77777777" w:rsidTr="00556CBA">
        <w:trPr>
          <w:tblHeader/>
        </w:trPr>
        <w:tc>
          <w:tcPr>
            <w:tcW w:w="1138" w:type="dxa"/>
            <w:shd w:val="clear" w:color="auto" w:fill="00548C"/>
          </w:tcPr>
          <w:p w14:paraId="4AC117CB" w14:textId="77777777" w:rsidR="003F3D44" w:rsidRPr="00B777AF" w:rsidRDefault="003F3D44" w:rsidP="003B062F">
            <w:pPr>
              <w:rPr>
                <w:b/>
                <w:bCs/>
                <w:color w:val="FFFFFF" w:themeColor="background1"/>
              </w:rPr>
            </w:pPr>
            <w:r>
              <w:rPr>
                <w:b/>
                <w:color w:val="FFFFFF" w:themeColor="background1"/>
              </w:rPr>
              <w:t>HCPCS</w:t>
            </w:r>
            <w:r w:rsidRPr="00B777AF">
              <w:rPr>
                <w:b/>
                <w:color w:val="FFFFFF" w:themeColor="background1"/>
              </w:rPr>
              <w:t xml:space="preserve"> Codes </w:t>
            </w:r>
          </w:p>
        </w:tc>
        <w:tc>
          <w:tcPr>
            <w:tcW w:w="8510" w:type="dxa"/>
            <w:shd w:val="clear" w:color="auto" w:fill="00548C"/>
          </w:tcPr>
          <w:p w14:paraId="6CBAAD65" w14:textId="77777777" w:rsidR="003F3D44" w:rsidRPr="00B777AF" w:rsidRDefault="003F3D44">
            <w:pPr>
              <w:rPr>
                <w:b/>
                <w:bCs/>
                <w:color w:val="FFFFFF" w:themeColor="background1"/>
              </w:rPr>
            </w:pPr>
            <w:r w:rsidRPr="00B777AF">
              <w:rPr>
                <w:b/>
                <w:color w:val="FFFFFF" w:themeColor="background1"/>
              </w:rPr>
              <w:t>Description</w:t>
            </w:r>
          </w:p>
        </w:tc>
      </w:tr>
      <w:tr w:rsidR="003F3D44" w:rsidRPr="005144C0" w14:paraId="44C40926" w14:textId="77777777" w:rsidTr="00556CBA">
        <w:tc>
          <w:tcPr>
            <w:tcW w:w="1138" w:type="dxa"/>
          </w:tcPr>
          <w:p w14:paraId="63DE1C06" w14:textId="2CD79CC0" w:rsidR="003F3D44" w:rsidRPr="005974AE" w:rsidRDefault="00FC2739" w:rsidP="00FC2739">
            <w:pPr>
              <w:rPr>
                <w:bCs/>
              </w:rPr>
            </w:pPr>
            <w:r w:rsidRPr="005974AE">
              <w:rPr>
                <w:bCs/>
              </w:rPr>
              <w:t>E0202</w:t>
            </w:r>
          </w:p>
        </w:tc>
        <w:tc>
          <w:tcPr>
            <w:tcW w:w="8510" w:type="dxa"/>
          </w:tcPr>
          <w:p w14:paraId="5AE60112" w14:textId="60491DC5" w:rsidR="003F3D44" w:rsidRPr="005144C0" w:rsidRDefault="00AC684F" w:rsidP="003B062F">
            <w:pPr>
              <w:rPr>
                <w:bCs/>
              </w:rPr>
            </w:pPr>
            <w:r w:rsidRPr="00AC684F">
              <w:rPr>
                <w:bCs/>
              </w:rPr>
              <w:t>Phototherapy (bilirubin) light with photometer</w:t>
            </w:r>
          </w:p>
        </w:tc>
      </w:tr>
      <w:tr w:rsidR="00FC2739" w:rsidRPr="005144C0" w14:paraId="4F7A66C5" w14:textId="77777777" w:rsidTr="00556CBA">
        <w:tc>
          <w:tcPr>
            <w:tcW w:w="1138" w:type="dxa"/>
          </w:tcPr>
          <w:p w14:paraId="1EAE5017" w14:textId="25C5866F" w:rsidR="00FC2739" w:rsidRPr="005974AE" w:rsidRDefault="00FC2739" w:rsidP="00FC2739">
            <w:pPr>
              <w:rPr>
                <w:bCs/>
              </w:rPr>
            </w:pPr>
            <w:r w:rsidRPr="005974AE">
              <w:rPr>
                <w:bCs/>
              </w:rPr>
              <w:t>S9098</w:t>
            </w:r>
          </w:p>
        </w:tc>
        <w:tc>
          <w:tcPr>
            <w:tcW w:w="8510" w:type="dxa"/>
          </w:tcPr>
          <w:p w14:paraId="20434352" w14:textId="6B07420F" w:rsidR="00FC2739" w:rsidRPr="005144C0" w:rsidRDefault="00AC684F" w:rsidP="003B062F">
            <w:pPr>
              <w:rPr>
                <w:bCs/>
              </w:rPr>
            </w:pPr>
            <w:r w:rsidRPr="00AC684F">
              <w:rPr>
                <w:bCs/>
              </w:rPr>
              <w:t>Home visit, phototherapy services (e.g., Bili-lite), including equipment rental, nursing services, blood draw, supplies, and other services, per diem</w:t>
            </w:r>
          </w:p>
        </w:tc>
      </w:tr>
    </w:tbl>
    <w:p w14:paraId="2F9FC914" w14:textId="77777777" w:rsidR="003F3D44" w:rsidRDefault="003F3D44" w:rsidP="00B374A8"/>
    <w:p w14:paraId="214E8AB1" w14:textId="77777777" w:rsidR="00350F22" w:rsidRDefault="00350F22" w:rsidP="00B374A8"/>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B777AF" w:rsidRPr="00B777AF" w14:paraId="6AE8BCE2" w14:textId="77777777" w:rsidTr="0071043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5D2B6118" w14:textId="77777777" w:rsidR="00B777AF" w:rsidRPr="00B777AF" w:rsidRDefault="00B777AF" w:rsidP="003B062F">
            <w:pPr>
              <w:rPr>
                <w:bCs w:val="0"/>
              </w:rPr>
            </w:pPr>
            <w:bookmarkStart w:id="3" w:name="Revision_Log"/>
            <w:r w:rsidRPr="00B777AF">
              <w:rPr>
                <w:bCs w:val="0"/>
              </w:rPr>
              <w:t>Reviews</w:t>
            </w:r>
            <w:r>
              <w:rPr>
                <w:bCs w:val="0"/>
              </w:rPr>
              <w:t>, Revisions, and Approvals</w:t>
            </w:r>
            <w:bookmarkEnd w:id="3"/>
          </w:p>
        </w:tc>
        <w:tc>
          <w:tcPr>
            <w:tcW w:w="1108" w:type="dxa"/>
            <w:shd w:val="clear" w:color="auto" w:fill="00548C"/>
          </w:tcPr>
          <w:p w14:paraId="6438C9C8" w14:textId="6BA640FE" w:rsidR="00B777AF" w:rsidRPr="00B777AF" w:rsidRDefault="00C92B32">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71A1E55B" w14:textId="77777777" w:rsidR="00B777AF" w:rsidRPr="00B777AF" w:rsidRDefault="001818D7">
            <w:pPr>
              <w:jc w:val="center"/>
              <w:rPr>
                <w:bCs w:val="0"/>
              </w:rPr>
            </w:pPr>
            <w:r>
              <w:rPr>
                <w:bCs w:val="0"/>
              </w:rPr>
              <w:t>Approval</w:t>
            </w:r>
            <w:r w:rsidR="00B777AF" w:rsidRPr="00B777AF">
              <w:rPr>
                <w:bCs w:val="0"/>
              </w:rPr>
              <w:t xml:space="preserve"> Date</w:t>
            </w:r>
          </w:p>
        </w:tc>
      </w:tr>
      <w:tr w:rsidR="00B777AF" w14:paraId="653FAD4F" w14:textId="77777777" w:rsidTr="007104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none" w:sz="0" w:space="0" w:color="auto"/>
              <w:left w:val="none" w:sz="0" w:space="0" w:color="auto"/>
              <w:bottom w:val="none" w:sz="0" w:space="0" w:color="auto"/>
              <w:right w:val="none" w:sz="0" w:space="0" w:color="auto"/>
            </w:tcBorders>
          </w:tcPr>
          <w:p w14:paraId="7DA3086F" w14:textId="05D6309E" w:rsidR="00B777AF" w:rsidRDefault="005D3044" w:rsidP="00B374A8">
            <w:pPr>
              <w:tabs>
                <w:tab w:val="num" w:pos="720"/>
              </w:tabs>
            </w:pPr>
            <w:r>
              <w:t>New policy</w:t>
            </w:r>
          </w:p>
        </w:tc>
        <w:tc>
          <w:tcPr>
            <w:tcW w:w="1108" w:type="dxa"/>
            <w:tcBorders>
              <w:top w:val="none" w:sz="0" w:space="0" w:color="auto"/>
              <w:bottom w:val="none" w:sz="0" w:space="0" w:color="auto"/>
            </w:tcBorders>
          </w:tcPr>
          <w:p w14:paraId="72877E89" w14:textId="431D04C5" w:rsidR="009E2822" w:rsidRDefault="005D3044" w:rsidP="003B062F">
            <w:pPr>
              <w:jc w:val="center"/>
              <w:cnfStyle w:val="000000100000" w:firstRow="0" w:lastRow="0" w:firstColumn="0" w:lastColumn="0" w:oddVBand="0" w:evenVBand="0" w:oddHBand="1" w:evenHBand="0" w:firstRowFirstColumn="0" w:firstRowLastColumn="0" w:lastRowFirstColumn="0" w:lastRowLastColumn="0"/>
            </w:pPr>
            <w:r>
              <w:t>1</w:t>
            </w:r>
            <w:r w:rsidR="00CF46C3">
              <w:t>2</w:t>
            </w:r>
            <w:r>
              <w:t>/17</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530E437B" w14:textId="29FA63DF" w:rsidR="00B777AF" w:rsidRDefault="00CF46C3">
            <w:pPr>
              <w:jc w:val="center"/>
            </w:pPr>
            <w:r>
              <w:t>12/17</w:t>
            </w:r>
          </w:p>
        </w:tc>
      </w:tr>
      <w:tr w:rsidR="00C92B32" w14:paraId="0E0C08CB" w14:textId="77777777" w:rsidTr="0071043D">
        <w:tc>
          <w:tcPr>
            <w:cnfStyle w:val="000010000000" w:firstRow="0" w:lastRow="0" w:firstColumn="0" w:lastColumn="0" w:oddVBand="1" w:evenVBand="0" w:oddHBand="0" w:evenHBand="0" w:firstRowFirstColumn="0" w:firstRowLastColumn="0" w:lastRowFirstColumn="0" w:lastRowLastColumn="0"/>
            <w:tcW w:w="7280" w:type="dxa"/>
          </w:tcPr>
          <w:p w14:paraId="242D4D6B" w14:textId="0AC6E31B" w:rsidR="00C92B32" w:rsidRDefault="00C92B32" w:rsidP="006F2094">
            <w:pPr>
              <w:tabs>
                <w:tab w:val="num" w:pos="720"/>
              </w:tabs>
            </w:pPr>
            <w:r>
              <w:t>Annual review.</w:t>
            </w:r>
            <w:r w:rsidR="00773B28">
              <w:t xml:space="preserve"> </w:t>
            </w:r>
            <w:r w:rsidR="00EE219F">
              <w:t xml:space="preserve">Clarified in section III. that the statement applies when not meeting criteria for home phototherapy in this policy. </w:t>
            </w:r>
            <w:r w:rsidR="00773B28">
              <w:t xml:space="preserve">References reviewed and updated. </w:t>
            </w:r>
            <w:r w:rsidR="00B86DB9">
              <w:t>Background updated</w:t>
            </w:r>
            <w:r w:rsidR="006F2094">
              <w:t xml:space="preserve"> with </w:t>
            </w:r>
            <w:r w:rsidR="00B86DB9">
              <w:t xml:space="preserve">no clinical significance. </w:t>
            </w:r>
            <w:r>
              <w:t>Changed “review date” in the header to “date of last revision” and “date” in the revision log header to “revision date."</w:t>
            </w:r>
          </w:p>
        </w:tc>
        <w:tc>
          <w:tcPr>
            <w:tcW w:w="1108" w:type="dxa"/>
          </w:tcPr>
          <w:p w14:paraId="78FFC049" w14:textId="6C31750B" w:rsidR="00C92B32" w:rsidRDefault="00C92B32" w:rsidP="003B062F">
            <w:pPr>
              <w:jc w:val="center"/>
              <w:cnfStyle w:val="000000000000" w:firstRow="0" w:lastRow="0" w:firstColumn="0" w:lastColumn="0" w:oddVBand="0" w:evenVBand="0" w:oddHBand="0" w:evenHBand="0" w:firstRowFirstColumn="0" w:firstRowLastColumn="0" w:lastRowFirstColumn="0" w:lastRowLastColumn="0"/>
            </w:pPr>
            <w:r>
              <w:t>10/21</w:t>
            </w:r>
          </w:p>
        </w:tc>
        <w:tc>
          <w:tcPr>
            <w:cnfStyle w:val="000010000000" w:firstRow="0" w:lastRow="0" w:firstColumn="0" w:lastColumn="0" w:oddVBand="1" w:evenVBand="0" w:oddHBand="0" w:evenHBand="0" w:firstRowFirstColumn="0" w:firstRowLastColumn="0" w:lastRowFirstColumn="0" w:lastRowLastColumn="0"/>
            <w:tcW w:w="1260" w:type="dxa"/>
          </w:tcPr>
          <w:p w14:paraId="06809620" w14:textId="57D1A3A6" w:rsidR="00C92B32" w:rsidRDefault="006F2094">
            <w:pPr>
              <w:jc w:val="center"/>
            </w:pPr>
            <w:r>
              <w:t>10/21</w:t>
            </w:r>
          </w:p>
        </w:tc>
      </w:tr>
      <w:tr w:rsidR="00995E6F" w14:paraId="12764CC0" w14:textId="77777777" w:rsidTr="007104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67B957DE" w14:textId="40A75555" w:rsidR="00995E6F" w:rsidRDefault="00CD03E0" w:rsidP="006F2094">
            <w:pPr>
              <w:tabs>
                <w:tab w:val="num" w:pos="720"/>
              </w:tabs>
            </w:pPr>
            <w:r w:rsidRPr="00CD03E0">
              <w:t>Annual review.</w:t>
            </w:r>
            <w:r w:rsidR="00B330E6">
              <w:t xml:space="preserve"> Changed title from “Home phototherapy…” to “Phototherapy…”</w:t>
            </w:r>
            <w:r w:rsidRPr="00CD03E0">
              <w:t xml:space="preserve"> Updated criteria</w:t>
            </w:r>
            <w:r w:rsidR="00AF49E6">
              <w:t xml:space="preserve"> I.D. from 24</w:t>
            </w:r>
            <w:r w:rsidR="00D72E02">
              <w:t xml:space="preserve"> to </w:t>
            </w:r>
            <w:r w:rsidR="00AF49E6">
              <w:t>48 hours to 12</w:t>
            </w:r>
            <w:r w:rsidR="00D72E02">
              <w:t xml:space="preserve"> to </w:t>
            </w:r>
            <w:r w:rsidR="00AF49E6">
              <w:t xml:space="preserve">24 hours. Updated criteria to include the following: </w:t>
            </w:r>
            <w:r w:rsidRPr="00CD03E0">
              <w:t>I.E. ≥48 hours old; I.F. An LED-based phototherapy device will be available in the home without delay; I.</w:t>
            </w:r>
            <w:r w:rsidR="00BE1246">
              <w:t>G</w:t>
            </w:r>
            <w:r w:rsidRPr="00CD03E0">
              <w:t>. No previous phototherapy; I.</w:t>
            </w:r>
            <w:r w:rsidR="00BE1246">
              <w:t>H</w:t>
            </w:r>
            <w:r w:rsidRPr="00CD03E0">
              <w:t xml:space="preserve">. TSB </w:t>
            </w:r>
            <w:r w:rsidR="001E2E5C">
              <w:t>will</w:t>
            </w:r>
            <w:r w:rsidRPr="00CD03E0">
              <w:t xml:space="preserve"> be measured daily</w:t>
            </w:r>
            <w:r w:rsidR="00606D8B">
              <w:t>.</w:t>
            </w:r>
            <w:r w:rsidRPr="00CD03E0">
              <w:t xml:space="preserve"> </w:t>
            </w:r>
            <w:r w:rsidR="00606D8B">
              <w:t xml:space="preserve">Criteria </w:t>
            </w:r>
            <w:r w:rsidR="004E0E1C" w:rsidRPr="004E0E1C">
              <w:t>I.I. #1 updated to include example of positive direct antiglobulin test for isoimmune hemolytic disease and to include glucose-6-phosphate dehydrogenase (G6PD) and other hemolytic disease</w:t>
            </w:r>
            <w:r w:rsidR="00606D8B">
              <w:t>. Criteria</w:t>
            </w:r>
            <w:r w:rsidR="004E0E1C" w:rsidRPr="004E0E1C">
              <w:t xml:space="preserve"> I.I. #2 updated to include hypoxic ischemia encephalopathy (HIE). Significant lethargy removed from Criteria I.I. Criteria I.I. updated to include the following: #13 Significant clinical instability in the previous 24 hours; #14 Clinical history of a parent or sibling requiring phototherapy or exchange transfusion; #15 Exclusive breastfeeding with suboptimal intake (≥10% weight loss); #16 Down syndrome; #17 Macrosomic infant of a diabetic mother</w:t>
            </w:r>
            <w:r w:rsidR="00091F00">
              <w:t>.</w:t>
            </w:r>
            <w:r w:rsidRPr="00CD03E0">
              <w:t xml:space="preserve"> </w:t>
            </w:r>
            <w:r w:rsidR="00F22A65">
              <w:t xml:space="preserve">Added note below Table 1 that explains the values are conservative TSB values based on lower age range thresholds in inpatient criteria. </w:t>
            </w:r>
            <w:r w:rsidR="003905FE">
              <w:t xml:space="preserve">Added clarification to II that extenuating circumstances can include lack of expected compliance with therapy at home. </w:t>
            </w:r>
            <w:r w:rsidR="00F22A65">
              <w:t>Added note below policy statement II stating</w:t>
            </w:r>
            <w:r w:rsidR="003905FE">
              <w:t>:</w:t>
            </w:r>
            <w:r w:rsidR="00F22A65">
              <w:t xml:space="preserve"> that infants </w:t>
            </w:r>
            <w:r w:rsidR="00F22A65" w:rsidRPr="00F22A65">
              <w:rPr>
                <w:bCs/>
              </w:rPr>
              <w:t>should be admitted for inpatient phototherapy if the TSB concentration is more than 1 mg/dL above the AAP guidelines phototherapy treatment threshold</w:t>
            </w:r>
            <w:r w:rsidR="003905FE">
              <w:rPr>
                <w:bCs/>
              </w:rPr>
              <w:t xml:space="preserve"> per the bili risk tool</w:t>
            </w:r>
            <w:r w:rsidR="00F22A65">
              <w:rPr>
                <w:bCs/>
              </w:rPr>
              <w:t>, and that table 1 is consistent with AAP guidelines allowing treatment at lower levels per provider discretion</w:t>
            </w:r>
            <w:r w:rsidR="00425215">
              <w:rPr>
                <w:bCs/>
              </w:rPr>
              <w:t>; and that clinical decision support tools provider further criteria for inpatient phototherapy treatment</w:t>
            </w:r>
            <w:r w:rsidR="00F22A65">
              <w:rPr>
                <w:bCs/>
              </w:rPr>
              <w:t>.</w:t>
            </w:r>
            <w:r w:rsidR="00F22A65">
              <w:t xml:space="preserve"> </w:t>
            </w:r>
            <w:r w:rsidRPr="00CD03E0">
              <w:t xml:space="preserve">Updated background to include 2022 AAP clinical practice guidelines. </w:t>
            </w:r>
            <w:r w:rsidR="001E2E5C">
              <w:lastRenderedPageBreak/>
              <w:t xml:space="preserve">Removed ICD-10 codes. </w:t>
            </w:r>
            <w:r w:rsidRPr="00CD03E0">
              <w:t>References reviewed and updated. Reviewed by internal specialist and external specialist.</w:t>
            </w:r>
          </w:p>
        </w:tc>
        <w:tc>
          <w:tcPr>
            <w:tcW w:w="1108" w:type="dxa"/>
          </w:tcPr>
          <w:p w14:paraId="4C6CCA1F" w14:textId="02C44A68" w:rsidR="00995E6F" w:rsidRDefault="00995E6F" w:rsidP="003B062F">
            <w:pPr>
              <w:jc w:val="center"/>
              <w:cnfStyle w:val="000000100000" w:firstRow="0" w:lastRow="0" w:firstColumn="0" w:lastColumn="0" w:oddVBand="0" w:evenVBand="0" w:oddHBand="1" w:evenHBand="0" w:firstRowFirstColumn="0" w:firstRowLastColumn="0" w:lastRowFirstColumn="0" w:lastRowLastColumn="0"/>
            </w:pPr>
            <w:r>
              <w:lastRenderedPageBreak/>
              <w:t>10/22</w:t>
            </w:r>
          </w:p>
        </w:tc>
        <w:tc>
          <w:tcPr>
            <w:cnfStyle w:val="000010000000" w:firstRow="0" w:lastRow="0" w:firstColumn="0" w:lastColumn="0" w:oddVBand="1" w:evenVBand="0" w:oddHBand="0" w:evenHBand="0" w:firstRowFirstColumn="0" w:firstRowLastColumn="0" w:lastRowFirstColumn="0" w:lastRowLastColumn="0"/>
            <w:tcW w:w="1260" w:type="dxa"/>
          </w:tcPr>
          <w:p w14:paraId="0492E560" w14:textId="5AE06321" w:rsidR="00995E6F" w:rsidRDefault="00AF4AE7">
            <w:pPr>
              <w:jc w:val="center"/>
            </w:pPr>
            <w:r>
              <w:t>10/22</w:t>
            </w:r>
          </w:p>
        </w:tc>
      </w:tr>
      <w:tr w:rsidR="00352B55" w14:paraId="5B47D95C" w14:textId="77777777" w:rsidTr="0071043D">
        <w:tc>
          <w:tcPr>
            <w:cnfStyle w:val="000010000000" w:firstRow="0" w:lastRow="0" w:firstColumn="0" w:lastColumn="0" w:oddVBand="1" w:evenVBand="0" w:oddHBand="0" w:evenHBand="0" w:firstRowFirstColumn="0" w:firstRowLastColumn="0" w:lastRowFirstColumn="0" w:lastRowLastColumn="0"/>
            <w:tcW w:w="7280" w:type="dxa"/>
          </w:tcPr>
          <w:p w14:paraId="0CAD6989" w14:textId="6A24545A" w:rsidR="00352B55" w:rsidRPr="00CD03E0" w:rsidRDefault="00352B55" w:rsidP="006F2094">
            <w:pPr>
              <w:tabs>
                <w:tab w:val="num" w:pos="720"/>
              </w:tabs>
            </w:pPr>
            <w:r>
              <w:t xml:space="preserve">Annual review. </w:t>
            </w:r>
            <w:r w:rsidR="005A57D9">
              <w:t>Re</w:t>
            </w:r>
            <w:r w:rsidR="003F6464" w:rsidRPr="003F6464">
              <w:t>word</w:t>
            </w:r>
            <w:r w:rsidR="005A57D9">
              <w:t>ed</w:t>
            </w:r>
            <w:r w:rsidR="003F6464" w:rsidRPr="003F6464">
              <w:t xml:space="preserve"> </w:t>
            </w:r>
            <w:r w:rsidR="005A57D9">
              <w:t>c</w:t>
            </w:r>
            <w:r w:rsidR="003F6464" w:rsidRPr="003F6464">
              <w:t xml:space="preserve">riteria I.C. </w:t>
            </w:r>
            <w:r w:rsidR="009416EE">
              <w:t xml:space="preserve">and I.I.15. </w:t>
            </w:r>
            <w:r w:rsidR="005A57D9">
              <w:t xml:space="preserve">for inclusive language. </w:t>
            </w:r>
            <w:r w:rsidR="00837DCC">
              <w:t xml:space="preserve">References reviewed and updated. </w:t>
            </w:r>
          </w:p>
        </w:tc>
        <w:tc>
          <w:tcPr>
            <w:tcW w:w="1108" w:type="dxa"/>
          </w:tcPr>
          <w:p w14:paraId="73B65AD9" w14:textId="2C3D7456" w:rsidR="00352B55" w:rsidRDefault="00352B55" w:rsidP="003B062F">
            <w:pPr>
              <w:jc w:val="center"/>
              <w:cnfStyle w:val="000000000000" w:firstRow="0" w:lastRow="0" w:firstColumn="0" w:lastColumn="0" w:oddVBand="0" w:evenVBand="0" w:oddHBand="0" w:evenHBand="0" w:firstRowFirstColumn="0" w:firstRowLastColumn="0" w:lastRowFirstColumn="0" w:lastRowLastColumn="0"/>
            </w:pPr>
            <w:r>
              <w:t>10/23</w:t>
            </w:r>
          </w:p>
        </w:tc>
        <w:tc>
          <w:tcPr>
            <w:cnfStyle w:val="000010000000" w:firstRow="0" w:lastRow="0" w:firstColumn="0" w:lastColumn="0" w:oddVBand="1" w:evenVBand="0" w:oddHBand="0" w:evenHBand="0" w:firstRowFirstColumn="0" w:firstRowLastColumn="0" w:lastRowFirstColumn="0" w:lastRowLastColumn="0"/>
            <w:tcW w:w="1260" w:type="dxa"/>
          </w:tcPr>
          <w:p w14:paraId="35C82BDF" w14:textId="4DE333D3" w:rsidR="00352B55" w:rsidRDefault="002B6D2B">
            <w:pPr>
              <w:jc w:val="center"/>
            </w:pPr>
            <w:r>
              <w:t>10/23</w:t>
            </w:r>
          </w:p>
        </w:tc>
      </w:tr>
      <w:tr w:rsidR="00121420" w14:paraId="386AB249" w14:textId="77777777" w:rsidTr="007104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369E927C" w14:textId="7D774250" w:rsidR="00121420" w:rsidRDefault="00121420" w:rsidP="006F2094">
            <w:pPr>
              <w:tabs>
                <w:tab w:val="num" w:pos="720"/>
              </w:tabs>
            </w:pPr>
            <w:r>
              <w:t xml:space="preserve">Annual review. </w:t>
            </w:r>
            <w:r w:rsidR="005F60C5" w:rsidRPr="005F60C5">
              <w:t>Rearranged verbiage regarding infants ≥ 38 weeks gestation in Criteria I. and I.A. Removed “Term” verbiage in Criteria I.B.</w:t>
            </w:r>
            <w:r w:rsidR="002D3D5A">
              <w:t xml:space="preserve"> </w:t>
            </w:r>
            <w:r w:rsidR="00CA1772">
              <w:t xml:space="preserve">Updated verbiage in criteria II with no impact to criteria. </w:t>
            </w:r>
            <w:r w:rsidR="00564815">
              <w:t>References reviewed and updated. Reviewed by external specialist.</w:t>
            </w:r>
          </w:p>
        </w:tc>
        <w:tc>
          <w:tcPr>
            <w:tcW w:w="1108" w:type="dxa"/>
          </w:tcPr>
          <w:p w14:paraId="7C666F37" w14:textId="2F226BD5" w:rsidR="00121420" w:rsidRDefault="00564815" w:rsidP="003B062F">
            <w:pPr>
              <w:jc w:val="center"/>
              <w:cnfStyle w:val="000000100000" w:firstRow="0" w:lastRow="0" w:firstColumn="0" w:lastColumn="0" w:oddVBand="0" w:evenVBand="0" w:oddHBand="1" w:evenHBand="0" w:firstRowFirstColumn="0" w:firstRowLastColumn="0" w:lastRowFirstColumn="0" w:lastRowLastColumn="0"/>
            </w:pPr>
            <w:r>
              <w:t>08/24</w:t>
            </w:r>
          </w:p>
        </w:tc>
        <w:tc>
          <w:tcPr>
            <w:cnfStyle w:val="000010000000" w:firstRow="0" w:lastRow="0" w:firstColumn="0" w:lastColumn="0" w:oddVBand="1" w:evenVBand="0" w:oddHBand="0" w:evenHBand="0" w:firstRowFirstColumn="0" w:firstRowLastColumn="0" w:lastRowFirstColumn="0" w:lastRowLastColumn="0"/>
            <w:tcW w:w="1260" w:type="dxa"/>
          </w:tcPr>
          <w:p w14:paraId="00C59ED3" w14:textId="7CDB0E79" w:rsidR="00121420" w:rsidRDefault="00AF7A27">
            <w:pPr>
              <w:jc w:val="center"/>
            </w:pPr>
            <w:r>
              <w:t>08/24</w:t>
            </w:r>
          </w:p>
        </w:tc>
      </w:tr>
      <w:tr w:rsidR="00F57BBF" w14:paraId="3272CE2E" w14:textId="77777777" w:rsidTr="0071043D">
        <w:tc>
          <w:tcPr>
            <w:cnfStyle w:val="000010000000" w:firstRow="0" w:lastRow="0" w:firstColumn="0" w:lastColumn="0" w:oddVBand="1" w:evenVBand="0" w:oddHBand="0" w:evenHBand="0" w:firstRowFirstColumn="0" w:firstRowLastColumn="0" w:lastRowFirstColumn="0" w:lastRowLastColumn="0"/>
            <w:tcW w:w="7280" w:type="dxa"/>
          </w:tcPr>
          <w:p w14:paraId="796D0C9C" w14:textId="7823FF70" w:rsidR="00F57BBF" w:rsidRDefault="00F57BBF" w:rsidP="006F2094">
            <w:pPr>
              <w:tabs>
                <w:tab w:val="num" w:pos="720"/>
              </w:tabs>
            </w:pPr>
            <w:r>
              <w:t>Annual review.</w:t>
            </w:r>
            <w:r w:rsidR="00AA7942">
              <w:t xml:space="preserve"> </w:t>
            </w:r>
            <w:r w:rsidR="00E23021">
              <w:t xml:space="preserve">References reviewed and updated. </w:t>
            </w:r>
          </w:p>
        </w:tc>
        <w:tc>
          <w:tcPr>
            <w:tcW w:w="1108" w:type="dxa"/>
          </w:tcPr>
          <w:p w14:paraId="6789B395" w14:textId="7CE4EE70" w:rsidR="00F57BBF" w:rsidRDefault="00F57BBF" w:rsidP="003B062F">
            <w:pPr>
              <w:jc w:val="center"/>
              <w:cnfStyle w:val="000000000000" w:firstRow="0" w:lastRow="0" w:firstColumn="0" w:lastColumn="0" w:oddVBand="0" w:evenVBand="0" w:oddHBand="0" w:evenHBand="0" w:firstRowFirstColumn="0" w:firstRowLastColumn="0" w:lastRowFirstColumn="0" w:lastRowLastColumn="0"/>
            </w:pPr>
            <w:r>
              <w:t>01/25</w:t>
            </w:r>
          </w:p>
        </w:tc>
        <w:tc>
          <w:tcPr>
            <w:cnfStyle w:val="000010000000" w:firstRow="0" w:lastRow="0" w:firstColumn="0" w:lastColumn="0" w:oddVBand="1" w:evenVBand="0" w:oddHBand="0" w:evenHBand="0" w:firstRowFirstColumn="0" w:firstRowLastColumn="0" w:lastRowFirstColumn="0" w:lastRowLastColumn="0"/>
            <w:tcW w:w="1260" w:type="dxa"/>
          </w:tcPr>
          <w:p w14:paraId="28BB3F29" w14:textId="60DC12A9" w:rsidR="00F57BBF" w:rsidRDefault="00A070BE">
            <w:pPr>
              <w:jc w:val="center"/>
            </w:pPr>
            <w:r>
              <w:t>01/25</w:t>
            </w:r>
          </w:p>
        </w:tc>
      </w:tr>
      <w:tr w:rsidR="007D4D31" w14:paraId="2CCE3413" w14:textId="77777777" w:rsidTr="007104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74A3D10B" w14:textId="2B1E388D" w:rsidR="007D4D31" w:rsidRDefault="007D4D31" w:rsidP="006F2094">
            <w:pPr>
              <w:tabs>
                <w:tab w:val="num" w:pos="720"/>
              </w:tabs>
            </w:pPr>
            <w:r>
              <w:t>Annual review.</w:t>
            </w:r>
            <w:r w:rsidR="00980A9E">
              <w:t xml:space="preserve"> </w:t>
            </w:r>
            <w:r w:rsidR="009A4161" w:rsidRPr="009A4161">
              <w:t xml:space="preserve">Updated Criteria I.J.1. from glucose-6-phosphate dehydrogenase (G6PD) to G6PD deficiency. </w:t>
            </w:r>
            <w:r w:rsidR="009A4161">
              <w:t>Coding and descriptions reviewed.</w:t>
            </w:r>
            <w:r w:rsidR="009A4161" w:rsidRPr="009A4161">
              <w:t xml:space="preserve"> </w:t>
            </w:r>
            <w:r w:rsidR="00980A9E" w:rsidRPr="009A4161">
              <w:t>Background updated with no impact to criteria.</w:t>
            </w:r>
            <w:r w:rsidRPr="009A4161">
              <w:t xml:space="preserve"> </w:t>
            </w:r>
            <w:r w:rsidR="009A4161">
              <w:t xml:space="preserve">Reviewed by external specialist. </w:t>
            </w:r>
          </w:p>
        </w:tc>
        <w:tc>
          <w:tcPr>
            <w:tcW w:w="1108" w:type="dxa"/>
          </w:tcPr>
          <w:p w14:paraId="4B9788A2" w14:textId="29F01933" w:rsidR="007D4D31" w:rsidRDefault="007D4D31" w:rsidP="003B062F">
            <w:pPr>
              <w:jc w:val="center"/>
              <w:cnfStyle w:val="000000100000" w:firstRow="0" w:lastRow="0" w:firstColumn="0" w:lastColumn="0" w:oddVBand="0" w:evenVBand="0" w:oddHBand="1" w:evenHBand="0" w:firstRowFirstColumn="0" w:firstRowLastColumn="0" w:lastRowFirstColumn="0" w:lastRowLastColumn="0"/>
            </w:pPr>
            <w:r>
              <w:t>06/25</w:t>
            </w:r>
          </w:p>
        </w:tc>
        <w:tc>
          <w:tcPr>
            <w:cnfStyle w:val="000010000000" w:firstRow="0" w:lastRow="0" w:firstColumn="0" w:lastColumn="0" w:oddVBand="1" w:evenVBand="0" w:oddHBand="0" w:evenHBand="0" w:firstRowFirstColumn="0" w:firstRowLastColumn="0" w:lastRowFirstColumn="0" w:lastRowLastColumn="0"/>
            <w:tcW w:w="1260" w:type="dxa"/>
          </w:tcPr>
          <w:p w14:paraId="0F618F96" w14:textId="47C38F9B" w:rsidR="007D4D31" w:rsidRDefault="00A74E33">
            <w:pPr>
              <w:jc w:val="center"/>
            </w:pPr>
            <w:r>
              <w:t>06/25</w:t>
            </w:r>
          </w:p>
        </w:tc>
      </w:tr>
    </w:tbl>
    <w:p w14:paraId="4C379D72" w14:textId="77777777" w:rsidR="001B5473" w:rsidRDefault="001B5473" w:rsidP="003B062F">
      <w:pPr>
        <w:pStyle w:val="Heading3"/>
        <w:sectPr w:rsidR="001B5473" w:rsidSect="00480C09">
          <w:type w:val="continuous"/>
          <w:pgSz w:w="12240" w:h="15840" w:code="1"/>
          <w:pgMar w:top="1440" w:right="1440" w:bottom="1440" w:left="1440" w:header="576" w:footer="288" w:gutter="0"/>
          <w:cols w:space="720"/>
          <w:titlePg/>
          <w:docGrid w:linePitch="360"/>
        </w:sectPr>
      </w:pPr>
    </w:p>
    <w:p w14:paraId="3324D6F8" w14:textId="207F3C43" w:rsidR="00963062" w:rsidRPr="00B777AF" w:rsidRDefault="003F3D44" w:rsidP="003B062F">
      <w:pPr>
        <w:pStyle w:val="Heading3"/>
      </w:pPr>
      <w:r>
        <w:t>References</w:t>
      </w:r>
    </w:p>
    <w:p w14:paraId="12F613EF" w14:textId="4BE76D22" w:rsidR="00033593" w:rsidRPr="005974AE" w:rsidRDefault="00A92A0E" w:rsidP="00672C4A">
      <w:pPr>
        <w:pStyle w:val="ListParagraph"/>
        <w:numPr>
          <w:ilvl w:val="0"/>
          <w:numId w:val="21"/>
        </w:numPr>
        <w:ind w:left="360"/>
      </w:pPr>
      <w:r w:rsidRPr="005974AE">
        <w:rPr>
          <w:color w:val="212121"/>
          <w:shd w:val="clear" w:color="auto" w:fill="FFFFFF"/>
        </w:rPr>
        <w:t xml:space="preserve">Wong RJ, Bhutani VK. Unconjugated hyperbilirubinemia in term and late preterm newborns: Initial management. UpToDate. </w:t>
      </w:r>
      <w:hyperlink r:id="rId18" w:history="1">
        <w:r w:rsidRPr="005974AE">
          <w:rPr>
            <w:rStyle w:val="Hyperlink"/>
            <w:shd w:val="clear" w:color="auto" w:fill="FFFFFF"/>
          </w:rPr>
          <w:t>www.uptodate.com</w:t>
        </w:r>
      </w:hyperlink>
      <w:r w:rsidRPr="005974AE">
        <w:rPr>
          <w:color w:val="212121"/>
          <w:shd w:val="clear" w:color="auto" w:fill="FFFFFF"/>
        </w:rPr>
        <w:t xml:space="preserve">. Updated </w:t>
      </w:r>
      <w:r w:rsidR="00001E8E" w:rsidRPr="001D5D74">
        <w:rPr>
          <w:color w:val="212121"/>
          <w:shd w:val="clear" w:color="auto" w:fill="FFFFFF"/>
        </w:rPr>
        <w:t>February 25, 2025</w:t>
      </w:r>
      <w:r w:rsidRPr="005974AE">
        <w:rPr>
          <w:color w:val="212121"/>
          <w:shd w:val="clear" w:color="auto" w:fill="FFFFFF"/>
        </w:rPr>
        <w:t xml:space="preserve">. Accessed </w:t>
      </w:r>
      <w:r w:rsidR="00373227" w:rsidRPr="001D5D74">
        <w:rPr>
          <w:color w:val="212121"/>
          <w:shd w:val="clear" w:color="auto" w:fill="FFFFFF"/>
        </w:rPr>
        <w:t>April 24, 2025</w:t>
      </w:r>
      <w:r w:rsidRPr="005974AE">
        <w:rPr>
          <w:color w:val="212121"/>
          <w:shd w:val="clear" w:color="auto" w:fill="FFFFFF"/>
        </w:rPr>
        <w:t>.</w:t>
      </w:r>
      <w:r w:rsidRPr="005974AE">
        <w:rPr>
          <w:rFonts w:ascii="Segoe UI" w:hAnsi="Segoe UI" w:cs="Segoe UI"/>
          <w:color w:val="212121"/>
          <w:shd w:val="clear" w:color="auto" w:fill="FFFFFF"/>
        </w:rPr>
        <w:t xml:space="preserve">  </w:t>
      </w:r>
    </w:p>
    <w:p w14:paraId="05677379" w14:textId="514F3EE1" w:rsidR="00033593" w:rsidRPr="005974AE" w:rsidRDefault="00033593" w:rsidP="0071043D">
      <w:pPr>
        <w:pStyle w:val="ListParagraph"/>
        <w:numPr>
          <w:ilvl w:val="0"/>
          <w:numId w:val="21"/>
        </w:numPr>
        <w:ind w:left="360"/>
      </w:pPr>
      <w:r w:rsidRPr="005974AE">
        <w:t xml:space="preserve">Morris BH, Oh W, Tyson JE, et al. Aggressive vs. conservative phototherapy for infants with extremely low birth weight. </w:t>
      </w:r>
      <w:r w:rsidRPr="005974AE">
        <w:rPr>
          <w:i/>
        </w:rPr>
        <w:t>New Engl J Med</w:t>
      </w:r>
      <w:r w:rsidR="002414DE" w:rsidRPr="005974AE">
        <w:t>.</w:t>
      </w:r>
      <w:r w:rsidRPr="005974AE">
        <w:t xml:space="preserve"> 2008;359</w:t>
      </w:r>
      <w:r w:rsidR="009B0594" w:rsidRPr="005974AE">
        <w:t>(18)</w:t>
      </w:r>
      <w:r w:rsidRPr="005974AE">
        <w:t>:1885</w:t>
      </w:r>
      <w:r w:rsidR="00311094" w:rsidRPr="005974AE">
        <w:t xml:space="preserve"> to </w:t>
      </w:r>
      <w:r w:rsidR="003F7BF3" w:rsidRPr="005974AE">
        <w:t>189</w:t>
      </w:r>
      <w:r w:rsidRPr="005974AE">
        <w:t>6.</w:t>
      </w:r>
      <w:r w:rsidR="002414DE" w:rsidRPr="005974AE">
        <w:t xml:space="preserve"> doi: 10.1056/NEJMoa0803024</w:t>
      </w:r>
      <w:r w:rsidR="00487F33" w:rsidRPr="005974AE">
        <w:t xml:space="preserve"> </w:t>
      </w:r>
    </w:p>
    <w:p w14:paraId="12F9F1EA" w14:textId="74D35AF1" w:rsidR="004606B4" w:rsidRPr="005974AE" w:rsidRDefault="00D649BC" w:rsidP="00FF04AF">
      <w:pPr>
        <w:pStyle w:val="ListParagraph"/>
        <w:numPr>
          <w:ilvl w:val="0"/>
          <w:numId w:val="21"/>
        </w:numPr>
        <w:ind w:left="360"/>
      </w:pPr>
      <w:r w:rsidRPr="005974AE">
        <w:t>Kemper AR, Newman TB, Slaughter JL, et al. Clinical Practice Guideline Revision: Management of Hyperbilirubinemia in the Newborn Infant 35 or More Weeks of Gestation. </w:t>
      </w:r>
      <w:r w:rsidRPr="005974AE">
        <w:rPr>
          <w:i/>
          <w:iCs/>
        </w:rPr>
        <w:t>Pediatrics</w:t>
      </w:r>
      <w:r w:rsidRPr="005974AE">
        <w:t xml:space="preserve">. 2022;150(3):e2022058859. doi:10.1542/peds.2022-058859 </w:t>
      </w:r>
    </w:p>
    <w:p w14:paraId="6F56741B" w14:textId="7FB2C64C" w:rsidR="00676CCA" w:rsidRPr="005974AE" w:rsidRDefault="00D9514E" w:rsidP="00033593">
      <w:pPr>
        <w:pStyle w:val="ListParagraph"/>
        <w:numPr>
          <w:ilvl w:val="0"/>
          <w:numId w:val="21"/>
        </w:numPr>
        <w:ind w:left="360"/>
      </w:pPr>
      <w:r w:rsidRPr="005974AE">
        <w:t xml:space="preserve">Lain SJ, Roberts CL, Bowen JR, Nassar N. Early discharge of infants and risk of readmission for jaundice. </w:t>
      </w:r>
      <w:r w:rsidRPr="005974AE">
        <w:rPr>
          <w:i/>
        </w:rPr>
        <w:t>Pediatrics</w:t>
      </w:r>
      <w:r w:rsidRPr="005974AE">
        <w:t>. 2015;135(2):314 to 321. doi:10.1542/peds.2014-2388</w:t>
      </w:r>
      <w:r w:rsidR="00860900" w:rsidRPr="005974AE">
        <w:rPr>
          <w:rFonts w:ascii="Segoe UI" w:hAnsi="Segoe UI" w:cs="Segoe UI"/>
          <w:color w:val="212121"/>
          <w:shd w:val="clear" w:color="auto" w:fill="FFFFFF"/>
        </w:rPr>
        <w:t xml:space="preserve"> </w:t>
      </w:r>
    </w:p>
    <w:p w14:paraId="71ADBB69" w14:textId="791EB347" w:rsidR="00033593" w:rsidRPr="005974AE" w:rsidRDefault="00855050" w:rsidP="00033593">
      <w:pPr>
        <w:pStyle w:val="ListParagraph"/>
        <w:numPr>
          <w:ilvl w:val="0"/>
          <w:numId w:val="21"/>
        </w:numPr>
        <w:ind w:left="360"/>
      </w:pPr>
      <w:r w:rsidRPr="005974AE">
        <w:t xml:space="preserve">Chang PW, Waite WM. Evaluation of Home Phototherapy for Neonatal Hyperbilirubinemia. </w:t>
      </w:r>
      <w:r w:rsidRPr="005974AE">
        <w:rPr>
          <w:i/>
        </w:rPr>
        <w:t>J Pediatr</w:t>
      </w:r>
      <w:r w:rsidRPr="005974AE">
        <w:t>. 2020;220:80 to 85. doi:10.1016/j.jpeds.2020.01.004</w:t>
      </w:r>
      <w:r w:rsidR="004F436C" w:rsidRPr="005974AE">
        <w:rPr>
          <w:rFonts w:ascii="Segoe UI" w:hAnsi="Segoe UI" w:cs="Segoe UI"/>
          <w:color w:val="212121"/>
          <w:shd w:val="clear" w:color="auto" w:fill="FFFFFF"/>
        </w:rPr>
        <w:t xml:space="preserve"> </w:t>
      </w:r>
    </w:p>
    <w:p w14:paraId="30FBA25B" w14:textId="4A8B74B8" w:rsidR="00033593" w:rsidRPr="005974AE" w:rsidRDefault="00855050" w:rsidP="0071043D">
      <w:pPr>
        <w:pStyle w:val="ListParagraph"/>
        <w:numPr>
          <w:ilvl w:val="0"/>
          <w:numId w:val="21"/>
        </w:numPr>
        <w:ind w:left="360"/>
      </w:pPr>
      <w:r w:rsidRPr="005974AE">
        <w:t xml:space="preserve">Kumar P, Chawla D, Deorari A. Light-emitting diode phototherapy for unconjugated hyperbilirubinaemia in neonates. </w:t>
      </w:r>
      <w:r w:rsidRPr="005974AE">
        <w:rPr>
          <w:i/>
        </w:rPr>
        <w:t>Cochrane Database Syst Rev</w:t>
      </w:r>
      <w:r w:rsidRPr="005974AE">
        <w:t>. 2011;2011(12):CD007969. Published 2011 Dec 7. doi:10.1002/14651858.CD007969.pub2</w:t>
      </w:r>
      <w:r w:rsidR="006A3F5A" w:rsidRPr="005974AE">
        <w:rPr>
          <w:rFonts w:ascii="Segoe UI" w:hAnsi="Segoe UI" w:cs="Segoe UI"/>
          <w:color w:val="212121"/>
          <w:shd w:val="clear" w:color="auto" w:fill="FFFFFF"/>
        </w:rPr>
        <w:t xml:space="preserve"> </w:t>
      </w:r>
    </w:p>
    <w:p w14:paraId="40905699" w14:textId="18F7B2B7" w:rsidR="00033593" w:rsidRPr="001D5D74" w:rsidRDefault="00E000E9" w:rsidP="0071043D">
      <w:pPr>
        <w:pStyle w:val="ListParagraph"/>
        <w:numPr>
          <w:ilvl w:val="0"/>
          <w:numId w:val="21"/>
        </w:numPr>
        <w:ind w:left="360"/>
      </w:pPr>
      <w:r w:rsidRPr="005974AE">
        <w:t xml:space="preserve">Snook J. Is home phototherapy in the term neonate with physiological jaundice a feasible </w:t>
      </w:r>
      <w:r w:rsidRPr="001D5D74">
        <w:t xml:space="preserve">practice? A systematic literature review. </w:t>
      </w:r>
      <w:r w:rsidRPr="001D5D74">
        <w:rPr>
          <w:i/>
        </w:rPr>
        <w:t>J Neonatal Nurs</w:t>
      </w:r>
      <w:r w:rsidRPr="001D5D74">
        <w:t>. 2017;23(1):28 to 39.</w:t>
      </w:r>
    </w:p>
    <w:p w14:paraId="7C5707BE" w14:textId="5F8B9B30" w:rsidR="00033593" w:rsidRPr="001D5D74" w:rsidRDefault="001617CF" w:rsidP="00672C4A">
      <w:pPr>
        <w:pStyle w:val="ListParagraph"/>
        <w:numPr>
          <w:ilvl w:val="0"/>
          <w:numId w:val="21"/>
        </w:numPr>
        <w:ind w:left="360"/>
      </w:pPr>
      <w:r w:rsidRPr="001D5D74">
        <w:t xml:space="preserve">National Institute for Health and Care Excellence. </w:t>
      </w:r>
      <w:r w:rsidR="00033593" w:rsidRPr="001D5D74">
        <w:t>Jaundice in newborn babies under 28 days</w:t>
      </w:r>
      <w:r w:rsidR="00022DF2" w:rsidRPr="001D5D74">
        <w:t>:</w:t>
      </w:r>
      <w:r w:rsidR="00033593" w:rsidRPr="001D5D74">
        <w:t xml:space="preserve"> Clinical guideline CG98.. </w:t>
      </w:r>
      <w:hyperlink r:id="rId19" w:history="1">
        <w:r w:rsidR="00022DF2" w:rsidRPr="001D5D74">
          <w:rPr>
            <w:rStyle w:val="Hyperlink"/>
          </w:rPr>
          <w:t>https://www.nice.org.uk/guidance/cg98</w:t>
        </w:r>
      </w:hyperlink>
      <w:r w:rsidR="00022DF2" w:rsidRPr="001D5D74">
        <w:t xml:space="preserve">. </w:t>
      </w:r>
      <w:r w:rsidR="00033593" w:rsidRPr="001D5D74">
        <w:t xml:space="preserve">Published May 19, 2010 (updated October </w:t>
      </w:r>
      <w:r w:rsidR="00907640" w:rsidRPr="001D5D74">
        <w:t>31, 2023</w:t>
      </w:r>
      <w:r w:rsidR="00033593" w:rsidRPr="001D5D74">
        <w:t xml:space="preserve">). Accessed </w:t>
      </w:r>
      <w:r w:rsidR="006620FB" w:rsidRPr="00527A88">
        <w:t>April 24, 2025</w:t>
      </w:r>
      <w:r w:rsidR="00F66332" w:rsidRPr="001D5D74">
        <w:t>.</w:t>
      </w:r>
      <w:r w:rsidR="00B02382" w:rsidRPr="001D5D74">
        <w:t xml:space="preserve"> </w:t>
      </w:r>
    </w:p>
    <w:p w14:paraId="3B28B9EA" w14:textId="4E7FBFAF" w:rsidR="00022DF2" w:rsidRPr="001D5D74" w:rsidRDefault="00022DF2" w:rsidP="00033593">
      <w:pPr>
        <w:pStyle w:val="ListParagraph"/>
        <w:numPr>
          <w:ilvl w:val="0"/>
          <w:numId w:val="21"/>
        </w:numPr>
        <w:ind w:left="360"/>
      </w:pPr>
      <w:r w:rsidRPr="001D5D74">
        <w:t xml:space="preserve">US Preventive Services Task Force. Screening of infants for hyperbilirubinemia to prevent chronic bilirubin encephalopathy: US Preventive Services Task Force recommendation statement. </w:t>
      </w:r>
      <w:r w:rsidRPr="001D5D74">
        <w:rPr>
          <w:i/>
        </w:rPr>
        <w:t>Pediatrics</w:t>
      </w:r>
      <w:r w:rsidRPr="001D5D74">
        <w:t>. 2009;124(4):1172</w:t>
      </w:r>
      <w:r w:rsidR="00F66332" w:rsidRPr="001D5D74">
        <w:t xml:space="preserve"> to </w:t>
      </w:r>
      <w:r w:rsidRPr="001D5D74">
        <w:t>1177. doi:10.1542/peds.2009-0128</w:t>
      </w:r>
      <w:r w:rsidRPr="001D5D74" w:rsidDel="00022DF2">
        <w:t xml:space="preserve"> </w:t>
      </w:r>
    </w:p>
    <w:p w14:paraId="46716AA6" w14:textId="3CE459E7" w:rsidR="00022DF2" w:rsidRPr="004252A4" w:rsidRDefault="00022DF2" w:rsidP="00033593">
      <w:pPr>
        <w:pStyle w:val="ListParagraph"/>
        <w:numPr>
          <w:ilvl w:val="0"/>
          <w:numId w:val="21"/>
        </w:numPr>
        <w:ind w:left="360"/>
      </w:pPr>
      <w:r w:rsidRPr="004252A4">
        <w:t xml:space="preserve">Maisels MJ, Bhutani VK, Bogen D, Newman TB, Stark AR, Watchko JF. Hyperbilirubinemia in the newborn infant &gt; or =35 weeks' gestation: an update with clarifications. </w:t>
      </w:r>
      <w:r w:rsidRPr="004252A4">
        <w:rPr>
          <w:i/>
        </w:rPr>
        <w:t>Pediatrics</w:t>
      </w:r>
      <w:r w:rsidRPr="004252A4">
        <w:t>. 2009;124(4):1193</w:t>
      </w:r>
      <w:r w:rsidR="00701CB2" w:rsidRPr="004252A4">
        <w:t xml:space="preserve"> to </w:t>
      </w:r>
      <w:r w:rsidRPr="004252A4">
        <w:t>1198. doi:10.1542/peds.2009-0329</w:t>
      </w:r>
      <w:r w:rsidR="00C2008B" w:rsidRPr="004252A4">
        <w:rPr>
          <w:rFonts w:ascii="Segoe UI" w:hAnsi="Segoe UI" w:cs="Segoe UI"/>
          <w:color w:val="212121"/>
          <w:shd w:val="clear" w:color="auto" w:fill="FFFFFF"/>
        </w:rPr>
        <w:t xml:space="preserve"> </w:t>
      </w:r>
    </w:p>
    <w:p w14:paraId="5D854041" w14:textId="2D1F68BB" w:rsidR="00022DF2" w:rsidRPr="005071B4" w:rsidRDefault="00022DF2" w:rsidP="000F0C5D">
      <w:pPr>
        <w:pStyle w:val="ListParagraph"/>
        <w:numPr>
          <w:ilvl w:val="0"/>
          <w:numId w:val="21"/>
        </w:numPr>
        <w:ind w:left="360"/>
      </w:pPr>
      <w:r w:rsidRPr="005071B4">
        <w:lastRenderedPageBreak/>
        <w:t xml:space="preserve">Maisels MJ, Watchko JF, Bhutani VK, Stevenson DK. An approach to the management of hyperbilirubinemia in the preterm infant less than 35 weeks of gestation. </w:t>
      </w:r>
      <w:r w:rsidRPr="005071B4">
        <w:rPr>
          <w:i/>
        </w:rPr>
        <w:t>J Perinatol</w:t>
      </w:r>
      <w:r w:rsidRPr="005071B4">
        <w:t>. 2012;32(9):660</w:t>
      </w:r>
      <w:r w:rsidR="004A6A17" w:rsidRPr="005071B4">
        <w:t xml:space="preserve"> to </w:t>
      </w:r>
      <w:r w:rsidRPr="005071B4">
        <w:t>664. doi:10.1038/jp.2012.71</w:t>
      </w:r>
      <w:r w:rsidRPr="005071B4" w:rsidDel="00022DF2">
        <w:t xml:space="preserve"> </w:t>
      </w:r>
    </w:p>
    <w:p w14:paraId="44FDB44B" w14:textId="70B3807C" w:rsidR="00033593" w:rsidRPr="005071B4" w:rsidRDefault="00033593" w:rsidP="00033593">
      <w:pPr>
        <w:pStyle w:val="ListParagraph"/>
        <w:numPr>
          <w:ilvl w:val="0"/>
          <w:numId w:val="21"/>
        </w:numPr>
        <w:ind w:left="360"/>
      </w:pPr>
      <w:r w:rsidRPr="005071B4">
        <w:t>Bhutani VK, Wong RJ. Unconjugated hyperbilirubinemia in preterm infant</w:t>
      </w:r>
      <w:r w:rsidR="000B2E25" w:rsidRPr="005071B4">
        <w:t>s</w:t>
      </w:r>
      <w:r w:rsidRPr="005071B4">
        <w:t xml:space="preserve"> </w:t>
      </w:r>
      <w:r w:rsidR="000B2E25" w:rsidRPr="005071B4">
        <w:t>&lt;</w:t>
      </w:r>
      <w:r w:rsidRPr="005071B4">
        <w:t>35 weeks gestation. UpToDate</w:t>
      </w:r>
      <w:r w:rsidR="001F1C00" w:rsidRPr="005071B4">
        <w:t xml:space="preserve">. </w:t>
      </w:r>
      <w:hyperlink r:id="rId20" w:history="1">
        <w:r w:rsidR="001F1C00" w:rsidRPr="005071B4">
          <w:rPr>
            <w:rStyle w:val="Hyperlink"/>
          </w:rPr>
          <w:t>www.uptodate.com</w:t>
        </w:r>
      </w:hyperlink>
      <w:r w:rsidR="001F1C00" w:rsidRPr="005071B4">
        <w:t>.</w:t>
      </w:r>
      <w:r w:rsidRPr="005071B4">
        <w:t xml:space="preserve"> </w:t>
      </w:r>
      <w:r w:rsidR="001F1C00" w:rsidRPr="005071B4">
        <w:t xml:space="preserve">Updated </w:t>
      </w:r>
      <w:r w:rsidR="000568AB" w:rsidRPr="005071B4">
        <w:t>December 12</w:t>
      </w:r>
      <w:r w:rsidR="009772B7" w:rsidRPr="005071B4">
        <w:t>, 2024</w:t>
      </w:r>
      <w:r w:rsidR="006E13CA" w:rsidRPr="005071B4">
        <w:t xml:space="preserve">. Accessed </w:t>
      </w:r>
      <w:r w:rsidR="00A021EF" w:rsidRPr="005071B4">
        <w:t>April 25, 2025</w:t>
      </w:r>
      <w:r w:rsidR="002816E0" w:rsidRPr="005071B4">
        <w:t>.</w:t>
      </w:r>
      <w:r w:rsidR="00540B08" w:rsidRPr="005071B4">
        <w:t xml:space="preserve"> </w:t>
      </w:r>
    </w:p>
    <w:p w14:paraId="066A3BE6" w14:textId="35C37E73" w:rsidR="004826C3" w:rsidRPr="004252A4" w:rsidRDefault="001F1C00" w:rsidP="00B84F66">
      <w:pPr>
        <w:pStyle w:val="ListParagraph"/>
        <w:numPr>
          <w:ilvl w:val="0"/>
          <w:numId w:val="21"/>
        </w:numPr>
        <w:ind w:left="360"/>
      </w:pPr>
      <w:r w:rsidRPr="005071B4">
        <w:t>Johnson L, Bhutani VK, Karp K, Sivieri EM</w:t>
      </w:r>
      <w:r w:rsidRPr="004252A4">
        <w:t xml:space="preserve">, Shapiro SM. Clinical report from the pilot USA Kernicterus Registry (1992 to 2004). </w:t>
      </w:r>
      <w:r w:rsidRPr="004252A4">
        <w:rPr>
          <w:i/>
        </w:rPr>
        <w:t>J Perinatol</w:t>
      </w:r>
      <w:r w:rsidRPr="004252A4">
        <w:t>. 2009;29 Suppl 1:S25</w:t>
      </w:r>
      <w:r w:rsidR="00C92687" w:rsidRPr="004252A4">
        <w:t xml:space="preserve"> to </w:t>
      </w:r>
      <w:r w:rsidRPr="004252A4">
        <w:t>S45. doi:10.1038/jp.2008.211</w:t>
      </w:r>
      <w:r w:rsidR="00B77EFF" w:rsidRPr="004252A4">
        <w:t xml:space="preserve"> </w:t>
      </w:r>
    </w:p>
    <w:p w14:paraId="4C87B0D1" w14:textId="08F65ABD" w:rsidR="004D7CD3" w:rsidRPr="004252A4" w:rsidRDefault="00033593" w:rsidP="00B84F66">
      <w:pPr>
        <w:pStyle w:val="ListParagraph"/>
        <w:numPr>
          <w:ilvl w:val="0"/>
          <w:numId w:val="21"/>
        </w:numPr>
        <w:ind w:left="360"/>
      </w:pPr>
      <w:r w:rsidRPr="004252A4">
        <w:t xml:space="preserve">American Academy of Pediatrics and American College of Obstetrics and Gynecology. </w:t>
      </w:r>
      <w:r w:rsidRPr="004252A4">
        <w:rPr>
          <w:i/>
        </w:rPr>
        <w:t>Guidelines for Perinatal Care</w:t>
      </w:r>
      <w:r w:rsidR="00527A88">
        <w:t>.</w:t>
      </w:r>
      <w:r w:rsidRPr="004252A4">
        <w:t xml:space="preserve"> 8th Edition. Elk Grove Village, IL</w:t>
      </w:r>
      <w:r w:rsidR="004B7F7D">
        <w:t>;</w:t>
      </w:r>
      <w:r w:rsidRPr="004252A4">
        <w:t xml:space="preserve"> 201</w:t>
      </w:r>
      <w:r w:rsidR="004B7F7D">
        <w:t>7</w:t>
      </w:r>
      <w:r w:rsidRPr="004252A4">
        <w:t>.</w:t>
      </w:r>
      <w:r w:rsidR="004B7F7D">
        <w:t xml:space="preserve"> </w:t>
      </w:r>
      <w:hyperlink r:id="rId21" w:history="1">
        <w:r w:rsidR="004B7F7D" w:rsidRPr="009104BE">
          <w:rPr>
            <w:rStyle w:val="Hyperlink"/>
          </w:rPr>
          <w:t>https://publications.aap.org/aapbooks/book/522/Guidelines-for-Perinatal-Care</w:t>
        </w:r>
      </w:hyperlink>
      <w:r w:rsidR="004B7F7D">
        <w:t xml:space="preserve">. Accessed May 07, 2025. </w:t>
      </w:r>
    </w:p>
    <w:p w14:paraId="48F3DA04" w14:textId="64D6AA07" w:rsidR="004D7CD3" w:rsidRPr="005071B4" w:rsidRDefault="004D7CD3" w:rsidP="0071043D">
      <w:pPr>
        <w:pStyle w:val="ListParagraph"/>
        <w:numPr>
          <w:ilvl w:val="0"/>
          <w:numId w:val="21"/>
        </w:numPr>
        <w:ind w:left="360"/>
      </w:pPr>
      <w:r w:rsidRPr="004252A4">
        <w:t xml:space="preserve">Chu L, Qiao J, Xu C. Home-Based Phototherapy Versus Hospital-Based Phototherapy for Treatment of Neonatal Hyperbilirubinemia: A Systematic Review and Meta-Analysis. </w:t>
      </w:r>
      <w:r w:rsidRPr="004252A4">
        <w:rPr>
          <w:i/>
        </w:rPr>
        <w:t xml:space="preserve">Clin </w:t>
      </w:r>
      <w:r w:rsidRPr="005071B4">
        <w:rPr>
          <w:i/>
        </w:rPr>
        <w:t>Pediatr (Phila)</w:t>
      </w:r>
      <w:r w:rsidRPr="005071B4">
        <w:t>. 2020;59(6):588</w:t>
      </w:r>
      <w:r w:rsidR="00BA32C5" w:rsidRPr="005071B4">
        <w:t xml:space="preserve"> to </w:t>
      </w:r>
      <w:r w:rsidRPr="005071B4">
        <w:t>595. doi:10.1177/0009922820916894</w:t>
      </w:r>
      <w:r w:rsidRPr="005071B4" w:rsidDel="004D7CD3">
        <w:t xml:space="preserve"> </w:t>
      </w:r>
    </w:p>
    <w:p w14:paraId="4767F6AA" w14:textId="2076F716" w:rsidR="00796E8A" w:rsidRPr="005071B4" w:rsidRDefault="00A94F74" w:rsidP="00136BB1">
      <w:pPr>
        <w:pStyle w:val="ListParagraph"/>
        <w:numPr>
          <w:ilvl w:val="0"/>
          <w:numId w:val="21"/>
        </w:numPr>
        <w:ind w:left="360"/>
      </w:pPr>
      <w:r w:rsidRPr="005071B4">
        <w:t xml:space="preserve">Wong </w:t>
      </w:r>
      <w:r w:rsidR="00C06A1F" w:rsidRPr="005071B4">
        <w:t xml:space="preserve">RJ, </w:t>
      </w:r>
      <w:r w:rsidRPr="005071B4">
        <w:t>B</w:t>
      </w:r>
      <w:r w:rsidR="0064705D" w:rsidRPr="005071B4">
        <w:t xml:space="preserve">utani VK. Unconjugated hyperbilirubinemia in term and late preterm infants: </w:t>
      </w:r>
      <w:r w:rsidR="00761207" w:rsidRPr="005071B4">
        <w:t>Initial m</w:t>
      </w:r>
      <w:r w:rsidR="0064705D" w:rsidRPr="005071B4">
        <w:t xml:space="preserve">anagement. UpToDate. </w:t>
      </w:r>
      <w:hyperlink r:id="rId22" w:history="1">
        <w:r w:rsidR="0064705D" w:rsidRPr="005071B4">
          <w:rPr>
            <w:rStyle w:val="Hyperlink"/>
          </w:rPr>
          <w:t>www.uptodate.com</w:t>
        </w:r>
      </w:hyperlink>
      <w:r w:rsidR="0064705D" w:rsidRPr="005071B4">
        <w:t xml:space="preserve">. Updated </w:t>
      </w:r>
      <w:r w:rsidR="001454F5" w:rsidRPr="005071B4">
        <w:t>February 25, 2025</w:t>
      </w:r>
      <w:r w:rsidR="00864AB3" w:rsidRPr="005071B4">
        <w:t xml:space="preserve">. Accessed </w:t>
      </w:r>
      <w:r w:rsidR="001454F5" w:rsidRPr="005071B4">
        <w:t>April 25, 2025</w:t>
      </w:r>
      <w:r w:rsidR="00864AB3" w:rsidRPr="005071B4">
        <w:t xml:space="preserve">. </w:t>
      </w:r>
    </w:p>
    <w:p w14:paraId="4E197619" w14:textId="26285772" w:rsidR="00A04FFD" w:rsidRPr="004252A4" w:rsidRDefault="007664B1" w:rsidP="00A04FFD">
      <w:pPr>
        <w:pStyle w:val="ListParagraph"/>
        <w:numPr>
          <w:ilvl w:val="0"/>
          <w:numId w:val="21"/>
        </w:numPr>
        <w:ind w:left="360"/>
      </w:pPr>
      <w:r w:rsidRPr="005071B4">
        <w:t>Pettersson M, Eriksson M, Albinsson E, Ohlin A. Home phototherapy</w:t>
      </w:r>
      <w:r w:rsidRPr="004252A4">
        <w:t xml:space="preserve"> for hyperbilirubinemia in term neonates-an unblinded multicentre randomized controlled trial. </w:t>
      </w:r>
      <w:r w:rsidRPr="004252A4">
        <w:rPr>
          <w:i/>
          <w:iCs/>
        </w:rPr>
        <w:t>Eur J Pediatr</w:t>
      </w:r>
      <w:r w:rsidRPr="004252A4">
        <w:t>. 2021;180(5):1603</w:t>
      </w:r>
      <w:r w:rsidR="00BA32C5" w:rsidRPr="004252A4">
        <w:t xml:space="preserve"> to </w:t>
      </w:r>
      <w:r w:rsidRPr="004252A4">
        <w:t>1610. doi:10.1007/s00431-021-03932-4</w:t>
      </w:r>
      <w:r w:rsidR="001270A2" w:rsidRPr="004252A4">
        <w:t xml:space="preserve"> </w:t>
      </w:r>
    </w:p>
    <w:p w14:paraId="73B99AC7" w14:textId="53F7E8AF" w:rsidR="009958BB" w:rsidRPr="004252A4" w:rsidRDefault="00445D07" w:rsidP="00A04FFD">
      <w:pPr>
        <w:pStyle w:val="ListParagraph"/>
        <w:numPr>
          <w:ilvl w:val="0"/>
          <w:numId w:val="21"/>
        </w:numPr>
        <w:ind w:left="360"/>
      </w:pPr>
      <w:r w:rsidRPr="004252A4">
        <w:t>Pettersson M, Ryen L, Eriksson M, Ohlin A. The cost-effectiveness of home phototherapy for hyperbilirubinemia in neonates: results from a randomized controlled trial. </w:t>
      </w:r>
      <w:r w:rsidRPr="004252A4">
        <w:rPr>
          <w:i/>
          <w:iCs/>
        </w:rPr>
        <w:t>Sci Rep</w:t>
      </w:r>
      <w:r w:rsidRPr="004252A4">
        <w:t xml:space="preserve">. 2023;13(1):10727. Published 2023 Jul 3. </w:t>
      </w:r>
      <w:r w:rsidR="00E16AEA">
        <w:t>d</w:t>
      </w:r>
      <w:r w:rsidRPr="004252A4">
        <w:t>oi:10.1038/s41598-023-37684-y</w:t>
      </w:r>
    </w:p>
    <w:p w14:paraId="2FED8821" w14:textId="77777777" w:rsidR="001148A8" w:rsidRPr="00963062" w:rsidRDefault="001148A8" w:rsidP="00703246"/>
    <w:p w14:paraId="468C24B1" w14:textId="77777777" w:rsidR="00DD6ADB" w:rsidRPr="00146C6E" w:rsidRDefault="00C06257">
      <w:pPr>
        <w:rPr>
          <w:rFonts w:eastAsiaTheme="minorHAnsi"/>
          <w:b/>
          <w:u w:val="single"/>
        </w:rPr>
      </w:pPr>
      <w:bookmarkStart w:id="4" w:name="Important_Reminder"/>
      <w:r w:rsidRPr="00146C6E">
        <w:rPr>
          <w:rFonts w:eastAsiaTheme="minorHAnsi"/>
          <w:b/>
          <w:bCs/>
          <w:u w:val="single"/>
        </w:rPr>
        <w:t>Important R</w:t>
      </w:r>
      <w:r w:rsidR="005D7B81" w:rsidRPr="00146C6E">
        <w:rPr>
          <w:rFonts w:eastAsiaTheme="minorHAnsi"/>
          <w:b/>
          <w:bCs/>
          <w:u w:val="single"/>
        </w:rPr>
        <w:t>eminder</w:t>
      </w:r>
      <w:bookmarkEnd w:id="4"/>
    </w:p>
    <w:p w14:paraId="096877D1" w14:textId="77777777" w:rsidR="00DD6ADB" w:rsidRPr="00146C6E" w:rsidRDefault="00DD6ADB">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07C9346B" w14:textId="77777777" w:rsidR="00DD6ADB" w:rsidRPr="00146C6E" w:rsidRDefault="00DD6ADB">
      <w:pPr>
        <w:rPr>
          <w:rFonts w:eastAsiaTheme="minorHAnsi"/>
        </w:rPr>
      </w:pPr>
    </w:p>
    <w:p w14:paraId="4CEC95C8" w14:textId="77777777" w:rsidR="00DD6ADB" w:rsidRPr="00146C6E" w:rsidRDefault="00DD6ADB">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2B3AFA3E" w14:textId="77777777" w:rsidR="00DD6ADB" w:rsidRPr="00146C6E" w:rsidRDefault="00DD6ADB">
      <w:pPr>
        <w:rPr>
          <w:rFonts w:eastAsiaTheme="minorHAnsi"/>
        </w:rPr>
      </w:pPr>
    </w:p>
    <w:p w14:paraId="109ED52C" w14:textId="77777777" w:rsidR="00DD6ADB" w:rsidRPr="00146C6E" w:rsidRDefault="00DD6ADB">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864B8C0" w14:textId="77777777" w:rsidR="00DD6ADB" w:rsidRPr="00146C6E" w:rsidRDefault="00DD6ADB">
      <w:pPr>
        <w:rPr>
          <w:rFonts w:eastAsiaTheme="minorHAnsi"/>
        </w:rPr>
      </w:pPr>
    </w:p>
    <w:p w14:paraId="0B106755" w14:textId="090AED97" w:rsidR="00DD6ADB" w:rsidRPr="00146C6E" w:rsidRDefault="00DD6ADB">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w:t>
      </w:r>
      <w:r w:rsidR="00803057">
        <w:rPr>
          <w:rFonts w:eastAsiaTheme="minorHAnsi"/>
        </w:rPr>
        <w:t>members</w:t>
      </w:r>
      <w:r w:rsidR="009A5174">
        <w:rPr>
          <w:rFonts w:eastAsiaTheme="minorHAnsi"/>
        </w:rPr>
        <w:t>/enrollee</w:t>
      </w:r>
      <w:r w:rsidR="009A5174" w:rsidRPr="00146C6E">
        <w:rPr>
          <w:rFonts w:eastAsiaTheme="minorHAnsi"/>
        </w:rPr>
        <w:t>s</w:t>
      </w:r>
      <w:r w:rsidRPr="00146C6E">
        <w:rPr>
          <w:rFonts w:eastAsiaTheme="minorHAnsi"/>
        </w:rPr>
        <w:t xml:space="preserve">.  This clinical policy is not intended to recommend treatment for </w:t>
      </w:r>
      <w:r w:rsidR="00803057">
        <w:rPr>
          <w:rFonts w:eastAsiaTheme="minorHAnsi"/>
        </w:rPr>
        <w:t>members/enrollees</w:t>
      </w:r>
      <w:r w:rsidRPr="00146C6E">
        <w:rPr>
          <w:rFonts w:eastAsiaTheme="minorHAnsi"/>
        </w:rPr>
        <w:t xml:space="preserve">. </w:t>
      </w:r>
      <w:r w:rsidR="00803057">
        <w:rPr>
          <w:rFonts w:eastAsiaTheme="minorHAnsi"/>
        </w:rPr>
        <w:t>Members/enrollees</w:t>
      </w:r>
      <w:r w:rsidRPr="00146C6E">
        <w:rPr>
          <w:rFonts w:eastAsiaTheme="minorHAnsi"/>
        </w:rPr>
        <w:t xml:space="preserve"> should consult with their treating physician in connection with diagnosis and treatment decisions. </w:t>
      </w:r>
    </w:p>
    <w:p w14:paraId="0F58E998" w14:textId="77777777" w:rsidR="00DD6ADB" w:rsidRPr="00146C6E" w:rsidRDefault="00DD6ADB">
      <w:pPr>
        <w:rPr>
          <w:rFonts w:eastAsiaTheme="minorHAnsi"/>
        </w:rPr>
      </w:pPr>
    </w:p>
    <w:p w14:paraId="61062B28" w14:textId="40697832" w:rsidR="00DD6ADB" w:rsidRPr="00146C6E" w:rsidRDefault="00DD6ADB">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44B28D8D" w14:textId="77777777" w:rsidR="00DD6ADB" w:rsidRPr="00146C6E" w:rsidRDefault="00DD6ADB">
      <w:pPr>
        <w:rPr>
          <w:rFonts w:eastAsiaTheme="minorHAnsi"/>
        </w:rPr>
      </w:pPr>
    </w:p>
    <w:p w14:paraId="10ED22E8" w14:textId="3AC1EA0F" w:rsidR="00DD6ADB" w:rsidRPr="00146C6E" w:rsidRDefault="00DD6ADB">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9A5174">
        <w:rPr>
          <w:rFonts w:eastAsiaTheme="minorHAnsi"/>
        </w:rPr>
        <w:t>members/</w:t>
      </w:r>
      <w:r w:rsidR="00803057">
        <w:rPr>
          <w:rFonts w:eastAsiaTheme="minorHAnsi"/>
        </w:rPr>
        <w:t>enrollees</w:t>
      </w:r>
      <w:r w:rsidRPr="00146C6E">
        <w:rPr>
          <w:rFonts w:eastAsiaTheme="minorHAnsi"/>
        </w:rPr>
        <w:t xml:space="preserve"> and their representatives are bound to the terms and conditions expressed herein through the terms of their contracts.  Where no such contract exists, providers, </w:t>
      </w:r>
      <w:r w:rsidR="009A5174">
        <w:rPr>
          <w:rFonts w:eastAsiaTheme="minorHAnsi"/>
        </w:rPr>
        <w:t>members/</w:t>
      </w:r>
      <w:r w:rsidR="00803057">
        <w:rPr>
          <w:rFonts w:eastAsiaTheme="minorHAnsi"/>
        </w:rPr>
        <w:t>enrollees</w:t>
      </w:r>
      <w:r w:rsidRPr="00146C6E">
        <w:rPr>
          <w:rFonts w:eastAsiaTheme="minorHAnsi"/>
        </w:rPr>
        <w:t xml:space="preserve"> and their representatives agree to be bound by such terms and conditions by providing services to </w:t>
      </w:r>
      <w:r w:rsidR="009A5174">
        <w:rPr>
          <w:rFonts w:eastAsiaTheme="minorHAnsi"/>
        </w:rPr>
        <w:t>members/</w:t>
      </w:r>
      <w:r w:rsidR="00803057">
        <w:rPr>
          <w:rFonts w:eastAsiaTheme="minorHAnsi"/>
        </w:rPr>
        <w:t>enrollees</w:t>
      </w:r>
      <w:r w:rsidRPr="00146C6E">
        <w:rPr>
          <w:rFonts w:eastAsiaTheme="minorHAnsi"/>
        </w:rPr>
        <w:t xml:space="preserve"> and/or submitting claims for payment for such services.  </w:t>
      </w:r>
    </w:p>
    <w:p w14:paraId="7460D919" w14:textId="77777777" w:rsidR="00DD6ADB" w:rsidRPr="00146C6E" w:rsidRDefault="00DD6ADB">
      <w:pPr>
        <w:autoSpaceDE w:val="0"/>
        <w:autoSpaceDN w:val="0"/>
        <w:adjustRightInd w:val="0"/>
        <w:rPr>
          <w:rFonts w:eastAsiaTheme="minorHAnsi"/>
          <w:color w:val="000000"/>
        </w:rPr>
      </w:pPr>
    </w:p>
    <w:p w14:paraId="4275847A" w14:textId="3C3D12E6" w:rsidR="00DD6ADB" w:rsidRPr="00146C6E" w:rsidRDefault="00DD6ADB">
      <w:pPr>
        <w:autoSpaceDE w:val="0"/>
        <w:autoSpaceDN w:val="0"/>
        <w:adjustRightInd w:val="0"/>
        <w:rPr>
          <w:rFonts w:eastAsiaTheme="minorHAnsi"/>
          <w:color w:val="000000"/>
        </w:rPr>
      </w:pPr>
      <w:r w:rsidRPr="00146C6E">
        <w:rPr>
          <w:rFonts w:eastAsiaTheme="minorHAnsi"/>
          <w:b/>
          <w:color w:val="000000"/>
        </w:rPr>
        <w:t xml:space="preserve">Note: For Medicaid </w:t>
      </w:r>
      <w:r w:rsidR="009A5174">
        <w:rPr>
          <w:rFonts w:eastAsiaTheme="minorHAnsi"/>
          <w:b/>
          <w:color w:val="000000"/>
        </w:rPr>
        <w:t>members/enrollee</w:t>
      </w:r>
      <w:r w:rsidRPr="00146C6E">
        <w:rPr>
          <w:rFonts w:eastAsiaTheme="minorHAnsi"/>
          <w:b/>
          <w:color w:val="000000"/>
        </w:rPr>
        <w:t>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3168017B" w14:textId="77777777" w:rsidR="00DD6ADB" w:rsidRPr="00146C6E" w:rsidRDefault="00DD6ADB">
      <w:pPr>
        <w:rPr>
          <w:rFonts w:eastAsiaTheme="minorHAnsi"/>
        </w:rPr>
      </w:pPr>
    </w:p>
    <w:p w14:paraId="7E0D9842" w14:textId="0E0AC60B" w:rsidR="00DD6ADB" w:rsidRPr="00146C6E" w:rsidRDefault="00DD6ADB">
      <w:pPr>
        <w:autoSpaceDE w:val="0"/>
        <w:autoSpaceDN w:val="0"/>
        <w:adjustRightInd w:val="0"/>
        <w:rPr>
          <w:color w:val="000000"/>
        </w:rPr>
      </w:pPr>
      <w:r w:rsidRPr="00146C6E">
        <w:rPr>
          <w:rFonts w:eastAsiaTheme="minorHAnsi"/>
          <w:b/>
          <w:bCs/>
          <w:color w:val="000000"/>
        </w:rPr>
        <w:t xml:space="preserve">Note: For Medicare </w:t>
      </w:r>
      <w:r w:rsidR="009A5174">
        <w:rPr>
          <w:rFonts w:eastAsiaTheme="minorHAnsi"/>
          <w:b/>
          <w:bCs/>
          <w:color w:val="000000"/>
        </w:rPr>
        <w:t>members/enrollee</w:t>
      </w:r>
      <w:r w:rsidRPr="00146C6E">
        <w:rPr>
          <w:rFonts w:eastAsiaTheme="minorHAnsi"/>
          <w:b/>
          <w:bCs/>
          <w:color w:val="000000"/>
        </w:rPr>
        <w:t xml:space="preserve">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3"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6A970E3D" w14:textId="77777777" w:rsidR="00875924" w:rsidRPr="00146C6E" w:rsidRDefault="00875924">
      <w:pPr>
        <w:rPr>
          <w:iCs/>
        </w:rPr>
      </w:pPr>
    </w:p>
    <w:p w14:paraId="400A3A83" w14:textId="0639DB62" w:rsidR="00C75BD4" w:rsidRPr="0051600A" w:rsidRDefault="00C75BD4">
      <w:pPr>
        <w:rPr>
          <w:iCs/>
        </w:rPr>
      </w:pPr>
      <w:r w:rsidRPr="00146C6E">
        <w:rPr>
          <w:iCs/>
        </w:rPr>
        <w:t>©201</w:t>
      </w:r>
      <w:r w:rsidR="004F474F">
        <w:rPr>
          <w:iCs/>
        </w:rPr>
        <w:t>7</w:t>
      </w:r>
      <w:r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sectPr w:rsidR="00C75BD4" w:rsidRPr="0051600A"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714E" w14:textId="77777777" w:rsidR="00241FA2" w:rsidRDefault="00241FA2">
      <w:r>
        <w:separator/>
      </w:r>
    </w:p>
  </w:endnote>
  <w:endnote w:type="continuationSeparator" w:id="0">
    <w:p w14:paraId="27B7704F" w14:textId="77777777" w:rsidR="00241FA2" w:rsidRDefault="0024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A356" w14:textId="77777777" w:rsidR="00935036" w:rsidRDefault="00935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7CE5" w14:textId="746129A7"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EE219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EE219F">
      <w:rPr>
        <w:b/>
        <w:bCs/>
        <w:noProof/>
      </w:rPr>
      <w:t>7</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71A2" w14:textId="204F9BA1" w:rsidR="002C6AAB" w:rsidRDefault="002C6AAB" w:rsidP="002C6AAB">
    <w:pPr>
      <w:pStyle w:val="Footer"/>
      <w:jc w:val="center"/>
    </w:pPr>
    <w:r>
      <w:t xml:space="preserve">Page </w:t>
    </w:r>
    <w:r>
      <w:fldChar w:fldCharType="begin"/>
    </w:r>
    <w:r>
      <w:instrText xml:space="preserve"> PAGE   \* MERGEFORMAT </w:instrText>
    </w:r>
    <w:r>
      <w:fldChar w:fldCharType="separate"/>
    </w:r>
    <w:r w:rsidR="00EE219F">
      <w:rPr>
        <w:noProof/>
      </w:rPr>
      <w:t>1</w:t>
    </w:r>
    <w:r>
      <w:fldChar w:fldCharType="end"/>
    </w:r>
    <w:r>
      <w:t xml:space="preserve"> of </w:t>
    </w:r>
    <w:r w:rsidR="006946CE">
      <w:rPr>
        <w:noProof/>
      </w:rPr>
      <w:fldChar w:fldCharType="begin"/>
    </w:r>
    <w:r w:rsidR="006946CE">
      <w:rPr>
        <w:noProof/>
      </w:rPr>
      <w:instrText xml:space="preserve"> NUMPAGES   \* MERGEFORMAT </w:instrText>
    </w:r>
    <w:r w:rsidR="006946CE">
      <w:rPr>
        <w:noProof/>
      </w:rPr>
      <w:fldChar w:fldCharType="separate"/>
    </w:r>
    <w:r w:rsidR="00EE219F">
      <w:rPr>
        <w:noProof/>
      </w:rPr>
      <w:t>7</w:t>
    </w:r>
    <w:r w:rsidR="006946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4E7F" w14:textId="77777777" w:rsidR="00241FA2" w:rsidRDefault="00241FA2">
      <w:r>
        <w:separator/>
      </w:r>
    </w:p>
  </w:footnote>
  <w:footnote w:type="continuationSeparator" w:id="0">
    <w:p w14:paraId="2882E644" w14:textId="77777777" w:rsidR="00241FA2" w:rsidRDefault="0024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8FC2" w14:textId="6367AC62" w:rsidR="00935036" w:rsidRDefault="00935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C064" w14:textId="1B4D1088" w:rsidR="00DD025A" w:rsidRPr="007225AB" w:rsidRDefault="00D574CA" w:rsidP="00B777AF">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694B0297" wp14:editId="7DAF57D5">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008265F1">
      <w:rPr>
        <w:rFonts w:ascii="Times New Roman Bold" w:hAnsi="Times New Roman Bold"/>
        <w:b/>
        <w:bCs/>
        <w:color w:val="00548C"/>
      </w:rPr>
      <w:t>Phototherapy for Neonatal Hyperbilirubinemia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6955" w14:textId="10F35DF1" w:rsidR="009135E0" w:rsidRDefault="00A20F73" w:rsidP="00B777AF">
    <w:pPr>
      <w:pStyle w:val="Header"/>
      <w:jc w:val="right"/>
    </w:pPr>
    <w:r>
      <w:rPr>
        <w:noProof/>
      </w:rPr>
      <w:drawing>
        <wp:inline distT="0" distB="0" distL="0" distR="0" wp14:anchorId="4AC99411" wp14:editId="32423C99">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601"/>
    <w:multiLevelType w:val="hybridMultilevel"/>
    <w:tmpl w:val="C230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3C26"/>
    <w:multiLevelType w:val="hybridMultilevel"/>
    <w:tmpl w:val="9FCCBB88"/>
    <w:lvl w:ilvl="0" w:tplc="0409000F">
      <w:start w:val="1"/>
      <w:numFmt w:val="decimal"/>
      <w:lvlText w:val="%1."/>
      <w:lvlJc w:val="left"/>
      <w:pPr>
        <w:ind w:left="1530" w:hanging="360"/>
      </w:pPr>
    </w:lvl>
    <w:lvl w:ilvl="1" w:tplc="04090015">
      <w:start w:val="1"/>
      <w:numFmt w:val="upp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62DF1"/>
    <w:multiLevelType w:val="hybridMultilevel"/>
    <w:tmpl w:val="6042366E"/>
    <w:lvl w:ilvl="0" w:tplc="7E68D5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021E2"/>
    <w:multiLevelType w:val="hybridMultilevel"/>
    <w:tmpl w:val="C5B0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946F88"/>
    <w:multiLevelType w:val="hybridMultilevel"/>
    <w:tmpl w:val="F0EC2AEE"/>
    <w:lvl w:ilvl="0" w:tplc="66787F98">
      <w:start w:val="1"/>
      <w:numFmt w:val="upp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34BBF"/>
    <w:multiLevelType w:val="multilevel"/>
    <w:tmpl w:val="5A5A8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F1C20"/>
    <w:multiLevelType w:val="hybridMultilevel"/>
    <w:tmpl w:val="721E45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91CF4"/>
    <w:multiLevelType w:val="hybridMultilevel"/>
    <w:tmpl w:val="03D424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A0F39"/>
    <w:multiLevelType w:val="hybridMultilevel"/>
    <w:tmpl w:val="5D84F7B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36FA5056"/>
    <w:multiLevelType w:val="hybridMultilevel"/>
    <w:tmpl w:val="61D21638"/>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667D53"/>
    <w:multiLevelType w:val="hybridMultilevel"/>
    <w:tmpl w:val="79DA4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E116D"/>
    <w:multiLevelType w:val="hybridMultilevel"/>
    <w:tmpl w:val="8792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C1953"/>
    <w:multiLevelType w:val="hybridMultilevel"/>
    <w:tmpl w:val="74740C9C"/>
    <w:lvl w:ilvl="0" w:tplc="4D58B0CA">
      <w:start w:val="1"/>
      <w:numFmt w:val="upperRoman"/>
      <w:lvlText w:val="%1."/>
      <w:lvlJc w:val="left"/>
      <w:pPr>
        <w:ind w:left="1530" w:hanging="360"/>
      </w:pPr>
      <w:rPr>
        <w:rFonts w:hint="default"/>
        <w:b/>
        <w:i w:val="0"/>
      </w:rPr>
    </w:lvl>
    <w:lvl w:ilvl="1" w:tplc="9DA65E9A">
      <w:start w:val="1"/>
      <w:numFmt w:val="upperLetter"/>
      <w:lvlText w:val="%2."/>
      <w:lvlJc w:val="left"/>
      <w:pPr>
        <w:ind w:left="2250" w:hanging="360"/>
      </w:pPr>
      <w:rPr>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46EA38E8"/>
    <w:multiLevelType w:val="hybridMultilevel"/>
    <w:tmpl w:val="A7D2D75A"/>
    <w:lvl w:ilvl="0" w:tplc="42984506">
      <w:start w:val="1"/>
      <w:numFmt w:val="bullet"/>
      <w:lvlText w:val=""/>
      <w:lvlJc w:val="left"/>
      <w:pPr>
        <w:ind w:left="720" w:hanging="360"/>
      </w:pPr>
      <w:rPr>
        <w:rFonts w:ascii="Symbol" w:hAnsi="Symbol"/>
      </w:rPr>
    </w:lvl>
    <w:lvl w:ilvl="1" w:tplc="826CE810">
      <w:start w:val="1"/>
      <w:numFmt w:val="bullet"/>
      <w:lvlText w:val=""/>
      <w:lvlJc w:val="left"/>
      <w:pPr>
        <w:ind w:left="720" w:hanging="360"/>
      </w:pPr>
      <w:rPr>
        <w:rFonts w:ascii="Symbol" w:hAnsi="Symbol"/>
      </w:rPr>
    </w:lvl>
    <w:lvl w:ilvl="2" w:tplc="66B2477C">
      <w:start w:val="1"/>
      <w:numFmt w:val="bullet"/>
      <w:lvlText w:val=""/>
      <w:lvlJc w:val="left"/>
      <w:pPr>
        <w:ind w:left="720" w:hanging="360"/>
      </w:pPr>
      <w:rPr>
        <w:rFonts w:ascii="Symbol" w:hAnsi="Symbol"/>
      </w:rPr>
    </w:lvl>
    <w:lvl w:ilvl="3" w:tplc="D94E0C4E">
      <w:start w:val="1"/>
      <w:numFmt w:val="bullet"/>
      <w:lvlText w:val=""/>
      <w:lvlJc w:val="left"/>
      <w:pPr>
        <w:ind w:left="720" w:hanging="360"/>
      </w:pPr>
      <w:rPr>
        <w:rFonts w:ascii="Symbol" w:hAnsi="Symbol"/>
      </w:rPr>
    </w:lvl>
    <w:lvl w:ilvl="4" w:tplc="569C053E">
      <w:start w:val="1"/>
      <w:numFmt w:val="bullet"/>
      <w:lvlText w:val=""/>
      <w:lvlJc w:val="left"/>
      <w:pPr>
        <w:ind w:left="720" w:hanging="360"/>
      </w:pPr>
      <w:rPr>
        <w:rFonts w:ascii="Symbol" w:hAnsi="Symbol"/>
      </w:rPr>
    </w:lvl>
    <w:lvl w:ilvl="5" w:tplc="8B5CADA2">
      <w:start w:val="1"/>
      <w:numFmt w:val="bullet"/>
      <w:lvlText w:val=""/>
      <w:lvlJc w:val="left"/>
      <w:pPr>
        <w:ind w:left="720" w:hanging="360"/>
      </w:pPr>
      <w:rPr>
        <w:rFonts w:ascii="Symbol" w:hAnsi="Symbol"/>
      </w:rPr>
    </w:lvl>
    <w:lvl w:ilvl="6" w:tplc="9EA6EAEA">
      <w:start w:val="1"/>
      <w:numFmt w:val="bullet"/>
      <w:lvlText w:val=""/>
      <w:lvlJc w:val="left"/>
      <w:pPr>
        <w:ind w:left="720" w:hanging="360"/>
      </w:pPr>
      <w:rPr>
        <w:rFonts w:ascii="Symbol" w:hAnsi="Symbol"/>
      </w:rPr>
    </w:lvl>
    <w:lvl w:ilvl="7" w:tplc="C5087664">
      <w:start w:val="1"/>
      <w:numFmt w:val="bullet"/>
      <w:lvlText w:val=""/>
      <w:lvlJc w:val="left"/>
      <w:pPr>
        <w:ind w:left="720" w:hanging="360"/>
      </w:pPr>
      <w:rPr>
        <w:rFonts w:ascii="Symbol" w:hAnsi="Symbol"/>
      </w:rPr>
    </w:lvl>
    <w:lvl w:ilvl="8" w:tplc="4656A090">
      <w:start w:val="1"/>
      <w:numFmt w:val="bullet"/>
      <w:lvlText w:val=""/>
      <w:lvlJc w:val="left"/>
      <w:pPr>
        <w:ind w:left="720" w:hanging="360"/>
      </w:pPr>
      <w:rPr>
        <w:rFonts w:ascii="Symbol" w:hAnsi="Symbol"/>
      </w:rPr>
    </w:lvl>
  </w:abstractNum>
  <w:abstractNum w:abstractNumId="27" w15:restartNumberingAfterBreak="0">
    <w:nsid w:val="4C2023C4"/>
    <w:multiLevelType w:val="hybridMultilevel"/>
    <w:tmpl w:val="C1068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173E8"/>
    <w:multiLevelType w:val="multilevel"/>
    <w:tmpl w:val="C4B87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365049"/>
    <w:multiLevelType w:val="hybridMultilevel"/>
    <w:tmpl w:val="3BE4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21D8C"/>
    <w:multiLevelType w:val="hybridMultilevel"/>
    <w:tmpl w:val="061EF91C"/>
    <w:lvl w:ilvl="0" w:tplc="6BAC0802">
      <w:start w:val="1"/>
      <w:numFmt w:val="upperRoman"/>
      <w:lvlText w:val="%1."/>
      <w:lvlJc w:val="left"/>
      <w:pPr>
        <w:ind w:left="720" w:hanging="360"/>
      </w:pPr>
      <w:rPr>
        <w:rFonts w:hint="default"/>
        <w:b/>
        <w:i w:val="0"/>
      </w:rPr>
    </w:lvl>
    <w:lvl w:ilvl="1" w:tplc="66787F98">
      <w:start w:val="1"/>
      <w:numFmt w:val="upperLetter"/>
      <w:lvlText w:val="%2."/>
      <w:lvlJc w:val="left"/>
      <w:pPr>
        <w:ind w:left="1440" w:hanging="360"/>
      </w:pPr>
      <w:rPr>
        <w:b/>
      </w:rPr>
    </w:lvl>
    <w:lvl w:ilvl="2" w:tplc="66787F98">
      <w:start w:val="1"/>
      <w:numFmt w:val="upperLetter"/>
      <w:lvlText w:val="%3."/>
      <w:lvlJc w:val="left"/>
      <w:pPr>
        <w:ind w:left="2430" w:hanging="180"/>
      </w:pPr>
      <w:rPr>
        <w:b/>
      </w:rPr>
    </w:lvl>
    <w:lvl w:ilvl="3" w:tplc="04090019">
      <w:start w:val="1"/>
      <w:numFmt w:val="lowerLetter"/>
      <w:lvlText w:val="%4."/>
      <w:lvlJc w:val="left"/>
      <w:pPr>
        <w:ind w:left="2880" w:hanging="360"/>
      </w:pPr>
    </w:lvl>
    <w:lvl w:ilvl="4" w:tplc="386AA03C">
      <w:start w:val="1"/>
      <w:numFmt w:val="lowerLetter"/>
      <w:lvlText w:val="%5."/>
      <w:lvlJc w:val="left"/>
      <w:pPr>
        <w:ind w:left="3600" w:hanging="360"/>
      </w:pPr>
      <w:rPr>
        <w:rFonts w:hint="default"/>
        <w:sz w:val="24"/>
        <w:szCs w:val="24"/>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B1A41"/>
    <w:multiLevelType w:val="hybridMultilevel"/>
    <w:tmpl w:val="53D68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0A0203"/>
    <w:multiLevelType w:val="hybridMultilevel"/>
    <w:tmpl w:val="C9DE001A"/>
    <w:lvl w:ilvl="0" w:tplc="6AA254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80651"/>
    <w:multiLevelType w:val="hybridMultilevel"/>
    <w:tmpl w:val="AFAA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876287"/>
    <w:multiLevelType w:val="hybridMultilevel"/>
    <w:tmpl w:val="6F266B4E"/>
    <w:lvl w:ilvl="0" w:tplc="6BAC0802">
      <w:start w:val="1"/>
      <w:numFmt w:val="upperRoman"/>
      <w:lvlText w:val="%1."/>
      <w:lvlJc w:val="left"/>
      <w:pPr>
        <w:ind w:left="720" w:hanging="360"/>
      </w:pPr>
      <w:rPr>
        <w:rFonts w:hint="default"/>
        <w:b/>
        <w:i w:val="0"/>
      </w:rPr>
    </w:lvl>
    <w:lvl w:ilvl="1" w:tplc="01BE2FD2">
      <w:start w:val="1"/>
      <w:numFmt w:val="upperLetter"/>
      <w:lvlText w:val="%2."/>
      <w:lvlJc w:val="left"/>
      <w:pPr>
        <w:ind w:left="1440" w:hanging="360"/>
      </w:pPr>
      <w:rPr>
        <w:b w:val="0"/>
        <w:bCs/>
      </w:rPr>
    </w:lvl>
    <w:lvl w:ilvl="2" w:tplc="66787F98">
      <w:start w:val="1"/>
      <w:numFmt w:val="upperLetter"/>
      <w:lvlText w:val="%3."/>
      <w:lvlJc w:val="left"/>
      <w:pPr>
        <w:ind w:left="2430" w:hanging="180"/>
      </w:pPr>
      <w:rPr>
        <w:b/>
      </w:rPr>
    </w:lvl>
    <w:lvl w:ilvl="3" w:tplc="0409000F">
      <w:start w:val="1"/>
      <w:numFmt w:val="decimal"/>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C41F75"/>
    <w:multiLevelType w:val="hybridMultilevel"/>
    <w:tmpl w:val="3B8263C0"/>
    <w:lvl w:ilvl="0" w:tplc="6BAC0802">
      <w:start w:val="1"/>
      <w:numFmt w:val="upperRoman"/>
      <w:lvlText w:val="%1."/>
      <w:lvlJc w:val="left"/>
      <w:pPr>
        <w:ind w:left="720" w:hanging="360"/>
      </w:pPr>
      <w:rPr>
        <w:rFonts w:hint="default"/>
        <w:b/>
        <w:i w:val="0"/>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DC38E9CE">
      <w:start w:val="1"/>
      <w:numFmt w:val="lowerRoman"/>
      <w:lvlText w:val="%4."/>
      <w:lvlJc w:val="left"/>
      <w:pPr>
        <w:ind w:left="2880" w:hanging="360"/>
      </w:pPr>
      <w:rPr>
        <w:rFonts w:hint="default"/>
      </w:r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C29A0"/>
    <w:multiLevelType w:val="hybridMultilevel"/>
    <w:tmpl w:val="DFBA7864"/>
    <w:lvl w:ilvl="0" w:tplc="589CC080">
      <w:start w:val="1"/>
      <w:numFmt w:val="decimal"/>
      <w:lvlText w:val="%1."/>
      <w:lvlJc w:val="left"/>
      <w:pPr>
        <w:ind w:left="1530" w:hanging="360"/>
      </w:pPr>
      <w:rPr>
        <w:rFonts w:hint="default"/>
        <w:b w:val="0"/>
        <w:i w:val="0"/>
      </w:rPr>
    </w:lvl>
    <w:lvl w:ilvl="1" w:tplc="9DA65E9A">
      <w:start w:val="1"/>
      <w:numFmt w:val="upperLetter"/>
      <w:lvlText w:val="%2."/>
      <w:lvlJc w:val="left"/>
      <w:pPr>
        <w:ind w:left="2250" w:hanging="360"/>
      </w:pPr>
      <w:rPr>
        <w:b/>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6D7E5BB1"/>
    <w:multiLevelType w:val="hybridMultilevel"/>
    <w:tmpl w:val="63029F0C"/>
    <w:lvl w:ilvl="0" w:tplc="6BAC0802">
      <w:start w:val="1"/>
      <w:numFmt w:val="upperRoman"/>
      <w:lvlText w:val="%1."/>
      <w:lvlJc w:val="left"/>
      <w:pPr>
        <w:ind w:left="720" w:hanging="360"/>
      </w:pPr>
      <w:rPr>
        <w:rFonts w:hint="default"/>
        <w:b/>
        <w:i w:val="0"/>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DC38E9CE">
      <w:start w:val="1"/>
      <w:numFmt w:val="lowerRoman"/>
      <w:lvlText w:val="%4."/>
      <w:lvlJc w:val="left"/>
      <w:pPr>
        <w:ind w:left="2880" w:hanging="360"/>
      </w:pPr>
      <w:rPr>
        <w:rFonts w:hint="default"/>
      </w:rPr>
    </w:lvl>
    <w:lvl w:ilvl="4" w:tplc="58AADE0C">
      <w:start w:val="1"/>
      <w:numFmt w:val="lowerRoman"/>
      <w:lvlText w:val="%5."/>
      <w:lvlJc w:val="left"/>
      <w:pPr>
        <w:ind w:left="3600" w:hanging="360"/>
      </w:pPr>
      <w:rPr>
        <w:rFonts w:hint="default"/>
        <w:sz w:val="20"/>
      </w:rPr>
    </w:lvl>
    <w:lvl w:ilvl="5" w:tplc="7BE8D5E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CF6037"/>
    <w:multiLevelType w:val="hybridMultilevel"/>
    <w:tmpl w:val="491A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1E3D0A"/>
    <w:multiLevelType w:val="hybridMultilevel"/>
    <w:tmpl w:val="BD945F42"/>
    <w:lvl w:ilvl="0" w:tplc="6BAC0802">
      <w:start w:val="1"/>
      <w:numFmt w:val="upperRoman"/>
      <w:lvlText w:val="%1."/>
      <w:lvlJc w:val="left"/>
      <w:pPr>
        <w:ind w:left="720" w:hanging="360"/>
      </w:pPr>
      <w:rPr>
        <w:rFonts w:hint="default"/>
        <w:b/>
        <w:i w:val="0"/>
      </w:rPr>
    </w:lvl>
    <w:lvl w:ilvl="1" w:tplc="66787F98">
      <w:start w:val="1"/>
      <w:numFmt w:val="upperLetter"/>
      <w:lvlText w:val="%2."/>
      <w:lvlJc w:val="left"/>
      <w:pPr>
        <w:ind w:left="1440" w:hanging="360"/>
      </w:pPr>
      <w:rPr>
        <w:b/>
      </w:rPr>
    </w:lvl>
    <w:lvl w:ilvl="2" w:tplc="F378DE2C">
      <w:start w:val="1"/>
      <w:numFmt w:val="upperLetter"/>
      <w:lvlText w:val="%3."/>
      <w:lvlJc w:val="left"/>
      <w:pPr>
        <w:ind w:left="2430" w:hanging="180"/>
      </w:pPr>
      <w:rPr>
        <w:b w:val="0"/>
        <w:bCs w:val="0"/>
      </w:r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725831043">
    <w:abstractNumId w:val="45"/>
  </w:num>
  <w:num w:numId="2" w16cid:durableId="2100444980">
    <w:abstractNumId w:val="2"/>
  </w:num>
  <w:num w:numId="3" w16cid:durableId="1264411247">
    <w:abstractNumId w:val="14"/>
  </w:num>
  <w:num w:numId="4" w16cid:durableId="1397124373">
    <w:abstractNumId w:val="19"/>
  </w:num>
  <w:num w:numId="5" w16cid:durableId="1232234224">
    <w:abstractNumId w:val="21"/>
  </w:num>
  <w:num w:numId="6" w16cid:durableId="503279489">
    <w:abstractNumId w:val="35"/>
  </w:num>
  <w:num w:numId="7" w16cid:durableId="905992611">
    <w:abstractNumId w:val="38"/>
  </w:num>
  <w:num w:numId="8" w16cid:durableId="1730300907">
    <w:abstractNumId w:val="5"/>
  </w:num>
  <w:num w:numId="9" w16cid:durableId="1982693333">
    <w:abstractNumId w:val="29"/>
  </w:num>
  <w:num w:numId="10" w16cid:durableId="1467548429">
    <w:abstractNumId w:val="12"/>
  </w:num>
  <w:num w:numId="11" w16cid:durableId="133955789">
    <w:abstractNumId w:val="44"/>
  </w:num>
  <w:num w:numId="12" w16cid:durableId="1425111904">
    <w:abstractNumId w:val="18"/>
  </w:num>
  <w:num w:numId="13" w16cid:durableId="1166944068">
    <w:abstractNumId w:val="16"/>
  </w:num>
  <w:num w:numId="14" w16cid:durableId="1492912844">
    <w:abstractNumId w:val="10"/>
  </w:num>
  <w:num w:numId="15" w16cid:durableId="704907328">
    <w:abstractNumId w:val="13"/>
  </w:num>
  <w:num w:numId="16" w16cid:durableId="1958369502">
    <w:abstractNumId w:val="43"/>
  </w:num>
  <w:num w:numId="17" w16cid:durableId="628970254">
    <w:abstractNumId w:val="30"/>
  </w:num>
  <w:num w:numId="18" w16cid:durableId="613825164">
    <w:abstractNumId w:val="23"/>
  </w:num>
  <w:num w:numId="19" w16cid:durableId="2013559819">
    <w:abstractNumId w:val="11"/>
  </w:num>
  <w:num w:numId="20" w16cid:durableId="434326810">
    <w:abstractNumId w:val="6"/>
  </w:num>
  <w:num w:numId="21" w16cid:durableId="1313171314">
    <w:abstractNumId w:val="33"/>
  </w:num>
  <w:num w:numId="22" w16cid:durableId="70205049">
    <w:abstractNumId w:val="34"/>
  </w:num>
  <w:num w:numId="23" w16cid:durableId="938175859">
    <w:abstractNumId w:val="40"/>
  </w:num>
  <w:num w:numId="24" w16cid:durableId="1032340015">
    <w:abstractNumId w:val="9"/>
  </w:num>
  <w:num w:numId="25" w16cid:durableId="914585879">
    <w:abstractNumId w:val="20"/>
  </w:num>
  <w:num w:numId="26" w16cid:durableId="1804542305">
    <w:abstractNumId w:val="1"/>
  </w:num>
  <w:num w:numId="27" w16cid:durableId="1017467709">
    <w:abstractNumId w:val="22"/>
  </w:num>
  <w:num w:numId="28" w16cid:durableId="892430120">
    <w:abstractNumId w:val="25"/>
  </w:num>
  <w:num w:numId="29" w16cid:durableId="1633554311">
    <w:abstractNumId w:val="39"/>
  </w:num>
  <w:num w:numId="30" w16cid:durableId="1890415459">
    <w:abstractNumId w:val="3"/>
  </w:num>
  <w:num w:numId="31" w16cid:durableId="34086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0096528">
    <w:abstractNumId w:val="37"/>
  </w:num>
  <w:num w:numId="33" w16cid:durableId="442572389">
    <w:abstractNumId w:val="32"/>
  </w:num>
  <w:num w:numId="34" w16cid:durableId="1121000124">
    <w:abstractNumId w:val="41"/>
  </w:num>
  <w:num w:numId="35" w16cid:durableId="1264680538">
    <w:abstractNumId w:val="17"/>
  </w:num>
  <w:num w:numId="36" w16cid:durableId="1869946370">
    <w:abstractNumId w:val="7"/>
  </w:num>
  <w:num w:numId="37" w16cid:durableId="1098061206">
    <w:abstractNumId w:val="27"/>
  </w:num>
  <w:num w:numId="38" w16cid:durableId="1028721839">
    <w:abstractNumId w:val="8"/>
  </w:num>
  <w:num w:numId="39" w16cid:durableId="1418093993">
    <w:abstractNumId w:val="24"/>
  </w:num>
  <w:num w:numId="40" w16cid:durableId="1559321636">
    <w:abstractNumId w:val="28"/>
  </w:num>
  <w:num w:numId="41" w16cid:durableId="1310404419">
    <w:abstractNumId w:val="4"/>
  </w:num>
  <w:num w:numId="42" w16cid:durableId="1927420565">
    <w:abstractNumId w:val="42"/>
  </w:num>
  <w:num w:numId="43" w16cid:durableId="1319456554">
    <w:abstractNumId w:val="0"/>
  </w:num>
  <w:num w:numId="44" w16cid:durableId="611087644">
    <w:abstractNumId w:val="31"/>
  </w:num>
  <w:num w:numId="45" w16cid:durableId="1176194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6910384">
    <w:abstractNumId w:val="36"/>
  </w:num>
  <w:num w:numId="47" w16cid:durableId="3355453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0FA"/>
    <w:rsid w:val="000014E9"/>
    <w:rsid w:val="00001E8E"/>
    <w:rsid w:val="000020BA"/>
    <w:rsid w:val="000023BE"/>
    <w:rsid w:val="00003125"/>
    <w:rsid w:val="000048FA"/>
    <w:rsid w:val="00010050"/>
    <w:rsid w:val="0001136E"/>
    <w:rsid w:val="0001162B"/>
    <w:rsid w:val="00016CEB"/>
    <w:rsid w:val="00017ECE"/>
    <w:rsid w:val="00020275"/>
    <w:rsid w:val="00022DF2"/>
    <w:rsid w:val="0002679F"/>
    <w:rsid w:val="00027787"/>
    <w:rsid w:val="00031498"/>
    <w:rsid w:val="00032976"/>
    <w:rsid w:val="00032D3F"/>
    <w:rsid w:val="00033593"/>
    <w:rsid w:val="000355AA"/>
    <w:rsid w:val="00036A9E"/>
    <w:rsid w:val="000378BB"/>
    <w:rsid w:val="00040129"/>
    <w:rsid w:val="000408DA"/>
    <w:rsid w:val="00040FEA"/>
    <w:rsid w:val="000415D3"/>
    <w:rsid w:val="00042B95"/>
    <w:rsid w:val="000465DE"/>
    <w:rsid w:val="0004733E"/>
    <w:rsid w:val="00052FC1"/>
    <w:rsid w:val="000568AB"/>
    <w:rsid w:val="000578E1"/>
    <w:rsid w:val="00060509"/>
    <w:rsid w:val="00062E37"/>
    <w:rsid w:val="000637CF"/>
    <w:rsid w:val="00065818"/>
    <w:rsid w:val="000676D9"/>
    <w:rsid w:val="00073ED2"/>
    <w:rsid w:val="00074A87"/>
    <w:rsid w:val="00075993"/>
    <w:rsid w:val="00083740"/>
    <w:rsid w:val="0009099E"/>
    <w:rsid w:val="000916BE"/>
    <w:rsid w:val="00091F00"/>
    <w:rsid w:val="00093425"/>
    <w:rsid w:val="00094136"/>
    <w:rsid w:val="000969EB"/>
    <w:rsid w:val="000A2334"/>
    <w:rsid w:val="000A7B10"/>
    <w:rsid w:val="000B2BB1"/>
    <w:rsid w:val="000B2E25"/>
    <w:rsid w:val="000B3DEC"/>
    <w:rsid w:val="000C045E"/>
    <w:rsid w:val="000C0EFE"/>
    <w:rsid w:val="000C14EC"/>
    <w:rsid w:val="000C26FD"/>
    <w:rsid w:val="000C67F9"/>
    <w:rsid w:val="000C6FF7"/>
    <w:rsid w:val="000C7CCF"/>
    <w:rsid w:val="000D44C4"/>
    <w:rsid w:val="000E0BC7"/>
    <w:rsid w:val="000E2BFE"/>
    <w:rsid w:val="000E72F0"/>
    <w:rsid w:val="000F0C5D"/>
    <w:rsid w:val="000F10C2"/>
    <w:rsid w:val="000F5BE0"/>
    <w:rsid w:val="00104DBF"/>
    <w:rsid w:val="0010646A"/>
    <w:rsid w:val="00106E65"/>
    <w:rsid w:val="00110C2A"/>
    <w:rsid w:val="00110F10"/>
    <w:rsid w:val="00114677"/>
    <w:rsid w:val="001148A8"/>
    <w:rsid w:val="001149B1"/>
    <w:rsid w:val="00115C0C"/>
    <w:rsid w:val="00120A8F"/>
    <w:rsid w:val="00121420"/>
    <w:rsid w:val="00121B71"/>
    <w:rsid w:val="001270A2"/>
    <w:rsid w:val="00132E3B"/>
    <w:rsid w:val="001332E7"/>
    <w:rsid w:val="00136BB1"/>
    <w:rsid w:val="0013716D"/>
    <w:rsid w:val="00141561"/>
    <w:rsid w:val="00142550"/>
    <w:rsid w:val="0014295C"/>
    <w:rsid w:val="0014316D"/>
    <w:rsid w:val="00143ABA"/>
    <w:rsid w:val="001454F5"/>
    <w:rsid w:val="00146C6E"/>
    <w:rsid w:val="0015652C"/>
    <w:rsid w:val="001617CF"/>
    <w:rsid w:val="001675D9"/>
    <w:rsid w:val="00167DB2"/>
    <w:rsid w:val="00170B14"/>
    <w:rsid w:val="00173773"/>
    <w:rsid w:val="00174FEB"/>
    <w:rsid w:val="00176C5A"/>
    <w:rsid w:val="00176F6C"/>
    <w:rsid w:val="00181172"/>
    <w:rsid w:val="001818D7"/>
    <w:rsid w:val="0018275E"/>
    <w:rsid w:val="00184C65"/>
    <w:rsid w:val="00185104"/>
    <w:rsid w:val="00185985"/>
    <w:rsid w:val="001859A6"/>
    <w:rsid w:val="00187155"/>
    <w:rsid w:val="0019115A"/>
    <w:rsid w:val="001923CC"/>
    <w:rsid w:val="001962BE"/>
    <w:rsid w:val="00196689"/>
    <w:rsid w:val="00196935"/>
    <w:rsid w:val="0019746F"/>
    <w:rsid w:val="001A7C9F"/>
    <w:rsid w:val="001B5473"/>
    <w:rsid w:val="001C12CA"/>
    <w:rsid w:val="001D0D34"/>
    <w:rsid w:val="001D1EF9"/>
    <w:rsid w:val="001D3BCD"/>
    <w:rsid w:val="001D498C"/>
    <w:rsid w:val="001D5D74"/>
    <w:rsid w:val="001D70D4"/>
    <w:rsid w:val="001E0367"/>
    <w:rsid w:val="001E1D56"/>
    <w:rsid w:val="001E273D"/>
    <w:rsid w:val="001E2E5C"/>
    <w:rsid w:val="001E3EEC"/>
    <w:rsid w:val="001E78A1"/>
    <w:rsid w:val="001E798C"/>
    <w:rsid w:val="001E7AFC"/>
    <w:rsid w:val="001E7D12"/>
    <w:rsid w:val="001F1C00"/>
    <w:rsid w:val="001F615C"/>
    <w:rsid w:val="0020087A"/>
    <w:rsid w:val="002019B6"/>
    <w:rsid w:val="00204648"/>
    <w:rsid w:val="0020675F"/>
    <w:rsid w:val="00214016"/>
    <w:rsid w:val="00220736"/>
    <w:rsid w:val="00220E4F"/>
    <w:rsid w:val="00223BFC"/>
    <w:rsid w:val="0022416B"/>
    <w:rsid w:val="002243AE"/>
    <w:rsid w:val="002248D5"/>
    <w:rsid w:val="00230FE4"/>
    <w:rsid w:val="00233651"/>
    <w:rsid w:val="002414DE"/>
    <w:rsid w:val="00241FA2"/>
    <w:rsid w:val="00242A51"/>
    <w:rsid w:val="00247AA0"/>
    <w:rsid w:val="002537FD"/>
    <w:rsid w:val="00254020"/>
    <w:rsid w:val="0025452A"/>
    <w:rsid w:val="00256908"/>
    <w:rsid w:val="00257B3F"/>
    <w:rsid w:val="00260186"/>
    <w:rsid w:val="00260E08"/>
    <w:rsid w:val="00261D27"/>
    <w:rsid w:val="00265059"/>
    <w:rsid w:val="00266C52"/>
    <w:rsid w:val="002710E3"/>
    <w:rsid w:val="0027113E"/>
    <w:rsid w:val="00272D36"/>
    <w:rsid w:val="00272EF8"/>
    <w:rsid w:val="00273459"/>
    <w:rsid w:val="00274A32"/>
    <w:rsid w:val="002776CD"/>
    <w:rsid w:val="00277B63"/>
    <w:rsid w:val="0028136E"/>
    <w:rsid w:val="002816E0"/>
    <w:rsid w:val="00282728"/>
    <w:rsid w:val="00283341"/>
    <w:rsid w:val="00283D07"/>
    <w:rsid w:val="00285997"/>
    <w:rsid w:val="00290138"/>
    <w:rsid w:val="002928D6"/>
    <w:rsid w:val="00296CCF"/>
    <w:rsid w:val="002A2316"/>
    <w:rsid w:val="002A39EE"/>
    <w:rsid w:val="002A7246"/>
    <w:rsid w:val="002B0233"/>
    <w:rsid w:val="002B0442"/>
    <w:rsid w:val="002B0522"/>
    <w:rsid w:val="002B0582"/>
    <w:rsid w:val="002B1E1F"/>
    <w:rsid w:val="002B2C08"/>
    <w:rsid w:val="002B6D2B"/>
    <w:rsid w:val="002C1C80"/>
    <w:rsid w:val="002C49F0"/>
    <w:rsid w:val="002C6AAB"/>
    <w:rsid w:val="002C6B5C"/>
    <w:rsid w:val="002C78BC"/>
    <w:rsid w:val="002C7E92"/>
    <w:rsid w:val="002D019A"/>
    <w:rsid w:val="002D0B21"/>
    <w:rsid w:val="002D3D5A"/>
    <w:rsid w:val="002D5486"/>
    <w:rsid w:val="002E0263"/>
    <w:rsid w:val="002E1390"/>
    <w:rsid w:val="002E2014"/>
    <w:rsid w:val="002E48E7"/>
    <w:rsid w:val="002E5306"/>
    <w:rsid w:val="002F0B17"/>
    <w:rsid w:val="002F1A83"/>
    <w:rsid w:val="002F2075"/>
    <w:rsid w:val="00300D82"/>
    <w:rsid w:val="00302100"/>
    <w:rsid w:val="00302266"/>
    <w:rsid w:val="00302873"/>
    <w:rsid w:val="0030543A"/>
    <w:rsid w:val="00305633"/>
    <w:rsid w:val="00305A8E"/>
    <w:rsid w:val="003074AE"/>
    <w:rsid w:val="00311094"/>
    <w:rsid w:val="00311DBE"/>
    <w:rsid w:val="003140D6"/>
    <w:rsid w:val="00315CF4"/>
    <w:rsid w:val="00317DB3"/>
    <w:rsid w:val="00317E9D"/>
    <w:rsid w:val="00330279"/>
    <w:rsid w:val="003302A4"/>
    <w:rsid w:val="0033283B"/>
    <w:rsid w:val="00336E37"/>
    <w:rsid w:val="003400D0"/>
    <w:rsid w:val="00340235"/>
    <w:rsid w:val="00350F22"/>
    <w:rsid w:val="00352B55"/>
    <w:rsid w:val="003546DF"/>
    <w:rsid w:val="00360BB6"/>
    <w:rsid w:val="00362E05"/>
    <w:rsid w:val="00363D0F"/>
    <w:rsid w:val="0036437E"/>
    <w:rsid w:val="0036645E"/>
    <w:rsid w:val="00370BD8"/>
    <w:rsid w:val="00373227"/>
    <w:rsid w:val="0037592D"/>
    <w:rsid w:val="00376B3E"/>
    <w:rsid w:val="00382320"/>
    <w:rsid w:val="003840CC"/>
    <w:rsid w:val="00384A3F"/>
    <w:rsid w:val="00386B04"/>
    <w:rsid w:val="003905FE"/>
    <w:rsid w:val="003931A1"/>
    <w:rsid w:val="003931CF"/>
    <w:rsid w:val="003A0F82"/>
    <w:rsid w:val="003A225F"/>
    <w:rsid w:val="003A31BE"/>
    <w:rsid w:val="003A3D23"/>
    <w:rsid w:val="003A726D"/>
    <w:rsid w:val="003B062F"/>
    <w:rsid w:val="003B665C"/>
    <w:rsid w:val="003B7342"/>
    <w:rsid w:val="003B7810"/>
    <w:rsid w:val="003C0BF1"/>
    <w:rsid w:val="003C1FA8"/>
    <w:rsid w:val="003C2024"/>
    <w:rsid w:val="003C210A"/>
    <w:rsid w:val="003C46D8"/>
    <w:rsid w:val="003C7877"/>
    <w:rsid w:val="003D7BE7"/>
    <w:rsid w:val="003E5078"/>
    <w:rsid w:val="003F372E"/>
    <w:rsid w:val="003F3D44"/>
    <w:rsid w:val="003F6464"/>
    <w:rsid w:val="003F7BF3"/>
    <w:rsid w:val="004015E2"/>
    <w:rsid w:val="004017A9"/>
    <w:rsid w:val="00402AAD"/>
    <w:rsid w:val="00411191"/>
    <w:rsid w:val="004115F3"/>
    <w:rsid w:val="00415E1A"/>
    <w:rsid w:val="00417941"/>
    <w:rsid w:val="00420DA3"/>
    <w:rsid w:val="00425215"/>
    <w:rsid w:val="004252A4"/>
    <w:rsid w:val="00431333"/>
    <w:rsid w:val="00435777"/>
    <w:rsid w:val="00435822"/>
    <w:rsid w:val="004379E2"/>
    <w:rsid w:val="0044133A"/>
    <w:rsid w:val="00445D07"/>
    <w:rsid w:val="00450270"/>
    <w:rsid w:val="00450BE7"/>
    <w:rsid w:val="004549A1"/>
    <w:rsid w:val="004549ED"/>
    <w:rsid w:val="0045510C"/>
    <w:rsid w:val="004569B6"/>
    <w:rsid w:val="00457AAF"/>
    <w:rsid w:val="004606B4"/>
    <w:rsid w:val="004620F3"/>
    <w:rsid w:val="00462670"/>
    <w:rsid w:val="004631F5"/>
    <w:rsid w:val="004640A1"/>
    <w:rsid w:val="00466446"/>
    <w:rsid w:val="00467C0B"/>
    <w:rsid w:val="004704BA"/>
    <w:rsid w:val="00471727"/>
    <w:rsid w:val="0047260D"/>
    <w:rsid w:val="00472C6C"/>
    <w:rsid w:val="004806C5"/>
    <w:rsid w:val="00480C09"/>
    <w:rsid w:val="00481730"/>
    <w:rsid w:val="004818F4"/>
    <w:rsid w:val="004826C3"/>
    <w:rsid w:val="0048282C"/>
    <w:rsid w:val="004828B6"/>
    <w:rsid w:val="00484BDB"/>
    <w:rsid w:val="0048503E"/>
    <w:rsid w:val="004850EA"/>
    <w:rsid w:val="00487629"/>
    <w:rsid w:val="004876E5"/>
    <w:rsid w:val="00487F33"/>
    <w:rsid w:val="00491428"/>
    <w:rsid w:val="004919DF"/>
    <w:rsid w:val="00492037"/>
    <w:rsid w:val="00493710"/>
    <w:rsid w:val="00496BCF"/>
    <w:rsid w:val="00497AED"/>
    <w:rsid w:val="004A629E"/>
    <w:rsid w:val="004A6A17"/>
    <w:rsid w:val="004A7936"/>
    <w:rsid w:val="004B6A5E"/>
    <w:rsid w:val="004B6C9F"/>
    <w:rsid w:val="004B7F7D"/>
    <w:rsid w:val="004C3C46"/>
    <w:rsid w:val="004D1AC3"/>
    <w:rsid w:val="004D2524"/>
    <w:rsid w:val="004D3FDF"/>
    <w:rsid w:val="004D4F5E"/>
    <w:rsid w:val="004D5B5E"/>
    <w:rsid w:val="004D5C21"/>
    <w:rsid w:val="004D6A71"/>
    <w:rsid w:val="004D73A5"/>
    <w:rsid w:val="004D7CD3"/>
    <w:rsid w:val="004E0B99"/>
    <w:rsid w:val="004E0E1C"/>
    <w:rsid w:val="004E1F12"/>
    <w:rsid w:val="004E210B"/>
    <w:rsid w:val="004E3BF8"/>
    <w:rsid w:val="004E71A8"/>
    <w:rsid w:val="004E7980"/>
    <w:rsid w:val="004F10FC"/>
    <w:rsid w:val="004F2B88"/>
    <w:rsid w:val="004F436C"/>
    <w:rsid w:val="004F474F"/>
    <w:rsid w:val="004F6394"/>
    <w:rsid w:val="004F7BE1"/>
    <w:rsid w:val="00504411"/>
    <w:rsid w:val="00505830"/>
    <w:rsid w:val="00506E5A"/>
    <w:rsid w:val="005071B4"/>
    <w:rsid w:val="005100A6"/>
    <w:rsid w:val="005103B8"/>
    <w:rsid w:val="00513CCE"/>
    <w:rsid w:val="00513F7B"/>
    <w:rsid w:val="005143C4"/>
    <w:rsid w:val="0051462B"/>
    <w:rsid w:val="00514EE1"/>
    <w:rsid w:val="00515B45"/>
    <w:rsid w:val="0051600A"/>
    <w:rsid w:val="00520F5A"/>
    <w:rsid w:val="00521D78"/>
    <w:rsid w:val="00523027"/>
    <w:rsid w:val="00524D62"/>
    <w:rsid w:val="00527A88"/>
    <w:rsid w:val="00527C21"/>
    <w:rsid w:val="00530C7E"/>
    <w:rsid w:val="00535913"/>
    <w:rsid w:val="005372B4"/>
    <w:rsid w:val="00537CF3"/>
    <w:rsid w:val="00540B08"/>
    <w:rsid w:val="005419C9"/>
    <w:rsid w:val="00542191"/>
    <w:rsid w:val="005423D4"/>
    <w:rsid w:val="00544FE9"/>
    <w:rsid w:val="005455C8"/>
    <w:rsid w:val="005467A5"/>
    <w:rsid w:val="00546DC4"/>
    <w:rsid w:val="00547905"/>
    <w:rsid w:val="00547A52"/>
    <w:rsid w:val="005511B2"/>
    <w:rsid w:val="005537B0"/>
    <w:rsid w:val="00554C4B"/>
    <w:rsid w:val="00562C5B"/>
    <w:rsid w:val="00563996"/>
    <w:rsid w:val="00564815"/>
    <w:rsid w:val="00564D38"/>
    <w:rsid w:val="005661AB"/>
    <w:rsid w:val="00566BAA"/>
    <w:rsid w:val="00566E06"/>
    <w:rsid w:val="00572FF8"/>
    <w:rsid w:val="00575F21"/>
    <w:rsid w:val="005776FD"/>
    <w:rsid w:val="00583376"/>
    <w:rsid w:val="00584BF3"/>
    <w:rsid w:val="005864EC"/>
    <w:rsid w:val="00591303"/>
    <w:rsid w:val="00591BFE"/>
    <w:rsid w:val="005957D4"/>
    <w:rsid w:val="00595D5E"/>
    <w:rsid w:val="0059638A"/>
    <w:rsid w:val="00596FD6"/>
    <w:rsid w:val="005974AE"/>
    <w:rsid w:val="005978D8"/>
    <w:rsid w:val="00597FAD"/>
    <w:rsid w:val="005A380D"/>
    <w:rsid w:val="005A57D9"/>
    <w:rsid w:val="005B3B10"/>
    <w:rsid w:val="005B4487"/>
    <w:rsid w:val="005B541C"/>
    <w:rsid w:val="005C0FE5"/>
    <w:rsid w:val="005C17DF"/>
    <w:rsid w:val="005C2116"/>
    <w:rsid w:val="005C3607"/>
    <w:rsid w:val="005C71E5"/>
    <w:rsid w:val="005C78CC"/>
    <w:rsid w:val="005D009F"/>
    <w:rsid w:val="005D1627"/>
    <w:rsid w:val="005D1B70"/>
    <w:rsid w:val="005D3044"/>
    <w:rsid w:val="005D48E6"/>
    <w:rsid w:val="005D5146"/>
    <w:rsid w:val="005D5F54"/>
    <w:rsid w:val="005D7B81"/>
    <w:rsid w:val="005E1A3A"/>
    <w:rsid w:val="005E411E"/>
    <w:rsid w:val="005E52B8"/>
    <w:rsid w:val="005F051C"/>
    <w:rsid w:val="005F28CE"/>
    <w:rsid w:val="005F60C5"/>
    <w:rsid w:val="005F6263"/>
    <w:rsid w:val="0060634E"/>
    <w:rsid w:val="00606B76"/>
    <w:rsid w:val="00606D8B"/>
    <w:rsid w:val="00612E03"/>
    <w:rsid w:val="0061670B"/>
    <w:rsid w:val="00617CB9"/>
    <w:rsid w:val="00620251"/>
    <w:rsid w:val="00622BE6"/>
    <w:rsid w:val="0062733D"/>
    <w:rsid w:val="00627D30"/>
    <w:rsid w:val="006308E6"/>
    <w:rsid w:val="00634E3F"/>
    <w:rsid w:val="00635A4F"/>
    <w:rsid w:val="00635EBE"/>
    <w:rsid w:val="00635EF5"/>
    <w:rsid w:val="0063788B"/>
    <w:rsid w:val="0064516E"/>
    <w:rsid w:val="00646CAF"/>
    <w:rsid w:val="0064705D"/>
    <w:rsid w:val="006470C5"/>
    <w:rsid w:val="006474BB"/>
    <w:rsid w:val="00647A4E"/>
    <w:rsid w:val="0065249A"/>
    <w:rsid w:val="0065541F"/>
    <w:rsid w:val="006557EB"/>
    <w:rsid w:val="0065746E"/>
    <w:rsid w:val="006578CA"/>
    <w:rsid w:val="0066042A"/>
    <w:rsid w:val="006620FB"/>
    <w:rsid w:val="00662D36"/>
    <w:rsid w:val="006650C9"/>
    <w:rsid w:val="00665480"/>
    <w:rsid w:val="006664E9"/>
    <w:rsid w:val="006666C4"/>
    <w:rsid w:val="006669A3"/>
    <w:rsid w:val="00671A62"/>
    <w:rsid w:val="00672C4A"/>
    <w:rsid w:val="0067475D"/>
    <w:rsid w:val="00676701"/>
    <w:rsid w:val="00676CCA"/>
    <w:rsid w:val="00677007"/>
    <w:rsid w:val="00682D93"/>
    <w:rsid w:val="006840B6"/>
    <w:rsid w:val="00685503"/>
    <w:rsid w:val="00691017"/>
    <w:rsid w:val="006943CE"/>
    <w:rsid w:val="006946CE"/>
    <w:rsid w:val="00694F06"/>
    <w:rsid w:val="00695286"/>
    <w:rsid w:val="006A0352"/>
    <w:rsid w:val="006A381A"/>
    <w:rsid w:val="006A3F5A"/>
    <w:rsid w:val="006A6215"/>
    <w:rsid w:val="006B219D"/>
    <w:rsid w:val="006B2328"/>
    <w:rsid w:val="006B4DA0"/>
    <w:rsid w:val="006C0A7F"/>
    <w:rsid w:val="006C4C68"/>
    <w:rsid w:val="006C74DF"/>
    <w:rsid w:val="006D278B"/>
    <w:rsid w:val="006D5CF5"/>
    <w:rsid w:val="006D5ECC"/>
    <w:rsid w:val="006D7759"/>
    <w:rsid w:val="006E13CA"/>
    <w:rsid w:val="006E1FCA"/>
    <w:rsid w:val="006E21DB"/>
    <w:rsid w:val="006F09E8"/>
    <w:rsid w:val="006F176E"/>
    <w:rsid w:val="006F2094"/>
    <w:rsid w:val="006F2B5E"/>
    <w:rsid w:val="006F33D3"/>
    <w:rsid w:val="006F488C"/>
    <w:rsid w:val="006F4D70"/>
    <w:rsid w:val="006F5632"/>
    <w:rsid w:val="006F62B4"/>
    <w:rsid w:val="006F6584"/>
    <w:rsid w:val="00700262"/>
    <w:rsid w:val="00701CB2"/>
    <w:rsid w:val="00702ED2"/>
    <w:rsid w:val="00703246"/>
    <w:rsid w:val="007048D7"/>
    <w:rsid w:val="007102E7"/>
    <w:rsid w:val="0071043D"/>
    <w:rsid w:val="007151D2"/>
    <w:rsid w:val="007163E2"/>
    <w:rsid w:val="00716A55"/>
    <w:rsid w:val="007225AB"/>
    <w:rsid w:val="00723FAD"/>
    <w:rsid w:val="00724AB2"/>
    <w:rsid w:val="00727B1E"/>
    <w:rsid w:val="007302CC"/>
    <w:rsid w:val="00733D21"/>
    <w:rsid w:val="007344C8"/>
    <w:rsid w:val="007357DC"/>
    <w:rsid w:val="0073700F"/>
    <w:rsid w:val="00737C61"/>
    <w:rsid w:val="0074273D"/>
    <w:rsid w:val="00744250"/>
    <w:rsid w:val="00746C6C"/>
    <w:rsid w:val="00747D1C"/>
    <w:rsid w:val="00750CC1"/>
    <w:rsid w:val="007512F2"/>
    <w:rsid w:val="007561E1"/>
    <w:rsid w:val="0075663C"/>
    <w:rsid w:val="0075723E"/>
    <w:rsid w:val="00761207"/>
    <w:rsid w:val="0076210C"/>
    <w:rsid w:val="007664B1"/>
    <w:rsid w:val="007666D7"/>
    <w:rsid w:val="00766CA1"/>
    <w:rsid w:val="007671C3"/>
    <w:rsid w:val="00767784"/>
    <w:rsid w:val="00773B28"/>
    <w:rsid w:val="00774615"/>
    <w:rsid w:val="007753CD"/>
    <w:rsid w:val="007764CE"/>
    <w:rsid w:val="00777EEA"/>
    <w:rsid w:val="007830B8"/>
    <w:rsid w:val="007847DB"/>
    <w:rsid w:val="00785947"/>
    <w:rsid w:val="00790582"/>
    <w:rsid w:val="00791CFF"/>
    <w:rsid w:val="00793C66"/>
    <w:rsid w:val="00796E8A"/>
    <w:rsid w:val="007A031F"/>
    <w:rsid w:val="007A0BCC"/>
    <w:rsid w:val="007A1298"/>
    <w:rsid w:val="007A2C19"/>
    <w:rsid w:val="007A2F11"/>
    <w:rsid w:val="007A4339"/>
    <w:rsid w:val="007A5411"/>
    <w:rsid w:val="007B07AE"/>
    <w:rsid w:val="007B50D0"/>
    <w:rsid w:val="007C0D47"/>
    <w:rsid w:val="007D4801"/>
    <w:rsid w:val="007D4D31"/>
    <w:rsid w:val="007D5414"/>
    <w:rsid w:val="007D61EB"/>
    <w:rsid w:val="007E04B2"/>
    <w:rsid w:val="007F0467"/>
    <w:rsid w:val="007F0482"/>
    <w:rsid w:val="007F0DAC"/>
    <w:rsid w:val="007F1F19"/>
    <w:rsid w:val="007F3960"/>
    <w:rsid w:val="007F6A65"/>
    <w:rsid w:val="00800B80"/>
    <w:rsid w:val="008010B5"/>
    <w:rsid w:val="00801683"/>
    <w:rsid w:val="008025E4"/>
    <w:rsid w:val="00802EBF"/>
    <w:rsid w:val="00802EFA"/>
    <w:rsid w:val="00803057"/>
    <w:rsid w:val="0080380F"/>
    <w:rsid w:val="00805E69"/>
    <w:rsid w:val="008077EA"/>
    <w:rsid w:val="00814468"/>
    <w:rsid w:val="00817699"/>
    <w:rsid w:val="008212B1"/>
    <w:rsid w:val="00822E29"/>
    <w:rsid w:val="0082341C"/>
    <w:rsid w:val="008238A7"/>
    <w:rsid w:val="008265F1"/>
    <w:rsid w:val="00832A5D"/>
    <w:rsid w:val="00832DDA"/>
    <w:rsid w:val="008341BC"/>
    <w:rsid w:val="00836DB5"/>
    <w:rsid w:val="0083756F"/>
    <w:rsid w:val="00837DCC"/>
    <w:rsid w:val="008417FB"/>
    <w:rsid w:val="00845649"/>
    <w:rsid w:val="00854864"/>
    <w:rsid w:val="00855050"/>
    <w:rsid w:val="00857C10"/>
    <w:rsid w:val="0086013D"/>
    <w:rsid w:val="00860900"/>
    <w:rsid w:val="00860C80"/>
    <w:rsid w:val="008634EB"/>
    <w:rsid w:val="00864AB3"/>
    <w:rsid w:val="00875924"/>
    <w:rsid w:val="00876316"/>
    <w:rsid w:val="00877EC7"/>
    <w:rsid w:val="0088001B"/>
    <w:rsid w:val="008812A4"/>
    <w:rsid w:val="00886B19"/>
    <w:rsid w:val="00887A9F"/>
    <w:rsid w:val="0089490F"/>
    <w:rsid w:val="00896E94"/>
    <w:rsid w:val="008A0B6F"/>
    <w:rsid w:val="008A2988"/>
    <w:rsid w:val="008B0705"/>
    <w:rsid w:val="008B24F9"/>
    <w:rsid w:val="008B4522"/>
    <w:rsid w:val="008B6E5A"/>
    <w:rsid w:val="008B6EE8"/>
    <w:rsid w:val="008B717F"/>
    <w:rsid w:val="008C49AB"/>
    <w:rsid w:val="008C65D3"/>
    <w:rsid w:val="008C6B3A"/>
    <w:rsid w:val="008C71B0"/>
    <w:rsid w:val="008C7797"/>
    <w:rsid w:val="008D0B49"/>
    <w:rsid w:val="008D1B4E"/>
    <w:rsid w:val="008D6442"/>
    <w:rsid w:val="008D6DE3"/>
    <w:rsid w:val="008E0CA5"/>
    <w:rsid w:val="008E181A"/>
    <w:rsid w:val="008F1C05"/>
    <w:rsid w:val="008F359E"/>
    <w:rsid w:val="008F7351"/>
    <w:rsid w:val="0090145C"/>
    <w:rsid w:val="00902C9B"/>
    <w:rsid w:val="00907640"/>
    <w:rsid w:val="00910488"/>
    <w:rsid w:val="00910C97"/>
    <w:rsid w:val="00911ADA"/>
    <w:rsid w:val="009135E0"/>
    <w:rsid w:val="00915601"/>
    <w:rsid w:val="00915CA4"/>
    <w:rsid w:val="0091626A"/>
    <w:rsid w:val="00920A3F"/>
    <w:rsid w:val="00921470"/>
    <w:rsid w:val="00925DCA"/>
    <w:rsid w:val="0092659F"/>
    <w:rsid w:val="00926C34"/>
    <w:rsid w:val="00935036"/>
    <w:rsid w:val="0093513F"/>
    <w:rsid w:val="0093648C"/>
    <w:rsid w:val="00937514"/>
    <w:rsid w:val="00940A20"/>
    <w:rsid w:val="009416EE"/>
    <w:rsid w:val="009427BA"/>
    <w:rsid w:val="009429C9"/>
    <w:rsid w:val="00947288"/>
    <w:rsid w:val="00950443"/>
    <w:rsid w:val="00950820"/>
    <w:rsid w:val="0095254F"/>
    <w:rsid w:val="009547C4"/>
    <w:rsid w:val="00956982"/>
    <w:rsid w:val="009575C4"/>
    <w:rsid w:val="00960513"/>
    <w:rsid w:val="00960810"/>
    <w:rsid w:val="00961071"/>
    <w:rsid w:val="00962149"/>
    <w:rsid w:val="00962F2E"/>
    <w:rsid w:val="00963062"/>
    <w:rsid w:val="0096563F"/>
    <w:rsid w:val="009677F7"/>
    <w:rsid w:val="00970F2A"/>
    <w:rsid w:val="0097252D"/>
    <w:rsid w:val="00972C9E"/>
    <w:rsid w:val="009734B6"/>
    <w:rsid w:val="009735FA"/>
    <w:rsid w:val="00973BC4"/>
    <w:rsid w:val="00973D46"/>
    <w:rsid w:val="00974B1B"/>
    <w:rsid w:val="009762A3"/>
    <w:rsid w:val="009772B7"/>
    <w:rsid w:val="00977895"/>
    <w:rsid w:val="00977906"/>
    <w:rsid w:val="00977ECA"/>
    <w:rsid w:val="00980A9E"/>
    <w:rsid w:val="00982180"/>
    <w:rsid w:val="009840D3"/>
    <w:rsid w:val="009861F5"/>
    <w:rsid w:val="0098774C"/>
    <w:rsid w:val="00992507"/>
    <w:rsid w:val="009928B2"/>
    <w:rsid w:val="009958BB"/>
    <w:rsid w:val="00995D58"/>
    <w:rsid w:val="00995E6F"/>
    <w:rsid w:val="009A3CED"/>
    <w:rsid w:val="009A4161"/>
    <w:rsid w:val="009A417B"/>
    <w:rsid w:val="009A4FAD"/>
    <w:rsid w:val="009A5174"/>
    <w:rsid w:val="009A5C02"/>
    <w:rsid w:val="009A6767"/>
    <w:rsid w:val="009B0594"/>
    <w:rsid w:val="009B3622"/>
    <w:rsid w:val="009B500B"/>
    <w:rsid w:val="009B6C60"/>
    <w:rsid w:val="009C02BF"/>
    <w:rsid w:val="009C1A27"/>
    <w:rsid w:val="009C568F"/>
    <w:rsid w:val="009C5775"/>
    <w:rsid w:val="009C61B2"/>
    <w:rsid w:val="009D20CF"/>
    <w:rsid w:val="009D38DC"/>
    <w:rsid w:val="009D5928"/>
    <w:rsid w:val="009D5964"/>
    <w:rsid w:val="009E1E15"/>
    <w:rsid w:val="009E2822"/>
    <w:rsid w:val="009E6F29"/>
    <w:rsid w:val="009E7F6B"/>
    <w:rsid w:val="009F1A44"/>
    <w:rsid w:val="009F3797"/>
    <w:rsid w:val="009F4F8C"/>
    <w:rsid w:val="00A01CE8"/>
    <w:rsid w:val="00A021EF"/>
    <w:rsid w:val="00A03291"/>
    <w:rsid w:val="00A032B9"/>
    <w:rsid w:val="00A037EE"/>
    <w:rsid w:val="00A03CA3"/>
    <w:rsid w:val="00A03DD9"/>
    <w:rsid w:val="00A04FFD"/>
    <w:rsid w:val="00A052ED"/>
    <w:rsid w:val="00A0652C"/>
    <w:rsid w:val="00A070BE"/>
    <w:rsid w:val="00A110D4"/>
    <w:rsid w:val="00A13BF0"/>
    <w:rsid w:val="00A14198"/>
    <w:rsid w:val="00A2054F"/>
    <w:rsid w:val="00A20F73"/>
    <w:rsid w:val="00A2367F"/>
    <w:rsid w:val="00A33B51"/>
    <w:rsid w:val="00A34C52"/>
    <w:rsid w:val="00A3562D"/>
    <w:rsid w:val="00A41969"/>
    <w:rsid w:val="00A42207"/>
    <w:rsid w:val="00A43FE6"/>
    <w:rsid w:val="00A45AA3"/>
    <w:rsid w:val="00A46E18"/>
    <w:rsid w:val="00A55C2E"/>
    <w:rsid w:val="00A55EB5"/>
    <w:rsid w:val="00A60413"/>
    <w:rsid w:val="00A60A26"/>
    <w:rsid w:val="00A60F6F"/>
    <w:rsid w:val="00A624F5"/>
    <w:rsid w:val="00A64498"/>
    <w:rsid w:val="00A65221"/>
    <w:rsid w:val="00A71C42"/>
    <w:rsid w:val="00A73281"/>
    <w:rsid w:val="00A73691"/>
    <w:rsid w:val="00A74E33"/>
    <w:rsid w:val="00A83658"/>
    <w:rsid w:val="00A84909"/>
    <w:rsid w:val="00A85489"/>
    <w:rsid w:val="00A87B1F"/>
    <w:rsid w:val="00A87CA8"/>
    <w:rsid w:val="00A925F7"/>
    <w:rsid w:val="00A92A0E"/>
    <w:rsid w:val="00A94F74"/>
    <w:rsid w:val="00A96185"/>
    <w:rsid w:val="00AA312F"/>
    <w:rsid w:val="00AA336E"/>
    <w:rsid w:val="00AA3CEA"/>
    <w:rsid w:val="00AA428E"/>
    <w:rsid w:val="00AA4F34"/>
    <w:rsid w:val="00AA7942"/>
    <w:rsid w:val="00AA7C66"/>
    <w:rsid w:val="00AB2EBD"/>
    <w:rsid w:val="00AB310F"/>
    <w:rsid w:val="00AB4399"/>
    <w:rsid w:val="00AB4887"/>
    <w:rsid w:val="00AB664C"/>
    <w:rsid w:val="00AB6BA0"/>
    <w:rsid w:val="00AB6D72"/>
    <w:rsid w:val="00AB753F"/>
    <w:rsid w:val="00AC1E8B"/>
    <w:rsid w:val="00AC371B"/>
    <w:rsid w:val="00AC3A1A"/>
    <w:rsid w:val="00AC6504"/>
    <w:rsid w:val="00AC684F"/>
    <w:rsid w:val="00AD0592"/>
    <w:rsid w:val="00AD1AA6"/>
    <w:rsid w:val="00AD208D"/>
    <w:rsid w:val="00AD48A6"/>
    <w:rsid w:val="00AD50F0"/>
    <w:rsid w:val="00AD7755"/>
    <w:rsid w:val="00AE040F"/>
    <w:rsid w:val="00AE0B0F"/>
    <w:rsid w:val="00AE373A"/>
    <w:rsid w:val="00AE4B6A"/>
    <w:rsid w:val="00AE5631"/>
    <w:rsid w:val="00AE763E"/>
    <w:rsid w:val="00AF1750"/>
    <w:rsid w:val="00AF1F2A"/>
    <w:rsid w:val="00AF30EF"/>
    <w:rsid w:val="00AF49E6"/>
    <w:rsid w:val="00AF4AE7"/>
    <w:rsid w:val="00AF4B6D"/>
    <w:rsid w:val="00AF5490"/>
    <w:rsid w:val="00AF77ED"/>
    <w:rsid w:val="00AF7A27"/>
    <w:rsid w:val="00B00E3C"/>
    <w:rsid w:val="00B02016"/>
    <w:rsid w:val="00B02382"/>
    <w:rsid w:val="00B0402C"/>
    <w:rsid w:val="00B1103E"/>
    <w:rsid w:val="00B1125F"/>
    <w:rsid w:val="00B11405"/>
    <w:rsid w:val="00B1209F"/>
    <w:rsid w:val="00B13352"/>
    <w:rsid w:val="00B13E6E"/>
    <w:rsid w:val="00B14460"/>
    <w:rsid w:val="00B14DE9"/>
    <w:rsid w:val="00B15F11"/>
    <w:rsid w:val="00B1665C"/>
    <w:rsid w:val="00B16E63"/>
    <w:rsid w:val="00B17C82"/>
    <w:rsid w:val="00B17E9D"/>
    <w:rsid w:val="00B2029B"/>
    <w:rsid w:val="00B275D6"/>
    <w:rsid w:val="00B330E6"/>
    <w:rsid w:val="00B3557D"/>
    <w:rsid w:val="00B374A8"/>
    <w:rsid w:val="00B378DD"/>
    <w:rsid w:val="00B4096B"/>
    <w:rsid w:val="00B43BD5"/>
    <w:rsid w:val="00B4633B"/>
    <w:rsid w:val="00B4706C"/>
    <w:rsid w:val="00B47C20"/>
    <w:rsid w:val="00B51F4A"/>
    <w:rsid w:val="00B55A16"/>
    <w:rsid w:val="00B60523"/>
    <w:rsid w:val="00B61752"/>
    <w:rsid w:val="00B63F24"/>
    <w:rsid w:val="00B770D5"/>
    <w:rsid w:val="00B777AF"/>
    <w:rsid w:val="00B77E9F"/>
    <w:rsid w:val="00B77EFF"/>
    <w:rsid w:val="00B77FB7"/>
    <w:rsid w:val="00B81789"/>
    <w:rsid w:val="00B82DB1"/>
    <w:rsid w:val="00B8352F"/>
    <w:rsid w:val="00B86DB9"/>
    <w:rsid w:val="00B873B9"/>
    <w:rsid w:val="00B92DF1"/>
    <w:rsid w:val="00BA32C5"/>
    <w:rsid w:val="00BA3478"/>
    <w:rsid w:val="00BA444E"/>
    <w:rsid w:val="00BB12A0"/>
    <w:rsid w:val="00BB1849"/>
    <w:rsid w:val="00BB3034"/>
    <w:rsid w:val="00BC3E0B"/>
    <w:rsid w:val="00BC5DD6"/>
    <w:rsid w:val="00BC7826"/>
    <w:rsid w:val="00BD1F57"/>
    <w:rsid w:val="00BD528C"/>
    <w:rsid w:val="00BD62B3"/>
    <w:rsid w:val="00BD6DA1"/>
    <w:rsid w:val="00BE1246"/>
    <w:rsid w:val="00BE1E9B"/>
    <w:rsid w:val="00BE2115"/>
    <w:rsid w:val="00BE637A"/>
    <w:rsid w:val="00BE6C3D"/>
    <w:rsid w:val="00BE79B1"/>
    <w:rsid w:val="00BF4150"/>
    <w:rsid w:val="00C01AA6"/>
    <w:rsid w:val="00C06257"/>
    <w:rsid w:val="00C06A1F"/>
    <w:rsid w:val="00C079B0"/>
    <w:rsid w:val="00C10FA4"/>
    <w:rsid w:val="00C1107E"/>
    <w:rsid w:val="00C118F2"/>
    <w:rsid w:val="00C12969"/>
    <w:rsid w:val="00C14250"/>
    <w:rsid w:val="00C173B0"/>
    <w:rsid w:val="00C2008B"/>
    <w:rsid w:val="00C20EB1"/>
    <w:rsid w:val="00C2117B"/>
    <w:rsid w:val="00C21FB0"/>
    <w:rsid w:val="00C2297C"/>
    <w:rsid w:val="00C254D7"/>
    <w:rsid w:val="00C25B8D"/>
    <w:rsid w:val="00C30387"/>
    <w:rsid w:val="00C33135"/>
    <w:rsid w:val="00C332C1"/>
    <w:rsid w:val="00C35C79"/>
    <w:rsid w:val="00C4029A"/>
    <w:rsid w:val="00C40741"/>
    <w:rsid w:val="00C40929"/>
    <w:rsid w:val="00C4629F"/>
    <w:rsid w:val="00C46A2C"/>
    <w:rsid w:val="00C50E77"/>
    <w:rsid w:val="00C51D65"/>
    <w:rsid w:val="00C51FF6"/>
    <w:rsid w:val="00C530EB"/>
    <w:rsid w:val="00C55428"/>
    <w:rsid w:val="00C56FDA"/>
    <w:rsid w:val="00C608B3"/>
    <w:rsid w:val="00C61DF1"/>
    <w:rsid w:val="00C61E3D"/>
    <w:rsid w:val="00C62F77"/>
    <w:rsid w:val="00C64BB4"/>
    <w:rsid w:val="00C66541"/>
    <w:rsid w:val="00C7293E"/>
    <w:rsid w:val="00C73CF5"/>
    <w:rsid w:val="00C73FEF"/>
    <w:rsid w:val="00C75909"/>
    <w:rsid w:val="00C75BD4"/>
    <w:rsid w:val="00C76A12"/>
    <w:rsid w:val="00C811C0"/>
    <w:rsid w:val="00C82C76"/>
    <w:rsid w:val="00C84A3A"/>
    <w:rsid w:val="00C869FC"/>
    <w:rsid w:val="00C86CD7"/>
    <w:rsid w:val="00C92687"/>
    <w:rsid w:val="00C92744"/>
    <w:rsid w:val="00C92B32"/>
    <w:rsid w:val="00C92DCA"/>
    <w:rsid w:val="00C935A6"/>
    <w:rsid w:val="00C943DF"/>
    <w:rsid w:val="00C94E88"/>
    <w:rsid w:val="00C96847"/>
    <w:rsid w:val="00C96EF9"/>
    <w:rsid w:val="00CA0F04"/>
    <w:rsid w:val="00CA1772"/>
    <w:rsid w:val="00CA492A"/>
    <w:rsid w:val="00CA5094"/>
    <w:rsid w:val="00CA53B9"/>
    <w:rsid w:val="00CA5C08"/>
    <w:rsid w:val="00CA659D"/>
    <w:rsid w:val="00CA7DE5"/>
    <w:rsid w:val="00CB1C60"/>
    <w:rsid w:val="00CB47D1"/>
    <w:rsid w:val="00CB59E8"/>
    <w:rsid w:val="00CB69F5"/>
    <w:rsid w:val="00CB724E"/>
    <w:rsid w:val="00CC1117"/>
    <w:rsid w:val="00CC1C3A"/>
    <w:rsid w:val="00CC4702"/>
    <w:rsid w:val="00CC5A21"/>
    <w:rsid w:val="00CD03E0"/>
    <w:rsid w:val="00CD09D0"/>
    <w:rsid w:val="00CD345B"/>
    <w:rsid w:val="00CD3FD9"/>
    <w:rsid w:val="00CD5D80"/>
    <w:rsid w:val="00CE0C01"/>
    <w:rsid w:val="00CE3095"/>
    <w:rsid w:val="00CE371D"/>
    <w:rsid w:val="00CE6D9D"/>
    <w:rsid w:val="00CF0AB6"/>
    <w:rsid w:val="00CF2624"/>
    <w:rsid w:val="00CF30B4"/>
    <w:rsid w:val="00CF46C3"/>
    <w:rsid w:val="00CF4C8A"/>
    <w:rsid w:val="00D0080F"/>
    <w:rsid w:val="00D00AE8"/>
    <w:rsid w:val="00D00FA3"/>
    <w:rsid w:val="00D05A8D"/>
    <w:rsid w:val="00D0668D"/>
    <w:rsid w:val="00D0743E"/>
    <w:rsid w:val="00D079E6"/>
    <w:rsid w:val="00D14651"/>
    <w:rsid w:val="00D20064"/>
    <w:rsid w:val="00D20E9D"/>
    <w:rsid w:val="00D211F5"/>
    <w:rsid w:val="00D26BCF"/>
    <w:rsid w:val="00D27845"/>
    <w:rsid w:val="00D3195B"/>
    <w:rsid w:val="00D31DE5"/>
    <w:rsid w:val="00D33C7A"/>
    <w:rsid w:val="00D34CD4"/>
    <w:rsid w:val="00D36448"/>
    <w:rsid w:val="00D3693E"/>
    <w:rsid w:val="00D373A9"/>
    <w:rsid w:val="00D43E4E"/>
    <w:rsid w:val="00D4461E"/>
    <w:rsid w:val="00D44BC8"/>
    <w:rsid w:val="00D44C21"/>
    <w:rsid w:val="00D44F60"/>
    <w:rsid w:val="00D513ED"/>
    <w:rsid w:val="00D53151"/>
    <w:rsid w:val="00D531C6"/>
    <w:rsid w:val="00D55574"/>
    <w:rsid w:val="00D55722"/>
    <w:rsid w:val="00D55BAE"/>
    <w:rsid w:val="00D56F30"/>
    <w:rsid w:val="00D574CA"/>
    <w:rsid w:val="00D60694"/>
    <w:rsid w:val="00D649BC"/>
    <w:rsid w:val="00D64F59"/>
    <w:rsid w:val="00D66E84"/>
    <w:rsid w:val="00D7150C"/>
    <w:rsid w:val="00D71BC4"/>
    <w:rsid w:val="00D71C80"/>
    <w:rsid w:val="00D72E02"/>
    <w:rsid w:val="00D73D1D"/>
    <w:rsid w:val="00D74252"/>
    <w:rsid w:val="00D75C98"/>
    <w:rsid w:val="00D76952"/>
    <w:rsid w:val="00D7742E"/>
    <w:rsid w:val="00D80124"/>
    <w:rsid w:val="00D85D35"/>
    <w:rsid w:val="00D865BA"/>
    <w:rsid w:val="00D86A8B"/>
    <w:rsid w:val="00D93BF9"/>
    <w:rsid w:val="00D9514E"/>
    <w:rsid w:val="00D95874"/>
    <w:rsid w:val="00D96AB7"/>
    <w:rsid w:val="00D9706F"/>
    <w:rsid w:val="00D97D2A"/>
    <w:rsid w:val="00DA348E"/>
    <w:rsid w:val="00DA3ABE"/>
    <w:rsid w:val="00DB06F1"/>
    <w:rsid w:val="00DB0AD7"/>
    <w:rsid w:val="00DB12F6"/>
    <w:rsid w:val="00DB15D9"/>
    <w:rsid w:val="00DB1600"/>
    <w:rsid w:val="00DB1BC7"/>
    <w:rsid w:val="00DB1DE9"/>
    <w:rsid w:val="00DB4D90"/>
    <w:rsid w:val="00DB7073"/>
    <w:rsid w:val="00DB71E4"/>
    <w:rsid w:val="00DC07BD"/>
    <w:rsid w:val="00DC269E"/>
    <w:rsid w:val="00DD025A"/>
    <w:rsid w:val="00DD187C"/>
    <w:rsid w:val="00DD2162"/>
    <w:rsid w:val="00DD3BE3"/>
    <w:rsid w:val="00DD58CD"/>
    <w:rsid w:val="00DD6A29"/>
    <w:rsid w:val="00DD6ADB"/>
    <w:rsid w:val="00DD7D7A"/>
    <w:rsid w:val="00DE18E2"/>
    <w:rsid w:val="00DE3F39"/>
    <w:rsid w:val="00DE68E9"/>
    <w:rsid w:val="00DF15A4"/>
    <w:rsid w:val="00DF2C5A"/>
    <w:rsid w:val="00DF3427"/>
    <w:rsid w:val="00DF65BA"/>
    <w:rsid w:val="00DF6742"/>
    <w:rsid w:val="00E000E9"/>
    <w:rsid w:val="00E04C9B"/>
    <w:rsid w:val="00E04F45"/>
    <w:rsid w:val="00E053B8"/>
    <w:rsid w:val="00E054D1"/>
    <w:rsid w:val="00E07F41"/>
    <w:rsid w:val="00E10034"/>
    <w:rsid w:val="00E1102B"/>
    <w:rsid w:val="00E16AEA"/>
    <w:rsid w:val="00E23021"/>
    <w:rsid w:val="00E26120"/>
    <w:rsid w:val="00E30240"/>
    <w:rsid w:val="00E31BF3"/>
    <w:rsid w:val="00E32CA1"/>
    <w:rsid w:val="00E36402"/>
    <w:rsid w:val="00E37D83"/>
    <w:rsid w:val="00E46835"/>
    <w:rsid w:val="00E47478"/>
    <w:rsid w:val="00E476F4"/>
    <w:rsid w:val="00E47A00"/>
    <w:rsid w:val="00E52754"/>
    <w:rsid w:val="00E52825"/>
    <w:rsid w:val="00E57634"/>
    <w:rsid w:val="00E6108D"/>
    <w:rsid w:val="00E62AB9"/>
    <w:rsid w:val="00E62AE5"/>
    <w:rsid w:val="00E62B46"/>
    <w:rsid w:val="00E6587B"/>
    <w:rsid w:val="00E66A79"/>
    <w:rsid w:val="00E67071"/>
    <w:rsid w:val="00E67CD9"/>
    <w:rsid w:val="00E70017"/>
    <w:rsid w:val="00E70A86"/>
    <w:rsid w:val="00E721A7"/>
    <w:rsid w:val="00E835BA"/>
    <w:rsid w:val="00E86D11"/>
    <w:rsid w:val="00E8771A"/>
    <w:rsid w:val="00E92B74"/>
    <w:rsid w:val="00E95814"/>
    <w:rsid w:val="00E97C17"/>
    <w:rsid w:val="00EA0DC6"/>
    <w:rsid w:val="00EA253D"/>
    <w:rsid w:val="00EA28DE"/>
    <w:rsid w:val="00EA3809"/>
    <w:rsid w:val="00EA39F0"/>
    <w:rsid w:val="00EB1637"/>
    <w:rsid w:val="00EC0DFD"/>
    <w:rsid w:val="00EC24C2"/>
    <w:rsid w:val="00EC68F1"/>
    <w:rsid w:val="00ED0A0D"/>
    <w:rsid w:val="00ED0DA6"/>
    <w:rsid w:val="00ED3917"/>
    <w:rsid w:val="00ED731A"/>
    <w:rsid w:val="00EE0B89"/>
    <w:rsid w:val="00EE19F9"/>
    <w:rsid w:val="00EE20C1"/>
    <w:rsid w:val="00EE219F"/>
    <w:rsid w:val="00EE316B"/>
    <w:rsid w:val="00EF14B1"/>
    <w:rsid w:val="00EF215C"/>
    <w:rsid w:val="00F02EDC"/>
    <w:rsid w:val="00F03DC0"/>
    <w:rsid w:val="00F05E6F"/>
    <w:rsid w:val="00F07E71"/>
    <w:rsid w:val="00F1077E"/>
    <w:rsid w:val="00F17361"/>
    <w:rsid w:val="00F17F5B"/>
    <w:rsid w:val="00F20F81"/>
    <w:rsid w:val="00F22A65"/>
    <w:rsid w:val="00F23C05"/>
    <w:rsid w:val="00F2705D"/>
    <w:rsid w:val="00F27C3C"/>
    <w:rsid w:val="00F32F2B"/>
    <w:rsid w:val="00F34EBA"/>
    <w:rsid w:val="00F37594"/>
    <w:rsid w:val="00F40E30"/>
    <w:rsid w:val="00F420DD"/>
    <w:rsid w:val="00F422E1"/>
    <w:rsid w:val="00F44E44"/>
    <w:rsid w:val="00F452C0"/>
    <w:rsid w:val="00F45AE1"/>
    <w:rsid w:val="00F47AE3"/>
    <w:rsid w:val="00F50DDC"/>
    <w:rsid w:val="00F52278"/>
    <w:rsid w:val="00F552DA"/>
    <w:rsid w:val="00F57713"/>
    <w:rsid w:val="00F57BBF"/>
    <w:rsid w:val="00F64323"/>
    <w:rsid w:val="00F66332"/>
    <w:rsid w:val="00F67BBD"/>
    <w:rsid w:val="00F71F8E"/>
    <w:rsid w:val="00F72498"/>
    <w:rsid w:val="00F74762"/>
    <w:rsid w:val="00F758BB"/>
    <w:rsid w:val="00F76941"/>
    <w:rsid w:val="00F804BE"/>
    <w:rsid w:val="00F83E8F"/>
    <w:rsid w:val="00F85F72"/>
    <w:rsid w:val="00F867A9"/>
    <w:rsid w:val="00F92135"/>
    <w:rsid w:val="00F92259"/>
    <w:rsid w:val="00F92F10"/>
    <w:rsid w:val="00F95133"/>
    <w:rsid w:val="00F96225"/>
    <w:rsid w:val="00FA0BBF"/>
    <w:rsid w:val="00FA0D1A"/>
    <w:rsid w:val="00FA28C7"/>
    <w:rsid w:val="00FA3F7D"/>
    <w:rsid w:val="00FA5219"/>
    <w:rsid w:val="00FA74B8"/>
    <w:rsid w:val="00FA7688"/>
    <w:rsid w:val="00FA771C"/>
    <w:rsid w:val="00FB0592"/>
    <w:rsid w:val="00FB139B"/>
    <w:rsid w:val="00FB1675"/>
    <w:rsid w:val="00FB48AF"/>
    <w:rsid w:val="00FB5418"/>
    <w:rsid w:val="00FC013A"/>
    <w:rsid w:val="00FC115B"/>
    <w:rsid w:val="00FC21E9"/>
    <w:rsid w:val="00FC2739"/>
    <w:rsid w:val="00FC3B3D"/>
    <w:rsid w:val="00FC4EA4"/>
    <w:rsid w:val="00FC5318"/>
    <w:rsid w:val="00FD32F6"/>
    <w:rsid w:val="00FD3801"/>
    <w:rsid w:val="00FD3812"/>
    <w:rsid w:val="00FD3844"/>
    <w:rsid w:val="00FD49ED"/>
    <w:rsid w:val="00FD6BB9"/>
    <w:rsid w:val="00FE290A"/>
    <w:rsid w:val="00FE45BC"/>
    <w:rsid w:val="00FE4FB7"/>
    <w:rsid w:val="00FE7A15"/>
    <w:rsid w:val="00FF0101"/>
    <w:rsid w:val="00FF15D9"/>
    <w:rsid w:val="00FF3E3D"/>
    <w:rsid w:val="00FF41A2"/>
    <w:rsid w:val="00FF66AA"/>
    <w:rsid w:val="00FF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F12E6"/>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CC1"/>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character" w:customStyle="1" w:styleId="nowrap">
    <w:name w:val="nowrap"/>
    <w:basedOn w:val="DefaultParagraphFont"/>
    <w:rsid w:val="00032976"/>
  </w:style>
  <w:style w:type="paragraph" w:styleId="Revision">
    <w:name w:val="Revision"/>
    <w:hidden/>
    <w:uiPriority w:val="99"/>
    <w:semiHidden/>
    <w:rsid w:val="00A2054F"/>
    <w:rPr>
      <w:sz w:val="24"/>
      <w:szCs w:val="24"/>
    </w:rPr>
  </w:style>
  <w:style w:type="character" w:styleId="UnresolvedMention">
    <w:name w:val="Unresolved Mention"/>
    <w:basedOn w:val="DefaultParagraphFont"/>
    <w:uiPriority w:val="99"/>
    <w:semiHidden/>
    <w:unhideWhenUsed/>
    <w:rsid w:val="00DB4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752">
      <w:marLeft w:val="0"/>
      <w:marRight w:val="0"/>
      <w:marTop w:val="0"/>
      <w:marBottom w:val="0"/>
      <w:divBdr>
        <w:top w:val="none" w:sz="0" w:space="0" w:color="auto"/>
        <w:left w:val="none" w:sz="0" w:space="0" w:color="auto"/>
        <w:bottom w:val="none" w:sz="0" w:space="0" w:color="auto"/>
        <w:right w:val="none" w:sz="0" w:space="0" w:color="auto"/>
      </w:divBdr>
    </w:div>
    <w:div w:id="299573456">
      <w:marLeft w:val="0"/>
      <w:marRight w:val="0"/>
      <w:marTop w:val="0"/>
      <w:marBottom w:val="0"/>
      <w:divBdr>
        <w:top w:val="none" w:sz="0" w:space="0" w:color="auto"/>
        <w:left w:val="none" w:sz="0" w:space="0" w:color="auto"/>
        <w:bottom w:val="none" w:sz="0" w:space="0" w:color="auto"/>
        <w:right w:val="none" w:sz="0" w:space="0" w:color="auto"/>
      </w:divBdr>
    </w:div>
    <w:div w:id="333844328">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416051245">
      <w:marLeft w:val="0"/>
      <w:marRight w:val="0"/>
      <w:marTop w:val="0"/>
      <w:marBottom w:val="0"/>
      <w:divBdr>
        <w:top w:val="none" w:sz="0" w:space="0" w:color="auto"/>
        <w:left w:val="none" w:sz="0" w:space="0" w:color="auto"/>
        <w:bottom w:val="none" w:sz="0" w:space="0" w:color="auto"/>
        <w:right w:val="none" w:sz="0" w:space="0" w:color="auto"/>
      </w:divBdr>
    </w:div>
    <w:div w:id="632297146">
      <w:marLeft w:val="0"/>
      <w:marRight w:val="0"/>
      <w:marTop w:val="0"/>
      <w:marBottom w:val="0"/>
      <w:divBdr>
        <w:top w:val="none" w:sz="0" w:space="0" w:color="auto"/>
        <w:left w:val="none" w:sz="0" w:space="0" w:color="auto"/>
        <w:bottom w:val="none" w:sz="0" w:space="0" w:color="auto"/>
        <w:right w:val="none" w:sz="0" w:space="0" w:color="auto"/>
      </w:divBdr>
    </w:div>
    <w:div w:id="683366043">
      <w:bodyDiv w:val="1"/>
      <w:marLeft w:val="0"/>
      <w:marRight w:val="0"/>
      <w:marTop w:val="0"/>
      <w:marBottom w:val="0"/>
      <w:divBdr>
        <w:top w:val="none" w:sz="0" w:space="0" w:color="auto"/>
        <w:left w:val="none" w:sz="0" w:space="0" w:color="auto"/>
        <w:bottom w:val="none" w:sz="0" w:space="0" w:color="auto"/>
        <w:right w:val="none" w:sz="0" w:space="0" w:color="auto"/>
      </w:divBdr>
    </w:div>
    <w:div w:id="832834566">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266885869">
      <w:bodyDiv w:val="1"/>
      <w:marLeft w:val="0"/>
      <w:marRight w:val="0"/>
      <w:marTop w:val="0"/>
      <w:marBottom w:val="0"/>
      <w:divBdr>
        <w:top w:val="none" w:sz="0" w:space="0" w:color="auto"/>
        <w:left w:val="none" w:sz="0" w:space="0" w:color="auto"/>
        <w:bottom w:val="none" w:sz="0" w:space="0" w:color="auto"/>
        <w:right w:val="none" w:sz="0" w:space="0" w:color="auto"/>
      </w:divBdr>
    </w:div>
    <w:div w:id="1365982101">
      <w:bodyDiv w:val="1"/>
      <w:marLeft w:val="0"/>
      <w:marRight w:val="0"/>
      <w:marTop w:val="0"/>
      <w:marBottom w:val="0"/>
      <w:divBdr>
        <w:top w:val="none" w:sz="0" w:space="0" w:color="auto"/>
        <w:left w:val="none" w:sz="0" w:space="0" w:color="auto"/>
        <w:bottom w:val="none" w:sz="0" w:space="0" w:color="auto"/>
        <w:right w:val="none" w:sz="0" w:space="0" w:color="auto"/>
      </w:divBdr>
    </w:div>
    <w:div w:id="1374035436">
      <w:bodyDiv w:val="1"/>
      <w:marLeft w:val="0"/>
      <w:marRight w:val="0"/>
      <w:marTop w:val="0"/>
      <w:marBottom w:val="0"/>
      <w:divBdr>
        <w:top w:val="none" w:sz="0" w:space="0" w:color="auto"/>
        <w:left w:val="none" w:sz="0" w:space="0" w:color="auto"/>
        <w:bottom w:val="none" w:sz="0" w:space="0" w:color="auto"/>
        <w:right w:val="none" w:sz="0" w:space="0" w:color="auto"/>
      </w:divBdr>
    </w:div>
    <w:div w:id="1660577875">
      <w:bodyDiv w:val="1"/>
      <w:marLeft w:val="0"/>
      <w:marRight w:val="0"/>
      <w:marTop w:val="0"/>
      <w:marBottom w:val="0"/>
      <w:divBdr>
        <w:top w:val="none" w:sz="0" w:space="0" w:color="auto"/>
        <w:left w:val="none" w:sz="0" w:space="0" w:color="auto"/>
        <w:bottom w:val="none" w:sz="0" w:space="0" w:color="auto"/>
        <w:right w:val="none" w:sz="0" w:space="0" w:color="auto"/>
      </w:divBdr>
    </w:div>
    <w:div w:id="1680692096">
      <w:marLeft w:val="0"/>
      <w:marRight w:val="0"/>
      <w:marTop w:val="0"/>
      <w:marBottom w:val="0"/>
      <w:divBdr>
        <w:top w:val="none" w:sz="0" w:space="0" w:color="auto"/>
        <w:left w:val="none" w:sz="0" w:space="0" w:color="auto"/>
        <w:bottom w:val="none" w:sz="0" w:space="0" w:color="auto"/>
        <w:right w:val="none" w:sz="0" w:space="0" w:color="auto"/>
      </w:divBdr>
    </w:div>
    <w:div w:id="1790587262">
      <w:bodyDiv w:val="1"/>
      <w:marLeft w:val="0"/>
      <w:marRight w:val="0"/>
      <w:marTop w:val="0"/>
      <w:marBottom w:val="0"/>
      <w:divBdr>
        <w:top w:val="none" w:sz="0" w:space="0" w:color="auto"/>
        <w:left w:val="none" w:sz="0" w:space="0" w:color="auto"/>
        <w:bottom w:val="none" w:sz="0" w:space="0" w:color="auto"/>
        <w:right w:val="none" w:sz="0" w:space="0" w:color="auto"/>
      </w:divBdr>
    </w:div>
    <w:div w:id="1908226566">
      <w:bodyDiv w:val="1"/>
      <w:marLeft w:val="0"/>
      <w:marRight w:val="0"/>
      <w:marTop w:val="0"/>
      <w:marBottom w:val="0"/>
      <w:divBdr>
        <w:top w:val="none" w:sz="0" w:space="0" w:color="auto"/>
        <w:left w:val="none" w:sz="0" w:space="0" w:color="auto"/>
        <w:bottom w:val="none" w:sz="0" w:space="0" w:color="auto"/>
        <w:right w:val="none" w:sz="0" w:space="0" w:color="auto"/>
      </w:divBdr>
    </w:div>
    <w:div w:id="2032025465">
      <w:bodyDiv w:val="1"/>
      <w:marLeft w:val="0"/>
      <w:marRight w:val="0"/>
      <w:marTop w:val="0"/>
      <w:marBottom w:val="0"/>
      <w:divBdr>
        <w:top w:val="none" w:sz="0" w:space="0" w:color="auto"/>
        <w:left w:val="none" w:sz="0" w:space="0" w:color="auto"/>
        <w:bottom w:val="none" w:sz="0" w:space="0" w:color="auto"/>
        <w:right w:val="none" w:sz="0" w:space="0" w:color="auto"/>
      </w:divBdr>
    </w:div>
    <w:div w:id="2037538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ptodate.com" TargetMode="External"/><Relationship Id="rId3" Type="http://schemas.openxmlformats.org/officeDocument/2006/relationships/customXml" Target="../customXml/item3.xml"/><Relationship Id="rId21" Type="http://schemas.openxmlformats.org/officeDocument/2006/relationships/hyperlink" Target="https://publications.aap.org/aapbooks/book/522/Guidelines-for-Perinatal-Car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editools.org/bili2022/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uptoda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cms.gov" TargetMode="External"/><Relationship Id="rId10" Type="http://schemas.openxmlformats.org/officeDocument/2006/relationships/endnotes" Target="endnotes.xml"/><Relationship Id="rId19" Type="http://schemas.openxmlformats.org/officeDocument/2006/relationships/hyperlink" Target="https://www.nice.org.uk/guidance/cg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ptodat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511B37FD61C94B9A55E3366CBB3E7E" ma:contentTypeVersion="18" ma:contentTypeDescription="Create a new document." ma:contentTypeScope="" ma:versionID="d58a2a3801da7122fbed5e143ff627bc">
  <xsd:schema xmlns:xsd="http://www.w3.org/2001/XMLSchema" xmlns:xs="http://www.w3.org/2001/XMLSchema" xmlns:p="http://schemas.microsoft.com/office/2006/metadata/properties" xmlns:ns1="http://schemas.microsoft.com/sharepoint/v3" xmlns:ns3="cf88a7e0-9ff6-4826-8dcd-8334594c9475" xmlns:ns4="ac45276e-5455-40de-8b07-208a592b5574" targetNamespace="http://schemas.microsoft.com/office/2006/metadata/properties" ma:root="true" ma:fieldsID="b4fdd2436e3727b9220bc7676bfb03eb" ns1:_="" ns3:_="" ns4:_="">
    <xsd:import namespace="http://schemas.microsoft.com/sharepoint/v3"/>
    <xsd:import namespace="cf88a7e0-9ff6-4826-8dcd-8334594c9475"/>
    <xsd:import namespace="ac45276e-5455-40de-8b07-208a592b55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8a7e0-9ff6-4826-8dcd-8334594c9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5276e-5455-40de-8b07-208a592b55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f88a7e0-9ff6-4826-8dcd-8334594c947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FB17233-E5D4-4A57-A488-96A14871D58D}">
  <ds:schemaRefs>
    <ds:schemaRef ds:uri="http://schemas.microsoft.com/sharepoint/v3/contenttype/forms"/>
  </ds:schemaRefs>
</ds:datastoreItem>
</file>

<file path=customXml/itemProps2.xml><?xml version="1.0" encoding="utf-8"?>
<ds:datastoreItem xmlns:ds="http://schemas.openxmlformats.org/officeDocument/2006/customXml" ds:itemID="{7F1CA2B4-7314-48C6-931D-F9B61138B93C}">
  <ds:schemaRefs>
    <ds:schemaRef ds:uri="http://schemas.openxmlformats.org/officeDocument/2006/bibliography"/>
  </ds:schemaRefs>
</ds:datastoreItem>
</file>

<file path=customXml/itemProps3.xml><?xml version="1.0" encoding="utf-8"?>
<ds:datastoreItem xmlns:ds="http://schemas.openxmlformats.org/officeDocument/2006/customXml" ds:itemID="{91386186-95C2-44FF-B9B6-29CD03831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8a7e0-9ff6-4826-8dcd-8334594c9475"/>
    <ds:schemaRef ds:uri="ac45276e-5455-40de-8b07-208a592b5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0B620-4E4D-44A6-978D-A6407E75A87D}">
  <ds:schemaRef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cf88a7e0-9ff6-4826-8dcd-8334594c9475"/>
    <ds:schemaRef ds:uri="http://schemas.microsoft.com/sharepoint/v3"/>
    <ds:schemaRef ds:uri="http://schemas.microsoft.com/office/infopath/2007/PartnerControls"/>
    <ds:schemaRef ds:uri="ac45276e-5455-40de-8b07-208a592b557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3315</Words>
  <Characters>20564</Characters>
  <Application>Microsoft Office Word</Application>
  <DocSecurity>2</DocSecurity>
  <Lines>171</Lines>
  <Paragraphs>47</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2</cp:revision>
  <cp:lastPrinted>2022-09-29T15:06:00Z</cp:lastPrinted>
  <dcterms:created xsi:type="dcterms:W3CDTF">2025-07-09T16:10:00Z</dcterms:created>
  <dcterms:modified xsi:type="dcterms:W3CDTF">2025-07-09T16:10:00Z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2022-09-01T11:49:15Z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f5b1d340-fb87-467c-b13d-d994b3b955b6</vt:lpwstr>
  </property>
  <property fmtid="{D5CDD505-2E9C-101B-9397-08002B2CF9AE}" pid="8" name="MSIP_Label_5a776955-85f6-4fec-9553-96dd3e0373c4_ContentBits">
    <vt:lpwstr>0</vt:lpwstr>
  </property>
  <property fmtid="{D5CDD505-2E9C-101B-9397-08002B2CF9AE}" pid="9" name="ContentTypeId">
    <vt:lpwstr>0x01010050511B37FD61C94B9A55E3366CBB3E7E</vt:lpwstr>
  </property>
</Properties>
</file>