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D22A0" w14:textId="0BD2B8E4" w:rsidR="00171801" w:rsidRPr="00164566" w:rsidRDefault="00171801" w:rsidP="00D574CA">
      <w:pPr>
        <w:pStyle w:val="PolicyMainHead"/>
        <w:tabs>
          <w:tab w:val="left" w:pos="360"/>
        </w:tabs>
        <w:spacing w:after="0" w:line="240" w:lineRule="auto"/>
        <w:rPr>
          <w:color w:val="00548C"/>
          <w:sz w:val="36"/>
          <w:szCs w:val="36"/>
        </w:rPr>
        <w:sectPr w:rsidR="00171801" w:rsidRPr="00164566"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r w:rsidRPr="00164566">
        <w:rPr>
          <w:rFonts w:ascii="Times New Roman" w:hAnsi="Times New Roman"/>
          <w:color w:val="00548C"/>
          <w:sz w:val="36"/>
          <w:szCs w:val="36"/>
        </w:rPr>
        <w:t>Clinical Policy:</w:t>
      </w:r>
      <w:r w:rsidR="00795E26" w:rsidRPr="00164566">
        <w:rPr>
          <w:rFonts w:ascii="Times New Roman" w:hAnsi="Times New Roman"/>
          <w:color w:val="00548C"/>
          <w:sz w:val="36"/>
          <w:szCs w:val="36"/>
        </w:rPr>
        <w:t xml:space="preserve"> Mechanical Stretch</w:t>
      </w:r>
      <w:r w:rsidR="006F3428" w:rsidRPr="00164566">
        <w:rPr>
          <w:rFonts w:ascii="Times New Roman" w:hAnsi="Times New Roman"/>
          <w:color w:val="00548C"/>
          <w:sz w:val="36"/>
          <w:szCs w:val="36"/>
        </w:rPr>
        <w:t xml:space="preserve">ing </w:t>
      </w:r>
      <w:r w:rsidR="00795E26" w:rsidRPr="00164566">
        <w:rPr>
          <w:rFonts w:ascii="Times New Roman" w:hAnsi="Times New Roman"/>
          <w:color w:val="00548C"/>
          <w:sz w:val="36"/>
          <w:szCs w:val="36"/>
        </w:rPr>
        <w:t>Devices for Joint Stiffness and Contracture</w:t>
      </w:r>
    </w:p>
    <w:p w14:paraId="19F6177D" w14:textId="77777777" w:rsidR="00171801" w:rsidRPr="003D7BE7" w:rsidRDefault="00171801" w:rsidP="00480C09">
      <w:pPr>
        <w:pStyle w:val="PolicyMainHead"/>
        <w:spacing w:after="0" w:line="240" w:lineRule="auto"/>
        <w:ind w:left="360"/>
        <w:rPr>
          <w:rFonts w:ascii="Times New Roman" w:hAnsi="Times New Roman"/>
          <w:color w:val="00548C"/>
          <w:sz w:val="24"/>
          <w:szCs w:val="24"/>
        </w:rPr>
        <w:sectPr w:rsidR="00171801" w:rsidRPr="003D7BE7" w:rsidSect="00480C09">
          <w:type w:val="continuous"/>
          <w:pgSz w:w="12240" w:h="15840" w:code="1"/>
          <w:pgMar w:top="1440" w:right="1080" w:bottom="1440" w:left="1080" w:header="576" w:footer="288" w:gutter="0"/>
          <w:cols w:num="2" w:space="720"/>
          <w:titlePg/>
          <w:docGrid w:linePitch="360"/>
        </w:sectPr>
      </w:pPr>
      <w:r w:rsidRPr="003D7BE7">
        <w:rPr>
          <w:rFonts w:ascii="Times New Roman" w:hAnsi="Times New Roman"/>
          <w:color w:val="00548C"/>
          <w:sz w:val="24"/>
          <w:szCs w:val="24"/>
        </w:rPr>
        <w:t>Reference Number: CP.</w:t>
      </w:r>
      <w:r>
        <w:rPr>
          <w:rFonts w:ascii="Times New Roman" w:hAnsi="Times New Roman"/>
          <w:color w:val="00548C"/>
          <w:sz w:val="24"/>
          <w:szCs w:val="24"/>
        </w:rPr>
        <w:t>MP.</w:t>
      </w:r>
      <w:r w:rsidR="00B57962">
        <w:rPr>
          <w:rFonts w:ascii="Times New Roman" w:hAnsi="Times New Roman"/>
          <w:color w:val="00548C"/>
          <w:sz w:val="24"/>
          <w:szCs w:val="24"/>
        </w:rPr>
        <w:t>144</w:t>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r w:rsidRPr="003D7BE7">
        <w:rPr>
          <w:rFonts w:ascii="Times New Roman" w:hAnsi="Times New Roman"/>
          <w:color w:val="00548C"/>
          <w:sz w:val="24"/>
          <w:szCs w:val="24"/>
        </w:rPr>
        <w:tab/>
      </w:r>
      <w:hyperlink w:anchor="Coding_Implications" w:history="1">
        <w:r w:rsidR="00CA4E49" w:rsidRPr="00875924">
          <w:rPr>
            <w:rStyle w:val="Hyperlink"/>
            <w:rFonts w:ascii="Times New Roman" w:hAnsi="Times New Roman"/>
            <w:sz w:val="24"/>
            <w:szCs w:val="24"/>
          </w:rPr>
          <w:t>Coding Implications</w:t>
        </w:r>
      </w:hyperlink>
      <w:r w:rsidRPr="003D7BE7">
        <w:rPr>
          <w:rFonts w:ascii="Times New Roman" w:hAnsi="Times New Roman"/>
          <w:color w:val="00548C"/>
          <w:sz w:val="24"/>
          <w:szCs w:val="24"/>
        </w:rPr>
        <w:tab/>
      </w:r>
    </w:p>
    <w:p w14:paraId="10EFD534" w14:textId="7BC2EC0B" w:rsidR="00171801" w:rsidRDefault="00E753A0" w:rsidP="00D574CA">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 xml:space="preserve">Date of </w:t>
      </w:r>
      <w:r w:rsidR="00171801" w:rsidRPr="003D7BE7">
        <w:rPr>
          <w:rFonts w:ascii="Times New Roman" w:hAnsi="Times New Roman"/>
          <w:color w:val="00548C"/>
          <w:sz w:val="24"/>
          <w:szCs w:val="24"/>
        </w:rPr>
        <w:t>Last Revi</w:t>
      </w:r>
      <w:r>
        <w:rPr>
          <w:rFonts w:ascii="Times New Roman" w:hAnsi="Times New Roman"/>
          <w:color w:val="00548C"/>
          <w:sz w:val="24"/>
          <w:szCs w:val="24"/>
        </w:rPr>
        <w:t>sion</w:t>
      </w:r>
      <w:r w:rsidR="00171801" w:rsidRPr="003D7BE7">
        <w:rPr>
          <w:rFonts w:ascii="Times New Roman" w:hAnsi="Times New Roman"/>
          <w:color w:val="00548C"/>
          <w:sz w:val="24"/>
          <w:szCs w:val="24"/>
        </w:rPr>
        <w:t xml:space="preserve">: </w:t>
      </w:r>
      <w:r w:rsidR="00A47406">
        <w:rPr>
          <w:rFonts w:ascii="Times New Roman" w:hAnsi="Times New Roman"/>
          <w:color w:val="00548C"/>
          <w:sz w:val="24"/>
          <w:szCs w:val="24"/>
        </w:rPr>
        <w:t>03/25</w:t>
      </w:r>
    </w:p>
    <w:p w14:paraId="5BD2E79B" w14:textId="77777777" w:rsidR="00171801" w:rsidRDefault="00171801" w:rsidP="00875924">
      <w:pPr>
        <w:pStyle w:val="PolicyMainHead"/>
        <w:tabs>
          <w:tab w:val="left" w:pos="360"/>
        </w:tabs>
        <w:spacing w:after="0" w:line="240" w:lineRule="auto"/>
        <w:jc w:val="right"/>
        <w:rPr>
          <w:rStyle w:val="Strong"/>
          <w:rFonts w:ascii="Times New Roman" w:hAnsi="Times New Roman"/>
          <w:b w:val="0"/>
          <w:u w:val="single"/>
        </w:rPr>
        <w:sectPr w:rsidR="00171801" w:rsidSect="000E4942">
          <w:type w:val="continuous"/>
          <w:pgSz w:w="12240" w:h="15840" w:code="1"/>
          <w:pgMar w:top="1440" w:right="1620" w:bottom="1440" w:left="1440" w:header="576" w:footer="288" w:gutter="0"/>
          <w:cols w:num="2" w:space="720"/>
          <w:titlePg/>
          <w:docGrid w:linePitch="360"/>
        </w:sectPr>
      </w:pPr>
      <w:hyperlink w:anchor="Revision_Log" w:history="1">
        <w:r w:rsidRPr="003D7BE7">
          <w:rPr>
            <w:rStyle w:val="Hyperlink"/>
            <w:rFonts w:ascii="Times New Roman" w:hAnsi="Times New Roman"/>
            <w:sz w:val="24"/>
            <w:szCs w:val="24"/>
          </w:rPr>
          <w:t>Revision Log</w:t>
        </w:r>
      </w:hyperlink>
      <w:r>
        <w:rPr>
          <w:rFonts w:ascii="Times New Roman" w:hAnsi="Times New Roman"/>
          <w:color w:val="00548C"/>
          <w:sz w:val="24"/>
          <w:szCs w:val="24"/>
        </w:rPr>
        <w:t xml:space="preserve"> </w:t>
      </w:r>
    </w:p>
    <w:p w14:paraId="450C1C98" w14:textId="77777777" w:rsidR="00171801" w:rsidRDefault="00171801" w:rsidP="00032D3F">
      <w:pPr>
        <w:pStyle w:val="NormalWeb"/>
        <w:tabs>
          <w:tab w:val="left" w:pos="975"/>
        </w:tabs>
        <w:spacing w:before="0" w:beforeAutospacing="0" w:after="0" w:afterAutospacing="0"/>
        <w:rPr>
          <w:rFonts w:ascii="Times New Roman" w:hAnsi="Times New Roman" w:cs="Times New Roman"/>
        </w:rPr>
      </w:pPr>
      <w:r>
        <w:rPr>
          <w:rFonts w:ascii="Times New Roman" w:hAnsi="Times New Roman" w:cs="Times New Roman"/>
        </w:rPr>
        <w:tab/>
      </w:r>
    </w:p>
    <w:p w14:paraId="7CB1D3A6" w14:textId="77777777" w:rsidR="00171801" w:rsidRPr="005D7B81" w:rsidRDefault="00171801" w:rsidP="00D574CA">
      <w:pPr>
        <w:pStyle w:val="NormalWeb"/>
        <w:spacing w:before="0" w:beforeAutospacing="0" w:after="0" w:afterAutospacing="0"/>
        <w:rPr>
          <w:rStyle w:val="Strong"/>
          <w:rFonts w:ascii="Times New Roman" w:hAnsi="Times New Roman"/>
          <w:b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hAnsi="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4D117EBD" w14:textId="77777777" w:rsidR="00171801" w:rsidRDefault="00171801" w:rsidP="00875924">
      <w:pPr>
        <w:pStyle w:val="NormalWeb"/>
        <w:spacing w:before="0" w:beforeAutospacing="0" w:after="0" w:afterAutospacing="0"/>
        <w:jc w:val="center"/>
        <w:rPr>
          <w:rStyle w:val="Strong"/>
          <w:rFonts w:ascii="Times New Roman" w:hAnsi="Times New Roman"/>
          <w:b w:val="0"/>
          <w:u w:val="single"/>
        </w:rPr>
      </w:pPr>
    </w:p>
    <w:p w14:paraId="3338072E" w14:textId="77777777" w:rsidR="00171801" w:rsidRPr="00B777AF" w:rsidRDefault="00171801">
      <w:pPr>
        <w:pStyle w:val="Heading2"/>
        <w:rPr>
          <w:u w:val="none"/>
        </w:rPr>
      </w:pPr>
      <w:r w:rsidRPr="00B777AF">
        <w:rPr>
          <w:u w:val="none"/>
        </w:rPr>
        <w:t xml:space="preserve">Description </w:t>
      </w:r>
    </w:p>
    <w:p w14:paraId="0778467B" w14:textId="77777777" w:rsidR="00171801" w:rsidRDefault="00234F93" w:rsidP="00982F18">
      <w:r>
        <w:t xml:space="preserve">Mechanical stretching devices are used for the prevention and treatment of joint contractures of the extremities, with the goal to maintain or restore range of motion </w:t>
      </w:r>
      <w:r w:rsidR="00982F18">
        <w:t xml:space="preserve">(ROM) </w:t>
      </w:r>
      <w:r>
        <w:t>to the joint</w:t>
      </w:r>
      <w:r w:rsidR="00D524C8">
        <w:t>.</w:t>
      </w:r>
      <w:r w:rsidR="00982F18">
        <w:t xml:space="preserve"> A variety of mechanical stretching devices are available for extension or flexion of the shoulder, elbow, wrist, </w:t>
      </w:r>
      <w:r w:rsidR="00D524C8">
        <w:t>fingers, knee, ankle, and toes.</w:t>
      </w:r>
      <w:r w:rsidR="00982F18">
        <w:t xml:space="preserve"> These devices are generally used as adjunct treatment to physical therapy</w:t>
      </w:r>
      <w:r w:rsidR="00173229">
        <w:t xml:space="preserve"> </w:t>
      </w:r>
      <w:r w:rsidR="00982F18">
        <w:t>and/or exercise.</w:t>
      </w:r>
    </w:p>
    <w:p w14:paraId="2C349D33" w14:textId="77777777" w:rsidR="00171801" w:rsidRPr="00B777AF" w:rsidRDefault="00171801" w:rsidP="00196935"/>
    <w:p w14:paraId="797F700F" w14:textId="77777777" w:rsidR="00171801" w:rsidRPr="00B777AF" w:rsidRDefault="00171801">
      <w:pPr>
        <w:pStyle w:val="Heading2"/>
        <w:rPr>
          <w:u w:val="none"/>
        </w:rPr>
      </w:pPr>
      <w:r w:rsidRPr="00B777AF">
        <w:rPr>
          <w:u w:val="none"/>
        </w:rPr>
        <w:t>Policy/Criteria</w:t>
      </w:r>
    </w:p>
    <w:p w14:paraId="28FAFB0B" w14:textId="79A851BB" w:rsidR="00171801" w:rsidRDefault="00171801" w:rsidP="00991BA7">
      <w:pPr>
        <w:numPr>
          <w:ilvl w:val="0"/>
          <w:numId w:val="11"/>
        </w:numPr>
        <w:shd w:val="clear" w:color="auto" w:fill="FFFFFF" w:themeFill="background1"/>
        <w:ind w:left="360"/>
      </w:pPr>
      <w:r w:rsidRPr="007954D3">
        <w:rPr>
          <w:bCs/>
          <w:color w:val="000000"/>
        </w:rPr>
        <w:t>It is the policy of health plans affiliated with Centene Corporation</w:t>
      </w:r>
      <w:r w:rsidRPr="007954D3">
        <w:rPr>
          <w:bCs/>
          <w:color w:val="000000"/>
          <w:vertAlign w:val="superscript"/>
        </w:rPr>
        <w:t>®</w:t>
      </w:r>
      <w:r w:rsidRPr="007954D3">
        <w:rPr>
          <w:bCs/>
          <w:color w:val="000000"/>
        </w:rPr>
        <w:t xml:space="preserve"> </w:t>
      </w:r>
      <w:r>
        <w:t xml:space="preserve">that </w:t>
      </w:r>
      <w:r w:rsidR="00FA736F">
        <w:t xml:space="preserve">the </w:t>
      </w:r>
      <w:r w:rsidR="007954D3" w:rsidRPr="007954D3">
        <w:t>low-load prolonged-duration stretch</w:t>
      </w:r>
      <w:r w:rsidR="007954D3">
        <w:t xml:space="preserve"> (LLPS) device/dynamic stretch device </w:t>
      </w:r>
      <w:r>
        <w:t xml:space="preserve">is </w:t>
      </w:r>
      <w:r w:rsidRPr="007954D3">
        <w:rPr>
          <w:b/>
        </w:rPr>
        <w:t>medically necessary</w:t>
      </w:r>
      <w:r>
        <w:t xml:space="preserve"> </w:t>
      </w:r>
      <w:r w:rsidR="007954D3">
        <w:t>fo</w:t>
      </w:r>
      <w:r w:rsidR="00C930FA">
        <w:t xml:space="preserve">r </w:t>
      </w:r>
      <w:r w:rsidR="00AA44D7">
        <w:t xml:space="preserve">the </w:t>
      </w:r>
      <w:r w:rsidR="0037130B">
        <w:t>knee, elbow, wrist</w:t>
      </w:r>
      <w:r w:rsidR="007148F7">
        <w:t>, ankle,</w:t>
      </w:r>
      <w:r w:rsidR="0037130B">
        <w:t xml:space="preserve"> or </w:t>
      </w:r>
      <w:r w:rsidR="00AA44D7">
        <w:t>finger</w:t>
      </w:r>
      <w:r w:rsidR="00E167FC">
        <w:t xml:space="preserve"> </w:t>
      </w:r>
      <w:r w:rsidR="001466AF">
        <w:t xml:space="preserve">when meeting </w:t>
      </w:r>
      <w:r w:rsidR="001A447F">
        <w:t>both</w:t>
      </w:r>
      <w:r w:rsidR="001466AF">
        <w:t xml:space="preserve"> of the following</w:t>
      </w:r>
      <w:r w:rsidR="00E167FC">
        <w:t>:</w:t>
      </w:r>
      <w:r w:rsidR="00E93786" w:rsidRPr="00E93786">
        <w:t xml:space="preserve"> </w:t>
      </w:r>
    </w:p>
    <w:p w14:paraId="43E5ED5D" w14:textId="359C50A6" w:rsidR="001466AF" w:rsidRDefault="00D20E7B" w:rsidP="003F087D">
      <w:pPr>
        <w:pStyle w:val="ListParagraph"/>
        <w:numPr>
          <w:ilvl w:val="1"/>
          <w:numId w:val="11"/>
        </w:numPr>
        <w:ind w:left="720"/>
      </w:pPr>
      <w:r>
        <w:t>Requested for</w:t>
      </w:r>
      <w:r w:rsidR="001466AF">
        <w:t xml:space="preserve"> one of the following indications:</w:t>
      </w:r>
    </w:p>
    <w:p w14:paraId="0ED5DA36" w14:textId="0935FE93" w:rsidR="0037130B" w:rsidRPr="003F087D" w:rsidRDefault="0037130B" w:rsidP="00D20E7B">
      <w:pPr>
        <w:pStyle w:val="ListParagraph"/>
        <w:numPr>
          <w:ilvl w:val="1"/>
          <w:numId w:val="28"/>
        </w:numPr>
        <w:ind w:left="1080"/>
      </w:pPr>
      <w:r w:rsidRPr="003F087D">
        <w:t>In the subacute injury or post-operative period (</w:t>
      </w:r>
      <w:r w:rsidR="00E167FC">
        <w:t>≥</w:t>
      </w:r>
      <w:r w:rsidR="006C2A13">
        <w:t xml:space="preserve"> three</w:t>
      </w:r>
      <w:r w:rsidRPr="003F087D">
        <w:t xml:space="preserve"> weeks </w:t>
      </w:r>
      <w:r w:rsidR="00E167FC">
        <w:t>and ≤</w:t>
      </w:r>
      <w:r w:rsidRPr="003F087D">
        <w:t xml:space="preserve"> </w:t>
      </w:r>
      <w:r w:rsidR="006C2A13">
        <w:t>four</w:t>
      </w:r>
      <w:r w:rsidRPr="003F087D">
        <w:t xml:space="preserve"> months after injury or operation) in </w:t>
      </w:r>
      <w:r w:rsidR="0029517A">
        <w:t>members/enrollee</w:t>
      </w:r>
      <w:r w:rsidRPr="003F087D">
        <w:t xml:space="preserve">s with signs and symptoms of persistent </w:t>
      </w:r>
      <w:r w:rsidR="00E167FC" w:rsidRPr="003F087D">
        <w:t>joint stiffness or contracture</w:t>
      </w:r>
      <w:r w:rsidR="00D20E7B">
        <w:t xml:space="preserve"> </w:t>
      </w:r>
      <w:r w:rsidR="00E167FC">
        <w:t xml:space="preserve">and </w:t>
      </w:r>
      <w:proofErr w:type="gramStart"/>
      <w:r w:rsidR="00D20E7B">
        <w:t>all</w:t>
      </w:r>
      <w:r w:rsidR="00E167FC">
        <w:t xml:space="preserve"> of</w:t>
      </w:r>
      <w:proofErr w:type="gramEnd"/>
      <w:r w:rsidR="00E167FC">
        <w:t xml:space="preserve"> the following</w:t>
      </w:r>
      <w:r w:rsidRPr="003F087D">
        <w:t>:</w:t>
      </w:r>
    </w:p>
    <w:p w14:paraId="3D211260" w14:textId="61333623" w:rsidR="0037130B" w:rsidRPr="003F087D" w:rsidRDefault="00E167FC" w:rsidP="00012CB4">
      <w:pPr>
        <w:numPr>
          <w:ilvl w:val="0"/>
          <w:numId w:val="29"/>
        </w:numPr>
        <w:ind w:left="1440"/>
      </w:pPr>
      <w:r w:rsidRPr="003F087D">
        <w:t>L</w:t>
      </w:r>
      <w:r w:rsidR="0037130B" w:rsidRPr="003F087D">
        <w:t>imited range of motion poses a meaningful functional limitation as judged by the physician;</w:t>
      </w:r>
    </w:p>
    <w:p w14:paraId="38CAAEAA" w14:textId="64075A56" w:rsidR="0037130B" w:rsidRDefault="00E167FC" w:rsidP="00012CB4">
      <w:pPr>
        <w:numPr>
          <w:ilvl w:val="0"/>
          <w:numId w:val="29"/>
        </w:numPr>
        <w:ind w:left="1440"/>
      </w:pPr>
      <w:r>
        <w:t>H</w:t>
      </w:r>
      <w:r w:rsidR="0037130B" w:rsidRPr="003F087D">
        <w:t>as not responded to other therapy (including physical therapy)</w:t>
      </w:r>
      <w:r>
        <w:t>;</w:t>
      </w:r>
    </w:p>
    <w:p w14:paraId="09218D95" w14:textId="77AFB81D" w:rsidR="00D20E7B" w:rsidRPr="003F087D" w:rsidRDefault="00D20E7B" w:rsidP="00012CB4">
      <w:pPr>
        <w:numPr>
          <w:ilvl w:val="0"/>
          <w:numId w:val="29"/>
        </w:numPr>
        <w:ind w:left="1440"/>
      </w:pPr>
      <w:r>
        <w:t>Provided with or without adjunctive physical therapy;</w:t>
      </w:r>
    </w:p>
    <w:p w14:paraId="050C5107" w14:textId="5374F8D6" w:rsidR="001A447F" w:rsidRDefault="00E167FC" w:rsidP="00012CB4">
      <w:pPr>
        <w:pStyle w:val="ListParagraph"/>
        <w:numPr>
          <w:ilvl w:val="1"/>
          <w:numId w:val="28"/>
        </w:numPr>
        <w:ind w:left="1080"/>
      </w:pPr>
      <w:r w:rsidRPr="003F087D">
        <w:t>I</w:t>
      </w:r>
      <w:r w:rsidR="0037130B" w:rsidRPr="003F087D">
        <w:t xml:space="preserve">n the acute post-operative period for </w:t>
      </w:r>
      <w:r w:rsidR="0029517A">
        <w:t>members/enrollee</w:t>
      </w:r>
      <w:r w:rsidR="0037130B" w:rsidRPr="003F087D">
        <w:t>s who have undergone additional surgery to improve the range of motion of the previously affected joint</w:t>
      </w:r>
      <w:r w:rsidR="001A447F">
        <w:t>;</w:t>
      </w:r>
    </w:p>
    <w:p w14:paraId="6AB42E13" w14:textId="3A8CEA24" w:rsidR="001A447F" w:rsidRDefault="001A447F" w:rsidP="00012CB4">
      <w:pPr>
        <w:pStyle w:val="ListParagraph"/>
        <w:numPr>
          <w:ilvl w:val="1"/>
          <w:numId w:val="11"/>
        </w:numPr>
        <w:tabs>
          <w:tab w:val="left" w:pos="1080"/>
        </w:tabs>
        <w:ind w:left="720"/>
      </w:pPr>
      <w:r>
        <w:t>Request is for</w:t>
      </w:r>
      <w:r w:rsidR="004D1DC7">
        <w:t xml:space="preserve"> a rental for</w:t>
      </w:r>
      <w:r>
        <w:t xml:space="preserve"> one of the following:</w:t>
      </w:r>
      <w:r w:rsidR="00DE3502">
        <w:t xml:space="preserve"> </w:t>
      </w:r>
    </w:p>
    <w:p w14:paraId="4E180741" w14:textId="77777777" w:rsidR="001A447F" w:rsidRDefault="001A447F" w:rsidP="00012CB4">
      <w:pPr>
        <w:pStyle w:val="ListParagraph"/>
        <w:numPr>
          <w:ilvl w:val="0"/>
          <w:numId w:val="32"/>
        </w:numPr>
        <w:ind w:left="1080"/>
      </w:pPr>
      <w:r>
        <w:t>An initial four weeks;</w:t>
      </w:r>
    </w:p>
    <w:p w14:paraId="1E861DA8" w14:textId="47001CE8" w:rsidR="0037130B" w:rsidRDefault="001A447F" w:rsidP="00012CB4">
      <w:pPr>
        <w:pStyle w:val="ListParagraph"/>
        <w:numPr>
          <w:ilvl w:val="0"/>
          <w:numId w:val="32"/>
        </w:numPr>
        <w:ind w:left="1080"/>
      </w:pPr>
      <w:r>
        <w:t xml:space="preserve">A subsequent </w:t>
      </w:r>
      <w:proofErr w:type="gramStart"/>
      <w:r>
        <w:t>four week</w:t>
      </w:r>
      <w:proofErr w:type="gramEnd"/>
      <w:r>
        <w:t xml:space="preserve"> period, and improvement was noted upon reevaluation after the prior four week period.</w:t>
      </w:r>
    </w:p>
    <w:p w14:paraId="5108170B" w14:textId="29CF6621" w:rsidR="00E167FC" w:rsidRDefault="00E167FC" w:rsidP="003F087D">
      <w:pPr>
        <w:pStyle w:val="ListParagraph"/>
        <w:ind w:left="1440"/>
        <w:rPr>
          <w:rFonts w:ascii="Arial" w:hAnsi="Arial" w:cs="Arial"/>
          <w:sz w:val="20"/>
          <w:szCs w:val="20"/>
        </w:rPr>
      </w:pPr>
    </w:p>
    <w:p w14:paraId="0DE85965" w14:textId="6724907D" w:rsidR="00DB33C2" w:rsidRPr="00DB33C2" w:rsidRDefault="008E1C95" w:rsidP="00991BA7">
      <w:pPr>
        <w:numPr>
          <w:ilvl w:val="0"/>
          <w:numId w:val="11"/>
        </w:numPr>
        <w:ind w:left="360"/>
      </w:pPr>
      <w:r w:rsidRPr="007954D3">
        <w:t>It is the policy of health plans affiliated with Centene Corporation that</w:t>
      </w:r>
      <w:r w:rsidR="00DB33C2">
        <w:t xml:space="preserve"> the </w:t>
      </w:r>
      <w:r w:rsidR="007125C4" w:rsidRPr="007125C4">
        <w:t xml:space="preserve">current research does not support the use of </w:t>
      </w:r>
      <w:r w:rsidR="001A5241">
        <w:t xml:space="preserve">any of the following </w:t>
      </w:r>
      <w:r w:rsidR="007125C4" w:rsidRPr="007125C4">
        <w:t>over other currently available alternatives</w:t>
      </w:r>
      <w:r w:rsidR="00DB33C2">
        <w:rPr>
          <w:b/>
        </w:rPr>
        <w:t>:</w:t>
      </w:r>
    </w:p>
    <w:p w14:paraId="724965B4" w14:textId="5FBB6F2B" w:rsidR="00DB33C2" w:rsidRPr="00DB33C2" w:rsidRDefault="00DB33C2" w:rsidP="00991BA7">
      <w:pPr>
        <w:numPr>
          <w:ilvl w:val="1"/>
          <w:numId w:val="11"/>
        </w:numPr>
        <w:ind w:left="720"/>
      </w:pPr>
      <w:r w:rsidRPr="00DB33C2">
        <w:t>LLPS for any indication not noted in section I;</w:t>
      </w:r>
    </w:p>
    <w:p w14:paraId="235963CC" w14:textId="2E669EC1" w:rsidR="00DB33C2" w:rsidRPr="006C2A13" w:rsidRDefault="00DB33C2" w:rsidP="00991BA7">
      <w:pPr>
        <w:numPr>
          <w:ilvl w:val="1"/>
          <w:numId w:val="11"/>
        </w:numPr>
        <w:ind w:left="720"/>
      </w:pPr>
      <w:r w:rsidRPr="006C2A13">
        <w:t>Bi-directional static progressive stretch (SPS) devices;</w:t>
      </w:r>
      <w:r w:rsidR="00284C8A" w:rsidRPr="006C2A13">
        <w:t xml:space="preserve"> </w:t>
      </w:r>
    </w:p>
    <w:p w14:paraId="148DD0C4" w14:textId="3CC1A17A" w:rsidR="008E1C95" w:rsidRPr="003F087D" w:rsidRDefault="00DB33C2" w:rsidP="00991BA7">
      <w:pPr>
        <w:numPr>
          <w:ilvl w:val="1"/>
          <w:numId w:val="11"/>
        </w:numPr>
        <w:ind w:left="720"/>
      </w:pPr>
      <w:r w:rsidRPr="00DB33C2">
        <w:t>Patient-actuated serial stretch (PASS) devices</w:t>
      </w:r>
      <w:r>
        <w:t>.</w:t>
      </w:r>
      <w:r w:rsidR="00027712">
        <w:t xml:space="preserve"> </w:t>
      </w:r>
    </w:p>
    <w:p w14:paraId="4D882AF2" w14:textId="77777777" w:rsidR="00171801" w:rsidRDefault="00171801" w:rsidP="003840CC">
      <w:pPr>
        <w:rPr>
          <w:bCs/>
          <w:color w:val="000000"/>
        </w:rPr>
      </w:pPr>
    </w:p>
    <w:p w14:paraId="7BE46452" w14:textId="77777777" w:rsidR="00171801" w:rsidRDefault="00171801" w:rsidP="00FB0592">
      <w:pPr>
        <w:pStyle w:val="Heading2"/>
        <w:rPr>
          <w:u w:val="none"/>
        </w:rPr>
      </w:pPr>
      <w:r w:rsidRPr="00B777AF">
        <w:rPr>
          <w:u w:val="none"/>
        </w:rPr>
        <w:t>Background</w:t>
      </w:r>
    </w:p>
    <w:p w14:paraId="03E998E6" w14:textId="4C2A58CF" w:rsidR="009B71EE" w:rsidRDefault="009B71EE" w:rsidP="009B71EE">
      <w:r w:rsidRPr="009B71EE">
        <w:t xml:space="preserve">A joint contracture is characterized by chronically reduced </w:t>
      </w:r>
      <w:r w:rsidR="008C6C66">
        <w:t>range of motion (</w:t>
      </w:r>
      <w:r w:rsidRPr="009B71EE">
        <w:t>ROM</w:t>
      </w:r>
      <w:r w:rsidR="008C6C66">
        <w:t>)</w:t>
      </w:r>
      <w:r w:rsidRPr="009B71EE">
        <w:t xml:space="preserve"> secondary to structural changes in non-bony tissues, including muscle, tendons, ligaments, and skin. Prolonged immobilization of joints following surgery or trauma is the most common cause of joint contractures</w:t>
      </w:r>
      <w:r>
        <w:t xml:space="preserve">. </w:t>
      </w:r>
      <w:proofErr w:type="gramStart"/>
      <w:r>
        <w:t>A number of</w:t>
      </w:r>
      <w:proofErr w:type="gramEnd"/>
      <w:r>
        <w:t xml:space="preserve"> different modalities are used to treat or prevent</w:t>
      </w:r>
      <w:r w:rsidR="00CE7D0E">
        <w:t xml:space="preserve"> </w:t>
      </w:r>
      <w:r>
        <w:t>joint contractures.</w:t>
      </w:r>
      <w:r w:rsidR="00D40EDA">
        <w:t xml:space="preserve"> </w:t>
      </w:r>
    </w:p>
    <w:p w14:paraId="339B73D1" w14:textId="77777777" w:rsidR="00173229" w:rsidRDefault="009B71EE" w:rsidP="00173229">
      <w:r>
        <w:tab/>
      </w:r>
    </w:p>
    <w:p w14:paraId="6DB6DE9B" w14:textId="2B5C049C" w:rsidR="003F71EE" w:rsidRDefault="00173229" w:rsidP="00D40EDA">
      <w:r w:rsidRPr="00173229">
        <w:lastRenderedPageBreak/>
        <w:t xml:space="preserve">Mechanical stretching devices </w:t>
      </w:r>
      <w:r w:rsidR="00D40EDA">
        <w:t xml:space="preserve">have been </w:t>
      </w:r>
      <w:r w:rsidR="00AB7C89">
        <w:t>researched</w:t>
      </w:r>
      <w:r w:rsidR="00D40EDA">
        <w:t xml:space="preserve"> for the treatment of joint contractures. The use of these devices is based on the theory that passive motion early in the healing process can</w:t>
      </w:r>
      <w:r w:rsidR="006F6EBE">
        <w:t xml:space="preserve"> </w:t>
      </w:r>
      <w:r w:rsidR="00DF376F">
        <w:t>pro</w:t>
      </w:r>
      <w:r w:rsidR="00D524C8">
        <w:t>mote</w:t>
      </w:r>
      <w:r w:rsidR="00264E63">
        <w:t xml:space="preserve"> </w:t>
      </w:r>
      <w:r w:rsidR="00D40EDA">
        <w:t>movement of the s</w:t>
      </w:r>
      <w:r w:rsidR="00DF376F">
        <w:t xml:space="preserve">ynovial </w:t>
      </w:r>
      <w:proofErr w:type="gramStart"/>
      <w:r w:rsidR="00DF376F">
        <w:t>fluid</w:t>
      </w:r>
      <w:r w:rsidR="00D524C8">
        <w:t>,</w:t>
      </w:r>
      <w:r w:rsidR="00DF376F">
        <w:t xml:space="preserve"> and</w:t>
      </w:r>
      <w:proofErr w:type="gramEnd"/>
      <w:r w:rsidR="00DF376F">
        <w:t xml:space="preserve"> thus promote</w:t>
      </w:r>
      <w:r w:rsidR="00D524C8">
        <w:t xml:space="preserve"> lubrication of the joint; stimulate</w:t>
      </w:r>
      <w:r w:rsidR="00D40EDA">
        <w:t xml:space="preserve"> the healing of articular tis</w:t>
      </w:r>
      <w:r w:rsidR="00FA736F">
        <w:t>sues;</w:t>
      </w:r>
      <w:r w:rsidR="00D524C8">
        <w:t xml:space="preserve"> prevent</w:t>
      </w:r>
      <w:r w:rsidR="00D40EDA">
        <w:t xml:space="preserve"> adhesions and joi</w:t>
      </w:r>
      <w:r w:rsidR="00FA736F">
        <w:t>nt stiffnes</w:t>
      </w:r>
      <w:r w:rsidR="00C631B3">
        <w:t>s</w:t>
      </w:r>
      <w:r w:rsidR="00FA736F">
        <w:t>;</w:t>
      </w:r>
      <w:r w:rsidR="00D524C8">
        <w:t xml:space="preserve"> and reduce</w:t>
      </w:r>
      <w:r w:rsidR="00DF376F">
        <w:t xml:space="preserve"> edema</w:t>
      </w:r>
      <w:r w:rsidR="00D40EDA">
        <w:t xml:space="preserve"> without interfering with the healing of incisions or wounds over the moving joint.  </w:t>
      </w:r>
    </w:p>
    <w:p w14:paraId="1B86DDAB" w14:textId="77777777" w:rsidR="003F71EE" w:rsidRDefault="003F71EE" w:rsidP="00D40EDA"/>
    <w:p w14:paraId="1FF29841" w14:textId="1ACE7BA3" w:rsidR="001F0907" w:rsidRDefault="00D40EDA" w:rsidP="00302E60">
      <w:r>
        <w:t xml:space="preserve">Several types of devices exist, including </w:t>
      </w:r>
      <w:r w:rsidR="00173229" w:rsidRPr="00173229">
        <w:t>low-load prolonged duration stretch</w:t>
      </w:r>
      <w:r w:rsidR="00F955B3">
        <w:t xml:space="preserve"> (LLPS)</w:t>
      </w:r>
      <w:r w:rsidR="00FA736F">
        <w:t xml:space="preserve"> devices</w:t>
      </w:r>
      <w:r w:rsidR="00BB1E3D">
        <w:t xml:space="preserve"> </w:t>
      </w:r>
      <w:r w:rsidR="00173229" w:rsidRPr="00173229">
        <w:t xml:space="preserve">(also referred to as dynamic splinting), </w:t>
      </w:r>
      <w:r w:rsidR="009B71EE" w:rsidRPr="009B71EE">
        <w:t xml:space="preserve">static progressive stretch </w:t>
      </w:r>
      <w:r w:rsidR="00F955B3">
        <w:t xml:space="preserve">(SPS) </w:t>
      </w:r>
      <w:r w:rsidR="00FA736F">
        <w:t xml:space="preserve">devices, </w:t>
      </w:r>
      <w:r w:rsidR="00173229" w:rsidRPr="00173229">
        <w:t>and patient-actuated serial stretch (PASS) (also known as patient-directed serial stretch) devices.</w:t>
      </w:r>
      <w:r w:rsidR="009B71EE">
        <w:t xml:space="preserve"> </w:t>
      </w:r>
    </w:p>
    <w:p w14:paraId="38C7B2C1" w14:textId="77777777" w:rsidR="001F0907" w:rsidRDefault="00D40EDA" w:rsidP="001F0907">
      <w:pPr>
        <w:pStyle w:val="ListParagraph"/>
        <w:numPr>
          <w:ilvl w:val="0"/>
          <w:numId w:val="23"/>
        </w:numPr>
      </w:pPr>
      <w:r w:rsidRPr="00D40EDA">
        <w:t>LLPS devices permit resisted active and passive motion (elastic traction) within a limited range. LLPS devices maintain a set level of tension by means of incorporated springs</w:t>
      </w:r>
      <w:r>
        <w:t xml:space="preserve">.  </w:t>
      </w:r>
    </w:p>
    <w:p w14:paraId="60217858" w14:textId="77777777" w:rsidR="00141E86" w:rsidRDefault="00141E86" w:rsidP="00141E86">
      <w:pPr>
        <w:pStyle w:val="ListParagraph"/>
        <w:numPr>
          <w:ilvl w:val="0"/>
          <w:numId w:val="23"/>
        </w:numPr>
      </w:pPr>
      <w:r w:rsidRPr="003F71EE">
        <w:t>S</w:t>
      </w:r>
      <w:r>
        <w:t>P</w:t>
      </w:r>
      <w:r w:rsidR="00AA44D7">
        <w:t>S</w:t>
      </w:r>
      <w:r w:rsidRPr="003F71EE">
        <w:t xml:space="preserve"> devices hold the joint in a set position but allow for manual modification of the joint angle and may allow for active motion without resistance (inelastic traction). This type of device itself does not exert a stress on the tissue unless the joint angle is set at the maximum ROM. </w:t>
      </w:r>
    </w:p>
    <w:p w14:paraId="7F12A6D3" w14:textId="7E69E38B" w:rsidR="001F0907" w:rsidRDefault="00D40EDA" w:rsidP="001F0907">
      <w:pPr>
        <w:pStyle w:val="ListParagraph"/>
        <w:numPr>
          <w:ilvl w:val="0"/>
          <w:numId w:val="23"/>
        </w:numPr>
      </w:pPr>
      <w:r>
        <w:t>PASS</w:t>
      </w:r>
      <w:r w:rsidRPr="00D40EDA">
        <w:t xml:space="preserve"> devices permit resisted active and passive motion within a limited range utilizing pneumatic or hydraulic systems that can be adjusted by the patient. The </w:t>
      </w:r>
      <w:proofErr w:type="spellStart"/>
      <w:r w:rsidRPr="00D40EDA">
        <w:t>extensionaters</w:t>
      </w:r>
      <w:proofErr w:type="spellEnd"/>
      <w:r w:rsidRPr="00D40EDA">
        <w:t xml:space="preserve"> use pneumatic systems while the </w:t>
      </w:r>
      <w:proofErr w:type="spellStart"/>
      <w:r w:rsidRPr="00D40EDA">
        <w:t>flexionaters</w:t>
      </w:r>
      <w:proofErr w:type="spellEnd"/>
      <w:r w:rsidRPr="00D40EDA">
        <w:t xml:space="preserve"> use hydraulic systems. These devices require custom fitting</w:t>
      </w:r>
      <w:r w:rsidR="003F71EE">
        <w:t xml:space="preserve">.  </w:t>
      </w:r>
    </w:p>
    <w:p w14:paraId="0996EB36" w14:textId="77777777" w:rsidR="00CE7D0E" w:rsidRDefault="00CE7D0E" w:rsidP="00302E60"/>
    <w:p w14:paraId="7DCA2226" w14:textId="3F4B48B4" w:rsidR="00BB1E3D" w:rsidRDefault="00B81F0B" w:rsidP="00791E65">
      <w:r>
        <w:t>Mechanical stretching devices are</w:t>
      </w:r>
      <w:r w:rsidR="00040726" w:rsidRPr="00040726">
        <w:t xml:space="preserve"> commonly used in the post-operative period</w:t>
      </w:r>
      <w:r w:rsidR="00791E65">
        <w:t xml:space="preserve">, following an injury or </w:t>
      </w:r>
      <w:r w:rsidR="00976D44">
        <w:t>when</w:t>
      </w:r>
      <w:r w:rsidR="00791E65">
        <w:t xml:space="preserve"> address</w:t>
      </w:r>
      <w:r w:rsidR="00976D44">
        <w:t>ing</w:t>
      </w:r>
      <w:r w:rsidR="00791E65">
        <w:t xml:space="preserve"> joint stiff</w:t>
      </w:r>
      <w:r w:rsidR="00976D44">
        <w:t xml:space="preserve">ness </w:t>
      </w:r>
      <w:r w:rsidR="00791E65">
        <w:t xml:space="preserve">in the knee, ankle, toe, shoulder, elbow, wrist, or finger.  </w:t>
      </w:r>
      <w:r w:rsidR="007658CB">
        <w:t>Peer review</w:t>
      </w:r>
      <w:r w:rsidR="00D524C8">
        <w:t>ed</w:t>
      </w:r>
      <w:r w:rsidR="007658CB">
        <w:t xml:space="preserve"> studies </w:t>
      </w:r>
      <w:r w:rsidR="008C059B">
        <w:t>researching</w:t>
      </w:r>
      <w:r w:rsidR="007658CB" w:rsidRPr="007658CB">
        <w:t xml:space="preserve"> </w:t>
      </w:r>
      <w:r>
        <w:t>mechanical stretching devices</w:t>
      </w:r>
      <w:r w:rsidR="00177739">
        <w:t xml:space="preserve"> </w:t>
      </w:r>
      <w:r w:rsidR="00D524C8" w:rsidRPr="00AD6B1F">
        <w:t>are</w:t>
      </w:r>
      <w:r w:rsidR="007658CB" w:rsidRPr="00332770">
        <w:t xml:space="preserve"> limited</w:t>
      </w:r>
      <w:r w:rsidR="007658CB" w:rsidRPr="00AD6B1F">
        <w:t>.</w:t>
      </w:r>
      <w:r w:rsidR="007658CB">
        <w:t xml:space="preserve"> </w:t>
      </w:r>
      <w:r w:rsidR="009B71EE">
        <w:t xml:space="preserve">The best evidence </w:t>
      </w:r>
      <w:r w:rsidR="00085799">
        <w:t xml:space="preserve">is </w:t>
      </w:r>
      <w:r w:rsidR="009B71EE">
        <w:t xml:space="preserve">available </w:t>
      </w:r>
      <w:r w:rsidR="00FA736F">
        <w:t>in</w:t>
      </w:r>
      <w:r w:rsidR="009B71EE">
        <w:t xml:space="preserve"> studies evaluating LLPS</w:t>
      </w:r>
      <w:r>
        <w:t xml:space="preserve"> </w:t>
      </w:r>
      <w:r w:rsidR="002133E4">
        <w:t>when used at the knee, elbow, wrist, and following extensor tendon injuries of the finger</w:t>
      </w:r>
      <w:r w:rsidR="00BB1E3D">
        <w:t xml:space="preserve"> and for SPS when used at the elbow.</w:t>
      </w:r>
    </w:p>
    <w:p w14:paraId="4E8CFA19" w14:textId="77777777" w:rsidR="00791E65" w:rsidRDefault="00791E65" w:rsidP="00791E65"/>
    <w:p w14:paraId="1163794F" w14:textId="3A3E2B92" w:rsidR="00B81F0B" w:rsidRDefault="00791E65" w:rsidP="00791E65">
      <w:pPr>
        <w:rPr>
          <w:vertAlign w:val="superscript"/>
        </w:rPr>
      </w:pPr>
      <w:r>
        <w:t>Several authors have looked at the implementation of dynamic splinting at the finger following an extensor tendo</w:t>
      </w:r>
      <w:r w:rsidR="00E160B5">
        <w:t>n</w:t>
      </w:r>
      <w:r>
        <w:t xml:space="preserve"> repair.</w:t>
      </w:r>
      <w:r w:rsidR="00777577" w:rsidRPr="005F74E2">
        <w:rPr>
          <w:vertAlign w:val="superscript"/>
        </w:rPr>
        <w:t>1,2,</w:t>
      </w:r>
      <w:r w:rsidR="003C3EB9">
        <w:rPr>
          <w:vertAlign w:val="superscript"/>
        </w:rPr>
        <w:t>3</w:t>
      </w:r>
      <w:r w:rsidR="00CE3BBC">
        <w:rPr>
          <w:vertAlign w:val="superscript"/>
        </w:rPr>
        <w:t>,</w:t>
      </w:r>
      <w:r w:rsidR="003F50A7">
        <w:rPr>
          <w:vertAlign w:val="superscript"/>
        </w:rPr>
        <w:t>4</w:t>
      </w:r>
      <w:r w:rsidR="00CE3BBC">
        <w:rPr>
          <w:vertAlign w:val="superscript"/>
        </w:rPr>
        <w:t>,</w:t>
      </w:r>
      <w:r w:rsidR="00846207">
        <w:rPr>
          <w:vertAlign w:val="superscript"/>
        </w:rPr>
        <w:t>5,</w:t>
      </w:r>
      <w:r w:rsidR="003F50A7">
        <w:rPr>
          <w:vertAlign w:val="superscript"/>
        </w:rPr>
        <w:t>6</w:t>
      </w:r>
      <w:r w:rsidR="00CE3BBC">
        <w:rPr>
          <w:vertAlign w:val="superscript"/>
        </w:rPr>
        <w:t>,</w:t>
      </w:r>
      <w:r w:rsidR="003F50A7">
        <w:rPr>
          <w:vertAlign w:val="superscript"/>
        </w:rPr>
        <w:t>7</w:t>
      </w:r>
      <w:r>
        <w:t xml:space="preserve"> Results</w:t>
      </w:r>
      <w:r w:rsidR="007658CB">
        <w:t xml:space="preserve"> from a small</w:t>
      </w:r>
      <w:r w:rsidR="00D524C8">
        <w:t>,</w:t>
      </w:r>
      <w:r w:rsidR="007658CB">
        <w:t xml:space="preserve"> prospective</w:t>
      </w:r>
      <w:r w:rsidR="00D524C8">
        <w:t>,</w:t>
      </w:r>
      <w:r w:rsidR="007658CB">
        <w:t xml:space="preserve"> randomized trial compar</w:t>
      </w:r>
      <w:r w:rsidR="00D92E7B">
        <w:t xml:space="preserve">ing </w:t>
      </w:r>
      <w:r w:rsidR="007658CB">
        <w:t>dynamic splinting to static</w:t>
      </w:r>
      <w:r w:rsidR="00076482">
        <w:t xml:space="preserve"> splinting </w:t>
      </w:r>
      <w:r w:rsidR="007658CB" w:rsidRPr="007658CB">
        <w:t>suggest that dynamic splinting of complex lacerations of the extensor tendons in zones V</w:t>
      </w:r>
      <w:r w:rsidR="00305E00">
        <w:t xml:space="preserve"> through</w:t>
      </w:r>
      <w:r w:rsidR="00656449">
        <w:t xml:space="preserve"> </w:t>
      </w:r>
      <w:r w:rsidR="007658CB" w:rsidRPr="007658CB">
        <w:t xml:space="preserve">VII provides improved functional outcomes at </w:t>
      </w:r>
      <w:r w:rsidR="00585E37">
        <w:t>four</w:t>
      </w:r>
      <w:r w:rsidR="007658CB" w:rsidRPr="007658CB">
        <w:t xml:space="preserve"> and 12 weeks and </w:t>
      </w:r>
      <w:r w:rsidR="006E598A">
        <w:t>six</w:t>
      </w:r>
      <w:r w:rsidR="007658CB" w:rsidRPr="007658CB">
        <w:t xml:space="preserve"> months when compared with static splinting.</w:t>
      </w:r>
      <w:r w:rsidR="00D92E7B" w:rsidRPr="00076482">
        <w:rPr>
          <w:vertAlign w:val="superscript"/>
        </w:rPr>
        <w:t>1</w:t>
      </w:r>
      <w:r w:rsidR="00076482" w:rsidRPr="00076482">
        <w:t xml:space="preserve"> </w:t>
      </w:r>
      <w:r w:rsidR="00076482">
        <w:t>Another small</w:t>
      </w:r>
      <w:r w:rsidR="00D524C8">
        <w:t>,</w:t>
      </w:r>
      <w:r w:rsidR="00076482">
        <w:t xml:space="preserve"> </w:t>
      </w:r>
      <w:r w:rsidR="00076482" w:rsidRPr="00076482">
        <w:t xml:space="preserve">prospective, randomized, controlled study </w:t>
      </w:r>
      <w:r w:rsidR="009451A7">
        <w:t xml:space="preserve">comparing postoperative dynamic </w:t>
      </w:r>
      <w:r w:rsidR="00076482" w:rsidRPr="00076482">
        <w:t>versus static splinting outcomes of patients following extensor tendon repair</w:t>
      </w:r>
      <w:r w:rsidR="00076482">
        <w:t xml:space="preserve"> reported </w:t>
      </w:r>
      <w:r w:rsidR="00076482" w:rsidRPr="00076482">
        <w:t>dynamic splinting of simple, complete lacerations of the ext</w:t>
      </w:r>
      <w:r w:rsidR="00D524C8">
        <w:t xml:space="preserve">ensor tendons in zones V and VI. Dynamic splinting </w:t>
      </w:r>
      <w:r w:rsidR="00076482" w:rsidRPr="00076482">
        <w:t>provide</w:t>
      </w:r>
      <w:r w:rsidR="00D5461F">
        <w:t>d</w:t>
      </w:r>
      <w:r w:rsidR="00076482" w:rsidRPr="00076482">
        <w:t xml:space="preserve"> improved functional outcomes at </w:t>
      </w:r>
      <w:r w:rsidR="006E598A">
        <w:t>four</w:t>
      </w:r>
      <w:r w:rsidR="00076482" w:rsidRPr="00076482">
        <w:t xml:space="preserve">, </w:t>
      </w:r>
      <w:r w:rsidR="006E598A">
        <w:t>six</w:t>
      </w:r>
      <w:r w:rsidR="00076482" w:rsidRPr="00076482">
        <w:t xml:space="preserve">, and </w:t>
      </w:r>
      <w:r w:rsidR="006E598A">
        <w:t>eight</w:t>
      </w:r>
      <w:r w:rsidR="00076482" w:rsidRPr="00076482">
        <w:t xml:space="preserve"> weeks but not by </w:t>
      </w:r>
      <w:r w:rsidR="00616EB0">
        <w:t>six</w:t>
      </w:r>
      <w:r w:rsidR="00076482" w:rsidRPr="00076482">
        <w:t xml:space="preserve"> months when compared with static splinting</w:t>
      </w:r>
      <w:r w:rsidR="00D5461F">
        <w:t>.</w:t>
      </w:r>
      <w:r w:rsidR="00D5461F" w:rsidRPr="00D5461F">
        <w:rPr>
          <w:vertAlign w:val="superscript"/>
        </w:rPr>
        <w:t>2</w:t>
      </w:r>
      <w:r w:rsidR="00D5461F">
        <w:rPr>
          <w:vertAlign w:val="superscript"/>
        </w:rPr>
        <w:t xml:space="preserve"> </w:t>
      </w:r>
    </w:p>
    <w:p w14:paraId="30319894" w14:textId="77777777" w:rsidR="007658CB" w:rsidRDefault="007658CB" w:rsidP="00791E65">
      <w:pPr>
        <w:rPr>
          <w:vertAlign w:val="superscript"/>
        </w:rPr>
      </w:pPr>
    </w:p>
    <w:p w14:paraId="79B7272D" w14:textId="0A800A12" w:rsidR="00CE66FA" w:rsidRDefault="00CE66FA" w:rsidP="00CE66FA">
      <w:r>
        <w:t>Dynamic splinting</w:t>
      </w:r>
      <w:r w:rsidR="00866B67">
        <w:t xml:space="preserve"> and s</w:t>
      </w:r>
      <w:r w:rsidR="00B81F0B">
        <w:t xml:space="preserve">tatic </w:t>
      </w:r>
      <w:r w:rsidR="00866B67">
        <w:t>progressive s</w:t>
      </w:r>
      <w:r w:rsidR="00B81F0B">
        <w:t>tretch devices</w:t>
      </w:r>
      <w:r>
        <w:t xml:space="preserve"> have both been applied at the elbow in isolation </w:t>
      </w:r>
      <w:proofErr w:type="gramStart"/>
      <w:r>
        <w:t xml:space="preserve">and in comparison </w:t>
      </w:r>
      <w:proofErr w:type="gramEnd"/>
      <w:r>
        <w:t xml:space="preserve">to one another. </w:t>
      </w:r>
      <w:r w:rsidR="00B63335">
        <w:t xml:space="preserve">In 2004 </w:t>
      </w:r>
      <w:r>
        <w:t>Gallucci and colleagues</w:t>
      </w:r>
      <w:r w:rsidR="00A824E4">
        <w:t xml:space="preserve"> looked</w:t>
      </w:r>
      <w:r>
        <w:t xml:space="preserve"> </w:t>
      </w:r>
      <w:r w:rsidR="00A824E4">
        <w:t>at</w:t>
      </w:r>
      <w:r>
        <w:t xml:space="preserve"> a sample of 30 patients who were at least 78 days after surgery or trauma who had </w:t>
      </w:r>
      <w:r w:rsidR="00A824E4">
        <w:t xml:space="preserve">a </w:t>
      </w:r>
      <w:r>
        <w:t>functional arc of movement of less than 100 degrees at the elbow</w:t>
      </w:r>
      <w:r w:rsidR="00B81F0B">
        <w:t xml:space="preserve">. They </w:t>
      </w:r>
      <w:r>
        <w:t xml:space="preserve">found that </w:t>
      </w:r>
      <w:r w:rsidR="005F74E2">
        <w:t>two thirds</w:t>
      </w:r>
      <w:r>
        <w:t xml:space="preserve"> of patients were able to achieve at least a 100 degree arc and therefore, improved function</w:t>
      </w:r>
      <w:r w:rsidR="00A824E4">
        <w:t xml:space="preserve"> after using a dynamic splint for 75 days</w:t>
      </w:r>
      <w:r>
        <w:t>.</w:t>
      </w:r>
      <w:r w:rsidR="00D32D78">
        <w:rPr>
          <w:vertAlign w:val="superscript"/>
        </w:rPr>
        <w:t>8</w:t>
      </w:r>
      <w:r>
        <w:t xml:space="preserve"> In a </w:t>
      </w:r>
      <w:r w:rsidR="00E9515A">
        <w:t xml:space="preserve">2009 </w:t>
      </w:r>
      <w:r>
        <w:t>randomized controlled pilot study of 30 patients, Lai and colleagues</w:t>
      </w:r>
      <w:r w:rsidR="00A824E4">
        <w:t xml:space="preserve"> </w:t>
      </w:r>
      <w:r>
        <w:t xml:space="preserve">found significant improvements in ROM when dynamic splinting was added to the control treatment of </w:t>
      </w:r>
      <w:r w:rsidR="004B2309" w:rsidRPr="004B4272">
        <w:t>botulinum toxin type-A</w:t>
      </w:r>
      <w:r>
        <w:t xml:space="preserve"> and occupational therapy treatment.</w:t>
      </w:r>
      <w:r w:rsidR="004E5B64">
        <w:rPr>
          <w:vertAlign w:val="superscript"/>
        </w:rPr>
        <w:t>9</w:t>
      </w:r>
      <w:r>
        <w:t xml:space="preserve"> </w:t>
      </w:r>
      <w:r w:rsidR="00183464">
        <w:t>Studies in 2010</w:t>
      </w:r>
      <w:r w:rsidR="00A75365">
        <w:t xml:space="preserve"> by </w:t>
      </w:r>
      <w:r>
        <w:t>Bhat and colleagues found similar benefit</w:t>
      </w:r>
      <w:r w:rsidR="00A75365">
        <w:t>s</w:t>
      </w:r>
      <w:r>
        <w:t xml:space="preserve"> to SPS at the elbow.</w:t>
      </w:r>
      <w:r w:rsidR="00972EAA">
        <w:rPr>
          <w:vertAlign w:val="superscript"/>
        </w:rPr>
        <w:t>1</w:t>
      </w:r>
      <w:r w:rsidR="00EC0DD4">
        <w:rPr>
          <w:vertAlign w:val="superscript"/>
        </w:rPr>
        <w:t>0</w:t>
      </w:r>
      <w:r>
        <w:t xml:space="preserve"> </w:t>
      </w:r>
      <w:r w:rsidR="00715DE0">
        <w:t>The</w:t>
      </w:r>
      <w:r>
        <w:t xml:space="preserve"> SPS </w:t>
      </w:r>
      <w:r w:rsidR="00114F35">
        <w:t xml:space="preserve">device </w:t>
      </w:r>
      <w:r>
        <w:t xml:space="preserve">was introduced </w:t>
      </w:r>
      <w:r>
        <w:lastRenderedPageBreak/>
        <w:t xml:space="preserve">to the patient </w:t>
      </w:r>
      <w:r w:rsidRPr="00482474">
        <w:t>approximately 4.5 to 5</w:t>
      </w:r>
      <w:r>
        <w:t xml:space="preserve"> months after injury or surgery and once improvements from therapy were stagnant. A functional ROM or arc of movement was achieved in 19 out of 30 patients.</w:t>
      </w:r>
      <w:r w:rsidR="00955D37">
        <w:rPr>
          <w:vertAlign w:val="superscript"/>
        </w:rPr>
        <w:t>1</w:t>
      </w:r>
      <w:r w:rsidR="005A05BE">
        <w:rPr>
          <w:vertAlign w:val="superscript"/>
        </w:rPr>
        <w:t>0</w:t>
      </w:r>
      <w:r>
        <w:t xml:space="preserve"> </w:t>
      </w:r>
      <w:r w:rsidR="00280C25">
        <w:t xml:space="preserve">In 2006, </w:t>
      </w:r>
      <w:proofErr w:type="spellStart"/>
      <w:r>
        <w:t>Doomberg</w:t>
      </w:r>
      <w:proofErr w:type="spellEnd"/>
      <w:r>
        <w:t xml:space="preserve"> and colleagues also demonstrated improvements with ROM overall after SPS intervention but noted that early splinting after the initial injury rather than after elbow </w:t>
      </w:r>
      <w:proofErr w:type="spellStart"/>
      <w:r>
        <w:t>encapselectomy</w:t>
      </w:r>
      <w:proofErr w:type="spellEnd"/>
      <w:r>
        <w:t xml:space="preserve"> yielded greater results.</w:t>
      </w:r>
      <w:r w:rsidR="0071044B">
        <w:rPr>
          <w:vertAlign w:val="superscript"/>
        </w:rPr>
        <w:t>1</w:t>
      </w:r>
      <w:r w:rsidR="005A05BE">
        <w:rPr>
          <w:vertAlign w:val="superscript"/>
        </w:rPr>
        <w:t>1</w:t>
      </w:r>
      <w:r w:rsidRPr="000E5D2F">
        <w:t xml:space="preserve"> </w:t>
      </w:r>
      <w:r w:rsidR="00241A9F">
        <w:t xml:space="preserve">In 2012, </w:t>
      </w:r>
      <w:proofErr w:type="spellStart"/>
      <w:r w:rsidRPr="000E5D2F">
        <w:t>Lindenhovius</w:t>
      </w:r>
      <w:proofErr w:type="spellEnd"/>
      <w:r w:rsidRPr="000E5D2F">
        <w:t xml:space="preserve"> and colleagues performed a prospective randomized controlled trial looking at the benefit of dynamic splinting versus SPS in improving range of motion and function as measured by the </w:t>
      </w:r>
      <w:r w:rsidR="004B2309" w:rsidRPr="000E5D2F">
        <w:t>Disabilities of the Arm, Shoulder, and Hand (</w:t>
      </w:r>
      <w:r w:rsidRPr="000E5D2F">
        <w:t>DASH</w:t>
      </w:r>
      <w:r w:rsidR="004B2309" w:rsidRPr="000E5D2F">
        <w:t>)</w:t>
      </w:r>
      <w:r w:rsidRPr="000E5D2F">
        <w:t>.</w:t>
      </w:r>
      <w:r w:rsidR="0071044B">
        <w:rPr>
          <w:vertAlign w:val="superscript"/>
        </w:rPr>
        <w:t>1</w:t>
      </w:r>
      <w:r w:rsidR="005A05BE">
        <w:rPr>
          <w:vertAlign w:val="superscript"/>
        </w:rPr>
        <w:t>2</w:t>
      </w:r>
      <w:r w:rsidRPr="000E5D2F">
        <w:t xml:space="preserve"> No significant difference was found between the two groups prior to treatment or after </w:t>
      </w:r>
      <w:r w:rsidR="006C0E31">
        <w:t>three</w:t>
      </w:r>
      <w:r w:rsidRPr="000E5D2F">
        <w:t xml:space="preserve">, </w:t>
      </w:r>
      <w:r w:rsidR="006C0E31">
        <w:t>six</w:t>
      </w:r>
      <w:r w:rsidRPr="000E5D2F">
        <w:t xml:space="preserve"> or 12 month follow-ups.</w:t>
      </w:r>
      <w:r w:rsidR="006B690F">
        <w:rPr>
          <w:vertAlign w:val="superscript"/>
        </w:rPr>
        <w:t>1</w:t>
      </w:r>
      <w:r w:rsidR="005A05BE">
        <w:rPr>
          <w:vertAlign w:val="superscript"/>
        </w:rPr>
        <w:t>2</w:t>
      </w:r>
      <w:r w:rsidRPr="000E5D2F">
        <w:t xml:space="preserve"> </w:t>
      </w:r>
      <w:r w:rsidR="00080E7F">
        <w:t xml:space="preserve">Additionally in 2015, </w:t>
      </w:r>
      <w:r w:rsidRPr="000E5D2F">
        <w:t xml:space="preserve">Veltman and colleagues completed a systematic review on the topic that included the results </w:t>
      </w:r>
      <w:r w:rsidR="00080E7F">
        <w:t>from</w:t>
      </w:r>
      <w:r w:rsidRPr="000E5D2F">
        <w:t xml:space="preserve"> 232 patients with a similar outcome showing that each device was beneficial but that one was not more effective than the other.</w:t>
      </w:r>
      <w:r w:rsidR="006B690F">
        <w:rPr>
          <w:vertAlign w:val="superscript"/>
        </w:rPr>
        <w:t>1</w:t>
      </w:r>
      <w:r w:rsidR="00D47F4C">
        <w:rPr>
          <w:vertAlign w:val="superscript"/>
        </w:rPr>
        <w:t>3</w:t>
      </w:r>
      <w:r>
        <w:t xml:space="preserve">  </w:t>
      </w:r>
    </w:p>
    <w:p w14:paraId="0266D925" w14:textId="77777777" w:rsidR="00CE66FA" w:rsidRDefault="00CE66FA" w:rsidP="00CE66FA">
      <w:pPr>
        <w:rPr>
          <w:vertAlign w:val="superscript"/>
        </w:rPr>
      </w:pPr>
    </w:p>
    <w:p w14:paraId="3EA51438" w14:textId="6D4F6C9D" w:rsidR="00CE66FA" w:rsidRDefault="00CE66FA" w:rsidP="00CE66FA">
      <w:r>
        <w:t xml:space="preserve">At the knee and wrist, dynamic splinting has been identified as beneficial when further progression of </w:t>
      </w:r>
      <w:r w:rsidR="00AE7A23">
        <w:t>ROM</w:t>
      </w:r>
      <w:r>
        <w:t xml:space="preserve"> is needed after surgery or an injury. </w:t>
      </w:r>
      <w:r w:rsidR="00AE7A23">
        <w:t xml:space="preserve">In 2018, </w:t>
      </w:r>
      <w:r>
        <w:t>Pace and colleagues performed a Level IV retrospective study, looking at the implementation of dynamic splinting following knee surgery in 74 adolescents and children who had ROM deficits in flexion, extension, or both directions.</w:t>
      </w:r>
      <w:r w:rsidR="004B2309">
        <w:rPr>
          <w:vertAlign w:val="superscript"/>
        </w:rPr>
        <w:t>1</w:t>
      </w:r>
      <w:r w:rsidR="00D47F4C">
        <w:rPr>
          <w:vertAlign w:val="superscript"/>
        </w:rPr>
        <w:t>4</w:t>
      </w:r>
      <w:r>
        <w:t xml:space="preserve"> 84% of the patients experienced a significant increase in ROM</w:t>
      </w:r>
      <w:r w:rsidR="00C53AFE">
        <w:t>,</w:t>
      </w:r>
      <w:r>
        <w:t xml:space="preserve"> and 58% were able to avoid further surgical intervention. </w:t>
      </w:r>
      <w:r w:rsidR="00C53AFE">
        <w:t xml:space="preserve">In 2016, </w:t>
      </w:r>
      <w:r>
        <w:t>Willis and colleagues looked at the treatment of carpal tunnel syndrome using dynamic splinting at the wrist.</w:t>
      </w:r>
      <w:r w:rsidR="009D24D3">
        <w:rPr>
          <w:vertAlign w:val="superscript"/>
        </w:rPr>
        <w:t>15</w:t>
      </w:r>
      <w:r>
        <w:t xml:space="preserve"> They performed a randomized control trial where the experimental group was provided with dynamic splinting in addition to anti-inflammatories and a stretching program. Those patients who received dynamic splinting in addition to the other treatments had a significant decline in the need for surgical intervention after conservative management was complete. Similarly, Glasgow and colleagues </w:t>
      </w:r>
      <w:r w:rsidR="0026556B">
        <w:t>in 2011</w:t>
      </w:r>
      <w:r>
        <w:t xml:space="preserve"> looked at the effect of dynamic splinting at the hand and forearm respectively and demonstrated improvements in </w:t>
      </w:r>
      <w:r w:rsidR="006E3490">
        <w:t>ROM</w:t>
      </w:r>
      <w:r>
        <w:t xml:space="preserve"> after injury in both areas.</w:t>
      </w:r>
      <w:r w:rsidR="00693056">
        <w:rPr>
          <w:vertAlign w:val="superscript"/>
        </w:rPr>
        <w:t>1</w:t>
      </w:r>
      <w:r w:rsidR="00EA31F5">
        <w:rPr>
          <w:vertAlign w:val="superscript"/>
        </w:rPr>
        <w:t>6</w:t>
      </w:r>
      <w:r>
        <w:t xml:space="preserve"> </w:t>
      </w:r>
    </w:p>
    <w:p w14:paraId="5E056F87" w14:textId="77777777" w:rsidR="00927111" w:rsidRDefault="00927111" w:rsidP="00CE66FA"/>
    <w:p w14:paraId="11946DF4" w14:textId="2319964A" w:rsidR="00927111" w:rsidRDefault="00CE66FA" w:rsidP="00CE66FA">
      <w:r>
        <w:t xml:space="preserve">A variety of randomized control trials, observational studies, case series, and medical community acceptance confirms the benefits of dynamic LLPS devices at the knee, elbow, wrist, and fingers when used to relieve persistent joint stiffness that can occur after injury or surgery.   </w:t>
      </w:r>
    </w:p>
    <w:p w14:paraId="064AF04D" w14:textId="77777777" w:rsidR="00927111" w:rsidRDefault="00927111" w:rsidP="00CE66FA"/>
    <w:p w14:paraId="03F17878" w14:textId="3B7B9EE2" w:rsidR="009B71EE" w:rsidRDefault="00CE66FA" w:rsidP="009B71EE">
      <w:r>
        <w:t>While</w:t>
      </w:r>
      <w:r w:rsidR="00927111">
        <w:t xml:space="preserve"> additional</w:t>
      </w:r>
      <w:r>
        <w:t xml:space="preserve"> evidence is emerging, there is insufficient evidence in the published peer-reviewed literature to support the use of dynamic LLPS</w:t>
      </w:r>
      <w:r w:rsidR="00927111">
        <w:t xml:space="preserve"> at other joints to includ</w:t>
      </w:r>
      <w:r w:rsidR="00640341">
        <w:t xml:space="preserve">ing </w:t>
      </w:r>
      <w:r w:rsidR="00927111">
        <w:t>the foot</w:t>
      </w:r>
      <w:r w:rsidR="00640341">
        <w:t xml:space="preserve"> </w:t>
      </w:r>
      <w:r w:rsidR="00927111">
        <w:t>and shoulder</w:t>
      </w:r>
      <w:r w:rsidR="00C54CDD">
        <w:t>.</w:t>
      </w:r>
      <w:r w:rsidR="004C1A53">
        <w:t xml:space="preserve"> </w:t>
      </w:r>
      <w:r w:rsidR="007658CB" w:rsidRPr="007658CB">
        <w:t xml:space="preserve">There </w:t>
      </w:r>
      <w:r w:rsidR="00B64798">
        <w:t xml:space="preserve">is </w:t>
      </w:r>
      <w:r w:rsidR="00B64798" w:rsidRPr="00B64798">
        <w:t xml:space="preserve">insufficient evidence in the published medical literature to demonstrate the safety, efficacy, and long-term outcomes </w:t>
      </w:r>
      <w:r w:rsidR="00B64798">
        <w:t xml:space="preserve">on the use of </w:t>
      </w:r>
      <w:r w:rsidR="00040726" w:rsidRPr="00040726">
        <w:t>patient-actuated serial stretch</w:t>
      </w:r>
      <w:r w:rsidR="00927111">
        <w:t xml:space="preserve"> (PASS)</w:t>
      </w:r>
      <w:r w:rsidR="00040726" w:rsidRPr="00040726">
        <w:t xml:space="preserve"> </w:t>
      </w:r>
      <w:r w:rsidR="007658CB" w:rsidRPr="007658CB">
        <w:t>devices</w:t>
      </w:r>
      <w:r w:rsidR="00927111">
        <w:t>.</w:t>
      </w:r>
    </w:p>
    <w:p w14:paraId="61A73370" w14:textId="77777777" w:rsidR="00171801" w:rsidRPr="000465DE" w:rsidRDefault="00171801">
      <w:pPr>
        <w:rPr>
          <w:b/>
          <w:bCs/>
        </w:rPr>
      </w:pPr>
    </w:p>
    <w:p w14:paraId="666D3118" w14:textId="173E72C2" w:rsidR="00171801" w:rsidRDefault="00171801" w:rsidP="00170B14">
      <w:pPr>
        <w:rPr>
          <w:b/>
        </w:rPr>
      </w:pPr>
      <w:bookmarkStart w:id="0" w:name="Coding_Implications"/>
      <w:r w:rsidRPr="00B777AF">
        <w:rPr>
          <w:b/>
        </w:rPr>
        <w:t>Coding Implications</w:t>
      </w:r>
    </w:p>
    <w:p w14:paraId="060144A8" w14:textId="629713CE" w:rsidR="00955002" w:rsidRDefault="00D93577" w:rsidP="00AF5490">
      <w:r w:rsidRPr="00D93577">
        <w:t>This clinical policy references Current Procedural Terminology (CPT®). CPT® is a registered trademark of the American Medical Association. All CPT codes and descriptions are copyrighted 20</w:t>
      </w:r>
      <w:r w:rsidR="00C04D64">
        <w:t>2</w:t>
      </w:r>
      <w:r w:rsidR="00E06FF9">
        <w:t>4</w:t>
      </w:r>
      <w:r w:rsidRPr="00D93577">
        <w:t>, American Medical Association. All rights reserved. CPT codes and CPT descriptions are from the current manuals and those included herein are not intended to be all-inclusive and are included for informational purposes only</w:t>
      </w:r>
      <w:r>
        <w:t xml:space="preserve">. </w:t>
      </w:r>
      <w:bookmarkEnd w:id="0"/>
      <w:r w:rsidR="00955002" w:rsidRPr="00955002">
        <w:t>Codes referenced in this clinical policy are for informational purposes only. Inclusion or exclusion of any codes does not guarantee coverage.  Providers should reference the most up-to-date sources of professional coding guidance prior to the submission of claims for reimbursement of covered services.</w:t>
      </w:r>
    </w:p>
    <w:p w14:paraId="253A9165" w14:textId="6E394080" w:rsidR="00DD5E64" w:rsidRDefault="00DD5E64" w:rsidP="00AF5490"/>
    <w:p w14:paraId="256C6E68" w14:textId="5A133FCF" w:rsidR="00DD5E64" w:rsidRPr="003F087D" w:rsidRDefault="00DD5E64" w:rsidP="00AF5490">
      <w:pPr>
        <w:rPr>
          <w:b/>
        </w:rPr>
      </w:pPr>
      <w:r w:rsidRPr="003F087D">
        <w:rPr>
          <w:b/>
        </w:rPr>
        <w:t>HCPCS codes that support coverage criteria</w:t>
      </w: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470"/>
        <w:gridCol w:w="7454"/>
      </w:tblGrid>
      <w:tr w:rsidR="00DD5E64" w:rsidRPr="00B777AF" w14:paraId="40DFB33A" w14:textId="77777777" w:rsidTr="002F691F">
        <w:trPr>
          <w:tblHeader/>
        </w:trPr>
        <w:tc>
          <w:tcPr>
            <w:tcW w:w="1470" w:type="dxa"/>
            <w:shd w:val="clear" w:color="auto" w:fill="00548C"/>
          </w:tcPr>
          <w:p w14:paraId="28996278" w14:textId="77777777" w:rsidR="00DD5E64" w:rsidRPr="00504F03" w:rsidRDefault="00DD5E64" w:rsidP="002F691F">
            <w:pPr>
              <w:rPr>
                <w:b/>
                <w:bCs/>
                <w:color w:val="FFFFFF"/>
              </w:rPr>
            </w:pPr>
            <w:r w:rsidRPr="00504F03">
              <w:rPr>
                <w:b/>
                <w:color w:val="FFFFFF"/>
              </w:rPr>
              <w:t xml:space="preserve">HCPCS Codes </w:t>
            </w:r>
          </w:p>
        </w:tc>
        <w:tc>
          <w:tcPr>
            <w:tcW w:w="7454" w:type="dxa"/>
            <w:shd w:val="clear" w:color="auto" w:fill="00548C"/>
          </w:tcPr>
          <w:p w14:paraId="1F6355CF" w14:textId="77777777" w:rsidR="00DD5E64" w:rsidRPr="00504F03" w:rsidRDefault="00DD5E64" w:rsidP="002F691F">
            <w:pPr>
              <w:rPr>
                <w:b/>
                <w:bCs/>
                <w:color w:val="FFFFFF"/>
              </w:rPr>
            </w:pPr>
            <w:r w:rsidRPr="00504F03">
              <w:rPr>
                <w:b/>
                <w:color w:val="FFFFFF"/>
              </w:rPr>
              <w:t>Description</w:t>
            </w:r>
          </w:p>
        </w:tc>
      </w:tr>
      <w:tr w:rsidR="00DD5E64" w:rsidRPr="00CB0B2C" w14:paraId="74D8391F" w14:textId="77777777" w:rsidTr="002F691F">
        <w:tc>
          <w:tcPr>
            <w:tcW w:w="1470" w:type="dxa"/>
          </w:tcPr>
          <w:p w14:paraId="60EB876B" w14:textId="77777777" w:rsidR="00DD5E64" w:rsidRDefault="00DD5E64" w:rsidP="002F691F">
            <w:pPr>
              <w:rPr>
                <w:bCs/>
              </w:rPr>
            </w:pPr>
            <w:r>
              <w:rPr>
                <w:bCs/>
              </w:rPr>
              <w:t>E1800</w:t>
            </w:r>
          </w:p>
        </w:tc>
        <w:tc>
          <w:tcPr>
            <w:tcW w:w="7454" w:type="dxa"/>
          </w:tcPr>
          <w:p w14:paraId="46B6FB6C" w14:textId="77777777" w:rsidR="00DD5E64" w:rsidRPr="00A858B1" w:rsidRDefault="00DD5E64" w:rsidP="002F691F">
            <w:pPr>
              <w:rPr>
                <w:shd w:val="clear" w:color="auto" w:fill="FFFFFF"/>
              </w:rPr>
            </w:pPr>
            <w:r w:rsidRPr="00A86407">
              <w:rPr>
                <w:shd w:val="clear" w:color="auto" w:fill="FFFFFF"/>
              </w:rPr>
              <w:t>Dynamic adjustable elbow extension/flexion device, includes soft interface material</w:t>
            </w:r>
          </w:p>
        </w:tc>
      </w:tr>
      <w:tr w:rsidR="00DD5E64" w:rsidRPr="00CB0B2C" w14:paraId="540A8ECF" w14:textId="77777777" w:rsidTr="002F691F">
        <w:tc>
          <w:tcPr>
            <w:tcW w:w="1470" w:type="dxa"/>
          </w:tcPr>
          <w:p w14:paraId="261440C4" w14:textId="77777777" w:rsidR="00DD5E64" w:rsidRDefault="00DD5E64" w:rsidP="002F691F">
            <w:pPr>
              <w:rPr>
                <w:bCs/>
              </w:rPr>
            </w:pPr>
            <w:r>
              <w:rPr>
                <w:bCs/>
              </w:rPr>
              <w:t>E1802</w:t>
            </w:r>
          </w:p>
        </w:tc>
        <w:tc>
          <w:tcPr>
            <w:tcW w:w="7454" w:type="dxa"/>
          </w:tcPr>
          <w:p w14:paraId="72056542" w14:textId="77777777" w:rsidR="00DD5E64" w:rsidRPr="00A86407" w:rsidRDefault="00DD5E64" w:rsidP="002F691F">
            <w:pPr>
              <w:rPr>
                <w:shd w:val="clear" w:color="auto" w:fill="FFFFFF"/>
              </w:rPr>
            </w:pPr>
            <w:r w:rsidRPr="00A86407">
              <w:rPr>
                <w:shd w:val="clear" w:color="auto" w:fill="FFFFFF"/>
              </w:rPr>
              <w:t xml:space="preserve">Dynamic adjustable forearm pronation/supination device, includes soft interface </w:t>
            </w:r>
          </w:p>
        </w:tc>
      </w:tr>
      <w:tr w:rsidR="00A47406" w:rsidRPr="00CB0B2C" w14:paraId="7EC343E0" w14:textId="77777777" w:rsidTr="002F691F">
        <w:tc>
          <w:tcPr>
            <w:tcW w:w="1470" w:type="dxa"/>
          </w:tcPr>
          <w:p w14:paraId="065B45AA" w14:textId="054EF08A" w:rsidR="00A47406" w:rsidRDefault="00A47406" w:rsidP="002F691F">
            <w:pPr>
              <w:rPr>
                <w:bCs/>
              </w:rPr>
            </w:pPr>
            <w:r w:rsidRPr="00A47406">
              <w:rPr>
                <w:bCs/>
              </w:rPr>
              <w:t>E1803</w:t>
            </w:r>
          </w:p>
        </w:tc>
        <w:tc>
          <w:tcPr>
            <w:tcW w:w="7454" w:type="dxa"/>
          </w:tcPr>
          <w:p w14:paraId="768C486C" w14:textId="1F76ABDC" w:rsidR="00A47406" w:rsidRPr="00A86407" w:rsidRDefault="00A47406" w:rsidP="002F691F">
            <w:pPr>
              <w:rPr>
                <w:shd w:val="clear" w:color="auto" w:fill="FFFFFF"/>
              </w:rPr>
            </w:pPr>
            <w:r w:rsidRPr="00A47406">
              <w:rPr>
                <w:shd w:val="clear" w:color="auto" w:fill="FFFFFF"/>
              </w:rPr>
              <w:t>Dynamic adjustable elbow extension only device, includes soft interface material</w:t>
            </w:r>
          </w:p>
        </w:tc>
      </w:tr>
      <w:tr w:rsidR="00A47406" w:rsidRPr="00CB0B2C" w14:paraId="553FC7EE" w14:textId="77777777" w:rsidTr="002F691F">
        <w:tc>
          <w:tcPr>
            <w:tcW w:w="1470" w:type="dxa"/>
          </w:tcPr>
          <w:p w14:paraId="29FC37EC" w14:textId="2C32D923" w:rsidR="00A47406" w:rsidRDefault="00A47406" w:rsidP="002F691F">
            <w:pPr>
              <w:rPr>
                <w:bCs/>
              </w:rPr>
            </w:pPr>
            <w:r w:rsidRPr="00A47406">
              <w:rPr>
                <w:bCs/>
              </w:rPr>
              <w:t>E1804</w:t>
            </w:r>
          </w:p>
        </w:tc>
        <w:tc>
          <w:tcPr>
            <w:tcW w:w="7454" w:type="dxa"/>
          </w:tcPr>
          <w:p w14:paraId="4BFA1D38" w14:textId="65330C7D" w:rsidR="00A47406" w:rsidRPr="00A86407" w:rsidRDefault="00A47406" w:rsidP="002F691F">
            <w:pPr>
              <w:rPr>
                <w:shd w:val="clear" w:color="auto" w:fill="FFFFFF"/>
              </w:rPr>
            </w:pPr>
            <w:r w:rsidRPr="00A47406">
              <w:rPr>
                <w:shd w:val="clear" w:color="auto" w:fill="FFFFFF"/>
              </w:rPr>
              <w:t>Dynamic adjustable elbow flexion only device, includes soft interface material</w:t>
            </w:r>
          </w:p>
        </w:tc>
      </w:tr>
      <w:tr w:rsidR="00DD5E64" w:rsidRPr="00CB0B2C" w14:paraId="200E480C" w14:textId="77777777" w:rsidTr="002F691F">
        <w:tc>
          <w:tcPr>
            <w:tcW w:w="1470" w:type="dxa"/>
          </w:tcPr>
          <w:p w14:paraId="34158287" w14:textId="77777777" w:rsidR="00DD5E64" w:rsidRPr="003F087D" w:rsidRDefault="00DD5E64" w:rsidP="002F691F">
            <w:pPr>
              <w:rPr>
                <w:shd w:val="clear" w:color="auto" w:fill="FFFFFF"/>
              </w:rPr>
            </w:pPr>
            <w:r w:rsidRPr="003F087D">
              <w:rPr>
                <w:shd w:val="clear" w:color="auto" w:fill="FFFFFF"/>
              </w:rPr>
              <w:t>E1805</w:t>
            </w:r>
          </w:p>
        </w:tc>
        <w:tc>
          <w:tcPr>
            <w:tcW w:w="7454" w:type="dxa"/>
          </w:tcPr>
          <w:p w14:paraId="383D3B07" w14:textId="77777777" w:rsidR="00DD5E64" w:rsidRPr="00CB0B2C" w:rsidRDefault="00DD5E64" w:rsidP="002F691F">
            <w:pPr>
              <w:rPr>
                <w:shd w:val="clear" w:color="auto" w:fill="FFFFFF"/>
              </w:rPr>
            </w:pPr>
            <w:r w:rsidRPr="003F087D">
              <w:rPr>
                <w:shd w:val="clear" w:color="auto" w:fill="FFFFFF"/>
              </w:rPr>
              <w:t xml:space="preserve">Dynamic adjustable wrist extension/flexion device, includes soft interface material </w:t>
            </w:r>
          </w:p>
        </w:tc>
      </w:tr>
      <w:tr w:rsidR="00A47406" w:rsidRPr="00CB0B2C" w14:paraId="6D7F5F14" w14:textId="77777777" w:rsidTr="002F691F">
        <w:tc>
          <w:tcPr>
            <w:tcW w:w="1470" w:type="dxa"/>
          </w:tcPr>
          <w:p w14:paraId="359301A7" w14:textId="5D2D2D9E" w:rsidR="00A47406" w:rsidRPr="003F087D" w:rsidRDefault="00A47406" w:rsidP="00A47406">
            <w:pPr>
              <w:rPr>
                <w:shd w:val="clear" w:color="auto" w:fill="FFFFFF"/>
              </w:rPr>
            </w:pPr>
            <w:r w:rsidRPr="000D5D4F">
              <w:t>E1807</w:t>
            </w:r>
          </w:p>
        </w:tc>
        <w:tc>
          <w:tcPr>
            <w:tcW w:w="7454" w:type="dxa"/>
          </w:tcPr>
          <w:p w14:paraId="63B3382F" w14:textId="155B6D11" w:rsidR="00A47406" w:rsidRPr="003F087D" w:rsidRDefault="00A47406" w:rsidP="00A47406">
            <w:pPr>
              <w:rPr>
                <w:shd w:val="clear" w:color="auto" w:fill="FFFFFF"/>
              </w:rPr>
            </w:pPr>
            <w:r w:rsidRPr="00A47406">
              <w:t>Dynamic adjustable wrist extension only device, includes soft interface material</w:t>
            </w:r>
          </w:p>
        </w:tc>
      </w:tr>
      <w:tr w:rsidR="00A47406" w:rsidRPr="00CB0B2C" w14:paraId="21E0D58E" w14:textId="77777777" w:rsidTr="002F691F">
        <w:tc>
          <w:tcPr>
            <w:tcW w:w="1470" w:type="dxa"/>
          </w:tcPr>
          <w:p w14:paraId="2389B0DC" w14:textId="60511925" w:rsidR="00A47406" w:rsidRPr="0010672C" w:rsidRDefault="00A47406" w:rsidP="0010672C">
            <w:pPr>
              <w:rPr>
                <w:shd w:val="clear" w:color="auto" w:fill="FFFFFF"/>
              </w:rPr>
            </w:pPr>
            <w:r>
              <w:rPr>
                <w:shd w:val="clear" w:color="auto" w:fill="FFFFFF"/>
              </w:rPr>
              <w:t>E1808</w:t>
            </w:r>
          </w:p>
        </w:tc>
        <w:tc>
          <w:tcPr>
            <w:tcW w:w="7454" w:type="dxa"/>
          </w:tcPr>
          <w:p w14:paraId="7452A715" w14:textId="4E4D20FF" w:rsidR="00A47406" w:rsidRPr="003F087D" w:rsidRDefault="00A47406" w:rsidP="0010672C">
            <w:pPr>
              <w:rPr>
                <w:shd w:val="clear" w:color="auto" w:fill="FFFFFF"/>
              </w:rPr>
            </w:pPr>
            <w:r w:rsidRPr="00A47406">
              <w:rPr>
                <w:shd w:val="clear" w:color="auto" w:fill="FFFFFF"/>
              </w:rPr>
              <w:t>Dynamic adjustable wrist flexion only device, includes soft interface material</w:t>
            </w:r>
          </w:p>
        </w:tc>
      </w:tr>
      <w:tr w:rsidR="0010672C" w:rsidRPr="00CB0B2C" w14:paraId="55DFB26C" w14:textId="77777777" w:rsidTr="002F691F">
        <w:tc>
          <w:tcPr>
            <w:tcW w:w="1470" w:type="dxa"/>
          </w:tcPr>
          <w:p w14:paraId="5EEEB94B" w14:textId="77777777" w:rsidR="0010672C" w:rsidRPr="0010672C" w:rsidDel="00DD5E64" w:rsidRDefault="0010672C" w:rsidP="0010672C">
            <w:pPr>
              <w:rPr>
                <w:shd w:val="clear" w:color="auto" w:fill="FFFFFF"/>
              </w:rPr>
            </w:pPr>
            <w:r w:rsidRPr="0010672C">
              <w:rPr>
                <w:shd w:val="clear" w:color="auto" w:fill="FFFFFF"/>
              </w:rPr>
              <w:t>E1810</w:t>
            </w:r>
          </w:p>
        </w:tc>
        <w:tc>
          <w:tcPr>
            <w:tcW w:w="7454" w:type="dxa"/>
          </w:tcPr>
          <w:p w14:paraId="07475049" w14:textId="77777777" w:rsidR="0010672C" w:rsidRPr="003F087D" w:rsidRDefault="0010672C" w:rsidP="0010672C">
            <w:pPr>
              <w:rPr>
                <w:shd w:val="clear" w:color="auto" w:fill="FFFFFF"/>
              </w:rPr>
            </w:pPr>
            <w:r w:rsidRPr="003F087D">
              <w:rPr>
                <w:shd w:val="clear" w:color="auto" w:fill="FFFFFF"/>
              </w:rPr>
              <w:t xml:space="preserve">Dynamic adjustable knee extension/flexion device, includes soft interface material </w:t>
            </w:r>
          </w:p>
        </w:tc>
      </w:tr>
      <w:tr w:rsidR="0010672C" w:rsidRPr="00CB0B2C" w14:paraId="52156353" w14:textId="77777777" w:rsidTr="002F691F">
        <w:tc>
          <w:tcPr>
            <w:tcW w:w="1470" w:type="dxa"/>
          </w:tcPr>
          <w:p w14:paraId="01CCB207" w14:textId="77777777" w:rsidR="0010672C" w:rsidRPr="003F087D" w:rsidRDefault="0010672C" w:rsidP="0010672C">
            <w:pPr>
              <w:rPr>
                <w:shd w:val="clear" w:color="auto" w:fill="FFFFFF"/>
              </w:rPr>
            </w:pPr>
            <w:r w:rsidRPr="003F087D">
              <w:rPr>
                <w:shd w:val="clear" w:color="auto" w:fill="FFFFFF"/>
              </w:rPr>
              <w:t>E1812</w:t>
            </w:r>
          </w:p>
        </w:tc>
        <w:tc>
          <w:tcPr>
            <w:tcW w:w="7454" w:type="dxa"/>
          </w:tcPr>
          <w:p w14:paraId="24D67363" w14:textId="77777777" w:rsidR="0010672C" w:rsidRPr="00CB0B2C" w:rsidRDefault="0010672C" w:rsidP="0010672C">
            <w:pPr>
              <w:rPr>
                <w:shd w:val="clear" w:color="auto" w:fill="FFFFFF"/>
              </w:rPr>
            </w:pPr>
            <w:r w:rsidRPr="003F087D">
              <w:rPr>
                <w:shd w:val="clear" w:color="auto" w:fill="FFFFFF"/>
              </w:rPr>
              <w:t>Dynamic knee, extension/flexion device with active resistance control</w:t>
            </w:r>
          </w:p>
        </w:tc>
      </w:tr>
      <w:tr w:rsidR="00A47406" w:rsidRPr="00CB0B2C" w14:paraId="539807D1" w14:textId="77777777" w:rsidTr="002F691F">
        <w:tc>
          <w:tcPr>
            <w:tcW w:w="1470" w:type="dxa"/>
          </w:tcPr>
          <w:p w14:paraId="31B50A52" w14:textId="7D4AB9EC" w:rsidR="00A47406" w:rsidRPr="003F087D" w:rsidRDefault="00A47406" w:rsidP="0010672C">
            <w:pPr>
              <w:rPr>
                <w:shd w:val="clear" w:color="auto" w:fill="FFFFFF"/>
              </w:rPr>
            </w:pPr>
            <w:r w:rsidRPr="00A47406">
              <w:rPr>
                <w:shd w:val="clear" w:color="auto" w:fill="FFFFFF"/>
              </w:rPr>
              <w:t>E1813</w:t>
            </w:r>
          </w:p>
        </w:tc>
        <w:tc>
          <w:tcPr>
            <w:tcW w:w="7454" w:type="dxa"/>
          </w:tcPr>
          <w:p w14:paraId="0959C2EF" w14:textId="36F0E90E" w:rsidR="00A47406" w:rsidRPr="003F087D" w:rsidRDefault="00A47406" w:rsidP="0010672C">
            <w:pPr>
              <w:rPr>
                <w:shd w:val="clear" w:color="auto" w:fill="FFFFFF"/>
              </w:rPr>
            </w:pPr>
            <w:r w:rsidRPr="00A47406">
              <w:rPr>
                <w:shd w:val="clear" w:color="auto" w:fill="FFFFFF"/>
              </w:rPr>
              <w:t>Dynamic adjustable knee extension only device, includes soft interface material</w:t>
            </w:r>
          </w:p>
        </w:tc>
      </w:tr>
      <w:tr w:rsidR="00A47406" w:rsidRPr="00CB0B2C" w14:paraId="16A5F9E7" w14:textId="77777777" w:rsidTr="002F691F">
        <w:tc>
          <w:tcPr>
            <w:tcW w:w="1470" w:type="dxa"/>
          </w:tcPr>
          <w:p w14:paraId="0F60DF7D" w14:textId="7EB76AF6" w:rsidR="00A47406" w:rsidRPr="003F087D" w:rsidRDefault="00A47406" w:rsidP="0010672C">
            <w:pPr>
              <w:rPr>
                <w:shd w:val="clear" w:color="auto" w:fill="FFFFFF"/>
              </w:rPr>
            </w:pPr>
            <w:r w:rsidRPr="00A47406">
              <w:rPr>
                <w:shd w:val="clear" w:color="auto" w:fill="FFFFFF"/>
              </w:rPr>
              <w:t>E1814</w:t>
            </w:r>
          </w:p>
        </w:tc>
        <w:tc>
          <w:tcPr>
            <w:tcW w:w="7454" w:type="dxa"/>
          </w:tcPr>
          <w:p w14:paraId="126A64B4" w14:textId="2E8BB039" w:rsidR="00A47406" w:rsidRPr="003F087D" w:rsidRDefault="00A47406" w:rsidP="0010672C">
            <w:pPr>
              <w:rPr>
                <w:shd w:val="clear" w:color="auto" w:fill="FFFFFF"/>
              </w:rPr>
            </w:pPr>
            <w:r w:rsidRPr="00A47406">
              <w:rPr>
                <w:shd w:val="clear" w:color="auto" w:fill="FFFFFF"/>
              </w:rPr>
              <w:t>Dynamic adjustable knee flexion only device, includes soft interface material</w:t>
            </w:r>
          </w:p>
        </w:tc>
      </w:tr>
      <w:tr w:rsidR="00A47406" w:rsidRPr="00CB0B2C" w14:paraId="34DCB044" w14:textId="77777777" w:rsidTr="002F691F">
        <w:tc>
          <w:tcPr>
            <w:tcW w:w="1470" w:type="dxa"/>
          </w:tcPr>
          <w:p w14:paraId="19F6A888" w14:textId="01C8FDD4" w:rsidR="00A47406" w:rsidRPr="003F087D" w:rsidRDefault="00A47406" w:rsidP="00A47406">
            <w:pPr>
              <w:rPr>
                <w:shd w:val="clear" w:color="auto" w:fill="FFFFFF"/>
              </w:rPr>
            </w:pPr>
            <w:r w:rsidRPr="00CB0B2C">
              <w:rPr>
                <w:bCs/>
              </w:rPr>
              <w:t>E1815</w:t>
            </w:r>
          </w:p>
        </w:tc>
        <w:tc>
          <w:tcPr>
            <w:tcW w:w="7454" w:type="dxa"/>
          </w:tcPr>
          <w:p w14:paraId="26AC238D" w14:textId="258B444C" w:rsidR="00A47406" w:rsidRPr="003F087D" w:rsidRDefault="00A47406" w:rsidP="00A47406">
            <w:pPr>
              <w:rPr>
                <w:shd w:val="clear" w:color="auto" w:fill="FFFFFF"/>
              </w:rPr>
            </w:pPr>
            <w:r w:rsidRPr="00CB0B2C">
              <w:rPr>
                <w:shd w:val="clear" w:color="auto" w:fill="FFFFFF"/>
              </w:rPr>
              <w:t>Dynamic adjustable ankle extension/flexion device, includes soft interface material</w:t>
            </w:r>
            <w:r>
              <w:t xml:space="preserve"> </w:t>
            </w:r>
          </w:p>
        </w:tc>
      </w:tr>
      <w:tr w:rsidR="00A47406" w:rsidRPr="00CB0B2C" w14:paraId="549EC1B0" w14:textId="77777777" w:rsidTr="002F691F">
        <w:tc>
          <w:tcPr>
            <w:tcW w:w="1470" w:type="dxa"/>
          </w:tcPr>
          <w:p w14:paraId="088D27F4" w14:textId="6FEA3AE6" w:rsidR="00A47406" w:rsidRPr="00CB0B2C" w:rsidRDefault="002A335B" w:rsidP="00A47406">
            <w:pPr>
              <w:rPr>
                <w:bCs/>
              </w:rPr>
            </w:pPr>
            <w:r w:rsidRPr="002A335B">
              <w:rPr>
                <w:bCs/>
              </w:rPr>
              <w:t>E1822</w:t>
            </w:r>
          </w:p>
        </w:tc>
        <w:tc>
          <w:tcPr>
            <w:tcW w:w="7454" w:type="dxa"/>
          </w:tcPr>
          <w:p w14:paraId="2A4282C0" w14:textId="35C76320" w:rsidR="00A47406" w:rsidRPr="00CB0B2C" w:rsidRDefault="002A335B" w:rsidP="00A47406">
            <w:pPr>
              <w:rPr>
                <w:shd w:val="clear" w:color="auto" w:fill="FFFFFF"/>
              </w:rPr>
            </w:pPr>
            <w:r w:rsidRPr="002A335B">
              <w:rPr>
                <w:shd w:val="clear" w:color="auto" w:fill="FFFFFF"/>
              </w:rPr>
              <w:t>Dynamic adjustable ankle extension only device, includes soft interface material</w:t>
            </w:r>
          </w:p>
        </w:tc>
      </w:tr>
      <w:tr w:rsidR="00A47406" w:rsidRPr="00CB0B2C" w14:paraId="1FC56DCB" w14:textId="77777777" w:rsidTr="002F691F">
        <w:tc>
          <w:tcPr>
            <w:tcW w:w="1470" w:type="dxa"/>
          </w:tcPr>
          <w:p w14:paraId="3D667A97" w14:textId="61777B64" w:rsidR="00A47406" w:rsidRPr="00CB0B2C" w:rsidRDefault="002A335B" w:rsidP="00A47406">
            <w:pPr>
              <w:rPr>
                <w:bCs/>
              </w:rPr>
            </w:pPr>
            <w:r w:rsidRPr="002A335B">
              <w:rPr>
                <w:bCs/>
              </w:rPr>
              <w:t>E182</w:t>
            </w:r>
            <w:r>
              <w:rPr>
                <w:bCs/>
              </w:rPr>
              <w:t>3</w:t>
            </w:r>
          </w:p>
        </w:tc>
        <w:tc>
          <w:tcPr>
            <w:tcW w:w="7454" w:type="dxa"/>
          </w:tcPr>
          <w:p w14:paraId="1F79D3F7" w14:textId="39B77A1C" w:rsidR="00A47406" w:rsidRPr="00CB0B2C" w:rsidRDefault="002A335B" w:rsidP="00A47406">
            <w:pPr>
              <w:rPr>
                <w:shd w:val="clear" w:color="auto" w:fill="FFFFFF"/>
              </w:rPr>
            </w:pPr>
            <w:r w:rsidRPr="002A335B">
              <w:rPr>
                <w:shd w:val="clear" w:color="auto" w:fill="FFFFFF"/>
              </w:rPr>
              <w:t>Dynamic adjustable ankle flexion only device, includes soft interface material</w:t>
            </w:r>
          </w:p>
        </w:tc>
      </w:tr>
      <w:tr w:rsidR="00A47406" w:rsidRPr="00CB0B2C" w14:paraId="2E230557" w14:textId="77777777" w:rsidTr="002F691F">
        <w:tc>
          <w:tcPr>
            <w:tcW w:w="1470" w:type="dxa"/>
          </w:tcPr>
          <w:p w14:paraId="19904723" w14:textId="77777777" w:rsidR="00A47406" w:rsidRPr="003F087D" w:rsidRDefault="00A47406" w:rsidP="00A47406">
            <w:pPr>
              <w:rPr>
                <w:shd w:val="clear" w:color="auto" w:fill="FFFFFF"/>
              </w:rPr>
            </w:pPr>
            <w:r w:rsidRPr="003F087D">
              <w:rPr>
                <w:shd w:val="clear" w:color="auto" w:fill="FFFFFF"/>
              </w:rPr>
              <w:t>E1825</w:t>
            </w:r>
          </w:p>
        </w:tc>
        <w:tc>
          <w:tcPr>
            <w:tcW w:w="7454" w:type="dxa"/>
          </w:tcPr>
          <w:p w14:paraId="4F05D757" w14:textId="77777777" w:rsidR="00A47406" w:rsidRPr="00CB0B2C" w:rsidRDefault="00A47406" w:rsidP="00A47406">
            <w:pPr>
              <w:rPr>
                <w:shd w:val="clear" w:color="auto" w:fill="FFFFFF"/>
              </w:rPr>
            </w:pPr>
            <w:r w:rsidRPr="003F087D">
              <w:rPr>
                <w:shd w:val="clear" w:color="auto" w:fill="FFFFFF"/>
              </w:rPr>
              <w:t>Dynamic adjustable finger extension/flexion device, includes soft interface material</w:t>
            </w:r>
          </w:p>
        </w:tc>
      </w:tr>
      <w:tr w:rsidR="002A335B" w:rsidRPr="00CB0B2C" w14:paraId="591F0AEC" w14:textId="77777777" w:rsidTr="002F691F">
        <w:tc>
          <w:tcPr>
            <w:tcW w:w="1470" w:type="dxa"/>
          </w:tcPr>
          <w:p w14:paraId="34E64638" w14:textId="0245B989" w:rsidR="002A335B" w:rsidRPr="003F087D" w:rsidRDefault="002A335B" w:rsidP="002A335B">
            <w:pPr>
              <w:rPr>
                <w:shd w:val="clear" w:color="auto" w:fill="FFFFFF"/>
              </w:rPr>
            </w:pPr>
            <w:r w:rsidRPr="00807F57">
              <w:t>E1826</w:t>
            </w:r>
          </w:p>
        </w:tc>
        <w:tc>
          <w:tcPr>
            <w:tcW w:w="7454" w:type="dxa"/>
          </w:tcPr>
          <w:p w14:paraId="01208F1D" w14:textId="64B789FF" w:rsidR="002A335B" w:rsidRPr="003F087D" w:rsidRDefault="002A335B" w:rsidP="002A335B">
            <w:pPr>
              <w:rPr>
                <w:shd w:val="clear" w:color="auto" w:fill="FFFFFF"/>
              </w:rPr>
            </w:pPr>
            <w:r w:rsidRPr="002A335B">
              <w:rPr>
                <w:shd w:val="clear" w:color="auto" w:fill="FFFFFF"/>
              </w:rPr>
              <w:t>Dynamic adjustable finger extension only device, includes soft interface material</w:t>
            </w:r>
          </w:p>
        </w:tc>
      </w:tr>
      <w:tr w:rsidR="002A335B" w:rsidRPr="00CB0B2C" w14:paraId="0D9C871F" w14:textId="77777777" w:rsidTr="002F691F">
        <w:tc>
          <w:tcPr>
            <w:tcW w:w="1470" w:type="dxa"/>
          </w:tcPr>
          <w:p w14:paraId="33ABB3D7" w14:textId="6CEECC58" w:rsidR="002A335B" w:rsidRPr="003F087D" w:rsidRDefault="002A335B" w:rsidP="002A335B">
            <w:pPr>
              <w:rPr>
                <w:shd w:val="clear" w:color="auto" w:fill="FFFFFF"/>
              </w:rPr>
            </w:pPr>
            <w:r w:rsidRPr="00807F57">
              <w:t>E182</w:t>
            </w:r>
            <w:r>
              <w:t>7</w:t>
            </w:r>
          </w:p>
        </w:tc>
        <w:tc>
          <w:tcPr>
            <w:tcW w:w="7454" w:type="dxa"/>
          </w:tcPr>
          <w:p w14:paraId="5D1F1CB1" w14:textId="690F88CA" w:rsidR="002A335B" w:rsidRPr="003F087D" w:rsidRDefault="002A335B" w:rsidP="002A335B">
            <w:pPr>
              <w:rPr>
                <w:shd w:val="clear" w:color="auto" w:fill="FFFFFF"/>
              </w:rPr>
            </w:pPr>
            <w:r w:rsidRPr="002A335B">
              <w:rPr>
                <w:shd w:val="clear" w:color="auto" w:fill="FFFFFF"/>
              </w:rPr>
              <w:t>Dynamic adjustable finger flexion only device, includes soft interface material</w:t>
            </w:r>
          </w:p>
        </w:tc>
      </w:tr>
    </w:tbl>
    <w:p w14:paraId="17190ECB" w14:textId="36DAC90F" w:rsidR="00171801" w:rsidRDefault="00171801" w:rsidP="00AF5490"/>
    <w:p w14:paraId="02601A79" w14:textId="4091F93E" w:rsidR="0010672C" w:rsidRDefault="0010672C" w:rsidP="00AF5490">
      <w:pPr>
        <w:rPr>
          <w:b/>
        </w:rPr>
      </w:pPr>
      <w:r w:rsidRPr="0010672C">
        <w:rPr>
          <w:b/>
        </w:rPr>
        <w:t>HCPCS codes that do not support coverage criteria</w:t>
      </w:r>
    </w:p>
    <w:tbl>
      <w:tblPr>
        <w:tblW w:w="47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126"/>
        <w:gridCol w:w="7798"/>
      </w:tblGrid>
      <w:tr w:rsidR="0010672C" w:rsidRPr="00B777AF" w14:paraId="1417DDF7" w14:textId="77777777" w:rsidTr="00B65107">
        <w:trPr>
          <w:tblHeader/>
        </w:trPr>
        <w:tc>
          <w:tcPr>
            <w:tcW w:w="1126" w:type="dxa"/>
            <w:shd w:val="clear" w:color="auto" w:fill="00548C"/>
          </w:tcPr>
          <w:p w14:paraId="77130A20" w14:textId="77777777" w:rsidR="0010672C" w:rsidRPr="00504F03" w:rsidRDefault="0010672C" w:rsidP="00B65107">
            <w:pPr>
              <w:rPr>
                <w:b/>
                <w:bCs/>
                <w:color w:val="FFFFFF"/>
              </w:rPr>
            </w:pPr>
            <w:r w:rsidRPr="00504F03">
              <w:rPr>
                <w:b/>
                <w:color w:val="FFFFFF"/>
              </w:rPr>
              <w:t xml:space="preserve">HCPCS Codes </w:t>
            </w:r>
          </w:p>
        </w:tc>
        <w:tc>
          <w:tcPr>
            <w:tcW w:w="7798" w:type="dxa"/>
            <w:shd w:val="clear" w:color="auto" w:fill="00548C"/>
          </w:tcPr>
          <w:p w14:paraId="307859C0" w14:textId="77777777" w:rsidR="0010672C" w:rsidRPr="00504F03" w:rsidRDefault="0010672C" w:rsidP="00B65107">
            <w:pPr>
              <w:rPr>
                <w:b/>
                <w:bCs/>
                <w:color w:val="FFFFFF"/>
              </w:rPr>
            </w:pPr>
            <w:r w:rsidRPr="00504F03">
              <w:rPr>
                <w:b/>
                <w:color w:val="FFFFFF"/>
              </w:rPr>
              <w:t>Description</w:t>
            </w:r>
          </w:p>
        </w:tc>
      </w:tr>
      <w:tr w:rsidR="0010672C" w:rsidRPr="00CB0B2C" w14:paraId="3A295D64" w14:textId="77777777" w:rsidTr="00B65107">
        <w:tc>
          <w:tcPr>
            <w:tcW w:w="1126" w:type="dxa"/>
          </w:tcPr>
          <w:p w14:paraId="72AAFD95" w14:textId="77777777" w:rsidR="0010672C" w:rsidRPr="00CB0B2C" w:rsidRDefault="0010672C" w:rsidP="00B65107">
            <w:pPr>
              <w:rPr>
                <w:bCs/>
              </w:rPr>
            </w:pPr>
            <w:r>
              <w:rPr>
                <w:bCs/>
              </w:rPr>
              <w:t>E1399</w:t>
            </w:r>
          </w:p>
        </w:tc>
        <w:tc>
          <w:tcPr>
            <w:tcW w:w="7798" w:type="dxa"/>
          </w:tcPr>
          <w:p w14:paraId="24CF2774" w14:textId="77777777" w:rsidR="0010672C" w:rsidRPr="00CB0B2C" w:rsidRDefault="0010672C" w:rsidP="00B65107">
            <w:pPr>
              <w:rPr>
                <w:shd w:val="clear" w:color="auto" w:fill="FFFFFF"/>
              </w:rPr>
            </w:pPr>
            <w:r w:rsidRPr="00A858B1">
              <w:rPr>
                <w:shd w:val="clear" w:color="auto" w:fill="FFFFFF"/>
              </w:rPr>
              <w:t>Durable medical equipment, miscellaneous</w:t>
            </w:r>
          </w:p>
        </w:tc>
      </w:tr>
      <w:tr w:rsidR="00D27BF5" w:rsidRPr="00CB0B2C" w14:paraId="78EBB9A9" w14:textId="77777777" w:rsidTr="00B65107">
        <w:tc>
          <w:tcPr>
            <w:tcW w:w="1126" w:type="dxa"/>
          </w:tcPr>
          <w:p w14:paraId="61425CA1" w14:textId="778A4E91" w:rsidR="00D27BF5" w:rsidRPr="000E5D2F" w:rsidRDefault="00D27BF5" w:rsidP="00B65107">
            <w:pPr>
              <w:rPr>
                <w:bCs/>
              </w:rPr>
            </w:pPr>
            <w:r w:rsidRPr="000E5D2F">
              <w:rPr>
                <w:bCs/>
              </w:rPr>
              <w:t>E1801</w:t>
            </w:r>
          </w:p>
        </w:tc>
        <w:tc>
          <w:tcPr>
            <w:tcW w:w="7798" w:type="dxa"/>
          </w:tcPr>
          <w:p w14:paraId="49E88965" w14:textId="00DBAE92" w:rsidR="00D27BF5" w:rsidRPr="000E5D2F" w:rsidRDefault="003F68F8" w:rsidP="00B65107">
            <w:pPr>
              <w:rPr>
                <w:shd w:val="clear" w:color="auto" w:fill="FFFFFF"/>
              </w:rPr>
            </w:pPr>
            <w:r w:rsidRPr="000E5D2F">
              <w:rPr>
                <w:shd w:val="clear" w:color="auto" w:fill="FFFFFF"/>
              </w:rPr>
              <w:t>Static progressive stretch elbow device, extension and/or flexion, with or without range of motion adjustment, includes all components and accessories</w:t>
            </w:r>
          </w:p>
        </w:tc>
      </w:tr>
      <w:tr w:rsidR="00D27BF5" w:rsidRPr="00CB0B2C" w14:paraId="6D28DE33" w14:textId="77777777" w:rsidTr="00B65107">
        <w:tc>
          <w:tcPr>
            <w:tcW w:w="1126" w:type="dxa"/>
          </w:tcPr>
          <w:p w14:paraId="3F30CAD3" w14:textId="6BE852ED" w:rsidR="00D27BF5" w:rsidRDefault="00D27BF5" w:rsidP="00D27BF5">
            <w:pPr>
              <w:rPr>
                <w:bCs/>
              </w:rPr>
            </w:pPr>
            <w:r w:rsidRPr="0010672C">
              <w:rPr>
                <w:bCs/>
              </w:rPr>
              <w:t>E1806</w:t>
            </w:r>
          </w:p>
        </w:tc>
        <w:tc>
          <w:tcPr>
            <w:tcW w:w="7798" w:type="dxa"/>
          </w:tcPr>
          <w:p w14:paraId="4DE1DEB0" w14:textId="4AC24AB4" w:rsidR="00D27BF5" w:rsidRPr="00A858B1" w:rsidRDefault="00D27BF5" w:rsidP="00D27BF5">
            <w:pPr>
              <w:rPr>
                <w:shd w:val="clear" w:color="auto" w:fill="FFFFFF"/>
              </w:rPr>
            </w:pPr>
            <w:r w:rsidRPr="00CB0B2C">
              <w:rPr>
                <w:shd w:val="clear" w:color="auto" w:fill="FFFFFF"/>
              </w:rPr>
              <w:t>Static progressive stretch wrist device, flexion and/or extension, with or without range of motion adjustment, includes all components and accessories</w:t>
            </w:r>
          </w:p>
        </w:tc>
      </w:tr>
      <w:tr w:rsidR="00D27BF5" w:rsidRPr="00CB0B2C" w14:paraId="17403FF6" w14:textId="77777777" w:rsidTr="00B65107">
        <w:tc>
          <w:tcPr>
            <w:tcW w:w="1126" w:type="dxa"/>
          </w:tcPr>
          <w:p w14:paraId="6A3CF170" w14:textId="7EF2C930" w:rsidR="00D27BF5" w:rsidRDefault="00D27BF5" w:rsidP="00D27BF5">
            <w:pPr>
              <w:rPr>
                <w:bCs/>
              </w:rPr>
            </w:pPr>
            <w:r w:rsidRPr="00CB0B2C">
              <w:rPr>
                <w:bCs/>
              </w:rPr>
              <w:lastRenderedPageBreak/>
              <w:t>E1811</w:t>
            </w:r>
          </w:p>
        </w:tc>
        <w:tc>
          <w:tcPr>
            <w:tcW w:w="7798" w:type="dxa"/>
          </w:tcPr>
          <w:p w14:paraId="3F075477" w14:textId="431D42A1" w:rsidR="00D27BF5" w:rsidRPr="00A858B1" w:rsidRDefault="00D27BF5" w:rsidP="00D27BF5">
            <w:pPr>
              <w:rPr>
                <w:shd w:val="clear" w:color="auto" w:fill="FFFFFF"/>
              </w:rPr>
            </w:pPr>
            <w:r w:rsidRPr="00CB0B2C">
              <w:rPr>
                <w:shd w:val="clear" w:color="auto" w:fill="FFFFFF"/>
              </w:rPr>
              <w:t>Static progressive stretch knee device, extension and/or flexion, with or without range of motion adjustment, includes all components and accessories</w:t>
            </w:r>
          </w:p>
        </w:tc>
      </w:tr>
      <w:tr w:rsidR="00D27BF5" w:rsidRPr="00CB0B2C" w14:paraId="6072A14D" w14:textId="77777777" w:rsidTr="00B65107">
        <w:tc>
          <w:tcPr>
            <w:tcW w:w="1126" w:type="dxa"/>
          </w:tcPr>
          <w:p w14:paraId="7CBA4825" w14:textId="77777777" w:rsidR="00D27BF5" w:rsidRPr="00CB0B2C" w:rsidRDefault="00D27BF5" w:rsidP="00D27BF5">
            <w:pPr>
              <w:rPr>
                <w:bCs/>
              </w:rPr>
            </w:pPr>
            <w:r w:rsidRPr="00CB0B2C">
              <w:rPr>
                <w:bCs/>
              </w:rPr>
              <w:t>E1816</w:t>
            </w:r>
          </w:p>
        </w:tc>
        <w:tc>
          <w:tcPr>
            <w:tcW w:w="7798" w:type="dxa"/>
          </w:tcPr>
          <w:p w14:paraId="116EBDC3" w14:textId="77777777" w:rsidR="00D27BF5" w:rsidRPr="00CB0B2C" w:rsidRDefault="00D27BF5" w:rsidP="00D27BF5">
            <w:pPr>
              <w:rPr>
                <w:shd w:val="clear" w:color="auto" w:fill="FFFFFF"/>
              </w:rPr>
            </w:pPr>
            <w:r w:rsidRPr="00CB0B2C">
              <w:rPr>
                <w:shd w:val="clear" w:color="auto" w:fill="FFFFFF"/>
              </w:rPr>
              <w:t>Static progressive stretch ankle device, flexion and/or extension, with or without range of motion adjustment, includes all components and accessories</w:t>
            </w:r>
          </w:p>
        </w:tc>
      </w:tr>
      <w:tr w:rsidR="00D27BF5" w:rsidRPr="00CB0B2C" w14:paraId="2A868EA0" w14:textId="77777777" w:rsidTr="00B65107">
        <w:tc>
          <w:tcPr>
            <w:tcW w:w="1126" w:type="dxa"/>
          </w:tcPr>
          <w:p w14:paraId="28A30168" w14:textId="77777777" w:rsidR="00D27BF5" w:rsidRPr="00CB0B2C" w:rsidRDefault="00D27BF5" w:rsidP="00D27BF5">
            <w:pPr>
              <w:rPr>
                <w:bCs/>
              </w:rPr>
            </w:pPr>
            <w:r w:rsidRPr="00CB0B2C">
              <w:rPr>
                <w:bCs/>
              </w:rPr>
              <w:t>E1818</w:t>
            </w:r>
          </w:p>
        </w:tc>
        <w:tc>
          <w:tcPr>
            <w:tcW w:w="7798" w:type="dxa"/>
          </w:tcPr>
          <w:p w14:paraId="1079C4FB" w14:textId="77777777" w:rsidR="00D27BF5" w:rsidRPr="00CB0B2C" w:rsidRDefault="00D27BF5" w:rsidP="00D27BF5">
            <w:pPr>
              <w:rPr>
                <w:shd w:val="clear" w:color="auto" w:fill="FFFFFF"/>
              </w:rPr>
            </w:pPr>
            <w:r w:rsidRPr="00CB0B2C">
              <w:rPr>
                <w:shd w:val="clear" w:color="auto" w:fill="FFFFFF"/>
              </w:rPr>
              <w:t>Static progressive stretch forearm pronation/supination device, with or without range of motion adjustment, includes all components and accessories</w:t>
            </w:r>
          </w:p>
        </w:tc>
      </w:tr>
      <w:tr w:rsidR="00D27BF5" w:rsidRPr="00CB0B2C" w14:paraId="3C6285DF" w14:textId="77777777" w:rsidTr="00B65107">
        <w:tc>
          <w:tcPr>
            <w:tcW w:w="1126" w:type="dxa"/>
          </w:tcPr>
          <w:p w14:paraId="071A67DF" w14:textId="77777777" w:rsidR="00D27BF5" w:rsidRPr="00CB0B2C" w:rsidRDefault="00D27BF5" w:rsidP="00D27BF5">
            <w:pPr>
              <w:rPr>
                <w:bCs/>
              </w:rPr>
            </w:pPr>
            <w:r w:rsidRPr="00CB0B2C">
              <w:rPr>
                <w:bCs/>
              </w:rPr>
              <w:t>E1830</w:t>
            </w:r>
          </w:p>
        </w:tc>
        <w:tc>
          <w:tcPr>
            <w:tcW w:w="7798" w:type="dxa"/>
          </w:tcPr>
          <w:p w14:paraId="1B0F7E07" w14:textId="77777777" w:rsidR="00D27BF5" w:rsidRPr="00CB0B2C" w:rsidRDefault="00D27BF5" w:rsidP="00D27BF5">
            <w:pPr>
              <w:rPr>
                <w:shd w:val="clear" w:color="auto" w:fill="FFFFFF"/>
              </w:rPr>
            </w:pPr>
            <w:r w:rsidRPr="00CB0B2C">
              <w:rPr>
                <w:shd w:val="clear" w:color="auto" w:fill="FFFFFF"/>
              </w:rPr>
              <w:t>Dynamic adjustable toe extension/flexion device, includes soft interface material</w:t>
            </w:r>
          </w:p>
        </w:tc>
      </w:tr>
      <w:tr w:rsidR="00D27BF5" w:rsidRPr="00CB0B2C" w14:paraId="2854214B" w14:textId="77777777" w:rsidTr="00B65107">
        <w:tc>
          <w:tcPr>
            <w:tcW w:w="1126" w:type="dxa"/>
          </w:tcPr>
          <w:p w14:paraId="2AB67FC0" w14:textId="77777777" w:rsidR="00D27BF5" w:rsidRPr="00CB0B2C" w:rsidRDefault="00D27BF5" w:rsidP="00D27BF5">
            <w:pPr>
              <w:rPr>
                <w:bCs/>
              </w:rPr>
            </w:pPr>
            <w:r w:rsidRPr="00CB0B2C">
              <w:rPr>
                <w:bCs/>
              </w:rPr>
              <w:t>E1831</w:t>
            </w:r>
          </w:p>
        </w:tc>
        <w:tc>
          <w:tcPr>
            <w:tcW w:w="7798" w:type="dxa"/>
          </w:tcPr>
          <w:p w14:paraId="364FA405" w14:textId="77777777" w:rsidR="00D27BF5" w:rsidRPr="00CB0B2C" w:rsidRDefault="00D27BF5" w:rsidP="00D27BF5">
            <w:pPr>
              <w:rPr>
                <w:shd w:val="clear" w:color="auto" w:fill="FFFFFF"/>
              </w:rPr>
            </w:pPr>
            <w:r w:rsidRPr="00CB0B2C">
              <w:rPr>
                <w:shd w:val="clear" w:color="auto" w:fill="FFFFFF"/>
              </w:rPr>
              <w:t>Static progressive stretch toe device, extension and/or flexion, with or without range of motion adjustment, includes all components and accessories</w:t>
            </w:r>
          </w:p>
        </w:tc>
      </w:tr>
      <w:tr w:rsidR="00D27BF5" w:rsidRPr="00CB0B2C" w14:paraId="44C5AE6D" w14:textId="77777777" w:rsidTr="00B65107">
        <w:tc>
          <w:tcPr>
            <w:tcW w:w="1126" w:type="dxa"/>
          </w:tcPr>
          <w:p w14:paraId="3E8E0D0B" w14:textId="77777777" w:rsidR="00D27BF5" w:rsidRPr="00CB0B2C" w:rsidRDefault="00D27BF5" w:rsidP="00D27BF5">
            <w:pPr>
              <w:rPr>
                <w:bCs/>
              </w:rPr>
            </w:pPr>
            <w:r w:rsidRPr="00CB0B2C">
              <w:rPr>
                <w:bCs/>
              </w:rPr>
              <w:t>E1840</w:t>
            </w:r>
          </w:p>
        </w:tc>
        <w:tc>
          <w:tcPr>
            <w:tcW w:w="7798" w:type="dxa"/>
          </w:tcPr>
          <w:p w14:paraId="6A972DD2" w14:textId="77777777" w:rsidR="00D27BF5" w:rsidRPr="00CB0B2C" w:rsidRDefault="00D27BF5" w:rsidP="00D27BF5">
            <w:pPr>
              <w:rPr>
                <w:shd w:val="clear" w:color="auto" w:fill="FFFFFF"/>
              </w:rPr>
            </w:pPr>
            <w:r w:rsidRPr="00CB0B2C">
              <w:rPr>
                <w:shd w:val="clear" w:color="auto" w:fill="FFFFFF"/>
              </w:rPr>
              <w:t>Dynamic adjustable shoulder flexion/abduction/rotation device, includes soft interface material</w:t>
            </w:r>
          </w:p>
        </w:tc>
      </w:tr>
      <w:tr w:rsidR="00D27BF5" w:rsidRPr="00CB0B2C" w14:paraId="450C243E" w14:textId="77777777" w:rsidTr="00B65107">
        <w:tc>
          <w:tcPr>
            <w:tcW w:w="1126" w:type="dxa"/>
          </w:tcPr>
          <w:p w14:paraId="6EC15CF8" w14:textId="77777777" w:rsidR="00D27BF5" w:rsidRPr="00CB0B2C" w:rsidRDefault="00D27BF5" w:rsidP="00D27BF5">
            <w:pPr>
              <w:rPr>
                <w:bCs/>
              </w:rPr>
            </w:pPr>
            <w:r w:rsidRPr="00CB0B2C">
              <w:rPr>
                <w:bCs/>
              </w:rPr>
              <w:t>E1841</w:t>
            </w:r>
          </w:p>
        </w:tc>
        <w:tc>
          <w:tcPr>
            <w:tcW w:w="7798" w:type="dxa"/>
          </w:tcPr>
          <w:p w14:paraId="0B1879FA" w14:textId="77777777" w:rsidR="00D27BF5" w:rsidRPr="00CB0B2C" w:rsidRDefault="00D27BF5" w:rsidP="00D27BF5">
            <w:pPr>
              <w:rPr>
                <w:shd w:val="clear" w:color="auto" w:fill="FFFFFF"/>
              </w:rPr>
            </w:pPr>
            <w:r w:rsidRPr="00CB0B2C">
              <w:rPr>
                <w:shd w:val="clear" w:color="auto" w:fill="FFFFFF"/>
              </w:rPr>
              <w:t>Static progressive stretch shoulder device, with or without range of motion adjustment, includes all components and accessories</w:t>
            </w:r>
          </w:p>
        </w:tc>
      </w:tr>
    </w:tbl>
    <w:p w14:paraId="7B5D46E0" w14:textId="77777777" w:rsidR="00C736BF" w:rsidRDefault="00C736BF"/>
    <w:tbl>
      <w:tblPr>
        <w:tblW w:w="4960"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620" w:firstRow="1" w:lastRow="0" w:firstColumn="0" w:lastColumn="0" w:noHBand="1" w:noVBand="1"/>
      </w:tblPr>
      <w:tblGrid>
        <w:gridCol w:w="6385"/>
        <w:gridCol w:w="1440"/>
        <w:gridCol w:w="1440"/>
      </w:tblGrid>
      <w:tr w:rsidR="00D810F2" w:rsidRPr="00B777AF" w14:paraId="3D6659C0" w14:textId="77777777" w:rsidTr="006C721D">
        <w:trPr>
          <w:tblHeader/>
        </w:trPr>
        <w:tc>
          <w:tcPr>
            <w:tcW w:w="6385" w:type="dxa"/>
            <w:tcBorders>
              <w:top w:val="single" w:sz="8" w:space="0" w:color="4F81BD"/>
            </w:tcBorders>
            <w:shd w:val="clear" w:color="auto" w:fill="00548C"/>
          </w:tcPr>
          <w:p w14:paraId="4474E6A0" w14:textId="77777777" w:rsidR="00171801" w:rsidRPr="00504F03" w:rsidRDefault="00171801" w:rsidP="00B777AF">
            <w:pPr>
              <w:rPr>
                <w:b/>
                <w:bCs/>
                <w:color w:val="FFFFFF"/>
              </w:rPr>
            </w:pPr>
            <w:bookmarkStart w:id="1" w:name="Revision_Log"/>
            <w:r w:rsidRPr="00504F03">
              <w:rPr>
                <w:b/>
                <w:color w:val="FFFFFF"/>
              </w:rPr>
              <w:t>Reviews, Revisions, and Approvals</w:t>
            </w:r>
            <w:bookmarkEnd w:id="1"/>
          </w:p>
        </w:tc>
        <w:tc>
          <w:tcPr>
            <w:tcW w:w="1440" w:type="dxa"/>
            <w:shd w:val="clear" w:color="auto" w:fill="00548C"/>
          </w:tcPr>
          <w:p w14:paraId="53C06DA7" w14:textId="2468AD39" w:rsidR="00171801" w:rsidRPr="00504F03" w:rsidRDefault="00E753A0" w:rsidP="00504F03">
            <w:pPr>
              <w:jc w:val="center"/>
              <w:rPr>
                <w:b/>
                <w:bCs/>
                <w:color w:val="FFFFFF"/>
              </w:rPr>
            </w:pPr>
            <w:r>
              <w:rPr>
                <w:b/>
                <w:color w:val="FFFFFF"/>
              </w:rPr>
              <w:t xml:space="preserve">Revision </w:t>
            </w:r>
            <w:r w:rsidR="00171801" w:rsidRPr="00504F03">
              <w:rPr>
                <w:b/>
                <w:color w:val="FFFFFF"/>
              </w:rPr>
              <w:t>Date</w:t>
            </w:r>
          </w:p>
        </w:tc>
        <w:tc>
          <w:tcPr>
            <w:tcW w:w="1440" w:type="dxa"/>
            <w:tcBorders>
              <w:top w:val="single" w:sz="8" w:space="0" w:color="4F81BD"/>
            </w:tcBorders>
            <w:shd w:val="clear" w:color="auto" w:fill="00548C"/>
          </w:tcPr>
          <w:p w14:paraId="183B7E3B" w14:textId="77777777" w:rsidR="00171801" w:rsidRPr="00504F03" w:rsidRDefault="00171801" w:rsidP="00504F03">
            <w:pPr>
              <w:jc w:val="center"/>
              <w:rPr>
                <w:b/>
                <w:bCs/>
                <w:color w:val="FFFFFF"/>
              </w:rPr>
            </w:pPr>
            <w:r w:rsidRPr="00504F03">
              <w:rPr>
                <w:b/>
                <w:color w:val="FFFFFF"/>
              </w:rPr>
              <w:t>Approval Date</w:t>
            </w:r>
          </w:p>
        </w:tc>
      </w:tr>
      <w:tr w:rsidR="00D810F2" w14:paraId="632D6176" w14:textId="77777777" w:rsidTr="006C721D">
        <w:tc>
          <w:tcPr>
            <w:tcW w:w="6385" w:type="dxa"/>
          </w:tcPr>
          <w:p w14:paraId="1A8DFD0F" w14:textId="29C73FA5" w:rsidR="00171801" w:rsidRDefault="002274CD" w:rsidP="00504F03">
            <w:pPr>
              <w:tabs>
                <w:tab w:val="num" w:pos="720"/>
              </w:tabs>
            </w:pPr>
            <w:r>
              <w:t>Policy developed</w:t>
            </w:r>
            <w:r w:rsidR="005B125A">
              <w:t>.</w:t>
            </w:r>
          </w:p>
        </w:tc>
        <w:tc>
          <w:tcPr>
            <w:tcW w:w="1440" w:type="dxa"/>
          </w:tcPr>
          <w:p w14:paraId="5431E7EA" w14:textId="77777777" w:rsidR="00171801" w:rsidRDefault="002274CD" w:rsidP="00504F03">
            <w:pPr>
              <w:jc w:val="center"/>
            </w:pPr>
            <w:r>
              <w:t>04/17</w:t>
            </w:r>
          </w:p>
        </w:tc>
        <w:tc>
          <w:tcPr>
            <w:tcW w:w="1440" w:type="dxa"/>
          </w:tcPr>
          <w:p w14:paraId="199AD014" w14:textId="77777777" w:rsidR="00171801" w:rsidRDefault="00662F93" w:rsidP="00504F03">
            <w:pPr>
              <w:jc w:val="center"/>
            </w:pPr>
            <w:r>
              <w:t>04/17</w:t>
            </w:r>
          </w:p>
        </w:tc>
      </w:tr>
      <w:tr w:rsidR="00D810F2" w14:paraId="5C9D5C5A" w14:textId="77777777" w:rsidTr="006C721D">
        <w:tc>
          <w:tcPr>
            <w:tcW w:w="6385" w:type="dxa"/>
          </w:tcPr>
          <w:p w14:paraId="569C5A86" w14:textId="6F89DB18" w:rsidR="007579BD" w:rsidRDefault="00A86407" w:rsidP="003F087D">
            <w:pPr>
              <w:tabs>
                <w:tab w:val="num" w:pos="720"/>
              </w:tabs>
            </w:pPr>
            <w:r>
              <w:t>Adapted</w:t>
            </w:r>
            <w:r w:rsidR="0037130B">
              <w:t xml:space="preserve"> criteria from WellCare’s Dynamic Stretching Devices for Treatment of Joint Stiffness and Contracture HS164. </w:t>
            </w:r>
            <w:r>
              <w:t>For LPSS, added knee, elbow, and wrist injuries as medically necessary indications.</w:t>
            </w:r>
            <w:r w:rsidR="00F171CC">
              <w:t xml:space="preserve"> Specified that criteria I.A-</w:t>
            </w:r>
            <w:proofErr w:type="gramStart"/>
            <w:r w:rsidR="00F171CC">
              <w:t>I.B</w:t>
            </w:r>
            <w:proofErr w:type="gramEnd"/>
            <w:r>
              <w:t xml:space="preserve"> be met</w:t>
            </w:r>
            <w:r w:rsidR="005E2B1B">
              <w:t xml:space="preserve"> for LPSS</w:t>
            </w:r>
            <w:r>
              <w:t xml:space="preserve">. </w:t>
            </w:r>
            <w:r w:rsidR="0037130B">
              <w:t xml:space="preserve">Removed indication of </w:t>
            </w:r>
            <w:r w:rsidR="0037130B" w:rsidRPr="0037130B">
              <w:t>members</w:t>
            </w:r>
            <w:r w:rsidR="0029517A">
              <w:t>/enrollees</w:t>
            </w:r>
            <w:r w:rsidR="0037130B" w:rsidRPr="0037130B">
              <w:t xml:space="preserve"> unable to benefit from standard physical therapy modalities because of inability to exercise</w:t>
            </w:r>
            <w:r>
              <w:t xml:space="preserve">, from original HS164 criteria. </w:t>
            </w:r>
            <w:r w:rsidR="005E2B1B">
              <w:t xml:space="preserve">Changed the not medically necessary statements regarding LPSS for other indications, PASS and SPS devices to experimental/investigational. </w:t>
            </w:r>
            <w:r w:rsidR="009F1830" w:rsidRPr="00AD2BD8">
              <w:t>Added the following HCPCS codes as supporting coverage criteria: E1800, E1802, E1805, E1810,</w:t>
            </w:r>
            <w:r w:rsidR="009F1830">
              <w:t xml:space="preserve"> E1812. Removed HCPCS table of codes not supporting medical necessity. Replaced existing ICD-10 codes with the following: </w:t>
            </w:r>
            <w:r w:rsidR="009F1830" w:rsidRPr="002F691F">
              <w:rPr>
                <w:shd w:val="clear" w:color="auto" w:fill="FFFFFF"/>
              </w:rPr>
              <w:t xml:space="preserve">M24.521 </w:t>
            </w:r>
            <w:r w:rsidR="00E753A0">
              <w:rPr>
                <w:shd w:val="clear" w:color="auto" w:fill="FFFFFF"/>
              </w:rPr>
              <w:t>–</w:t>
            </w:r>
            <w:r w:rsidR="009F1830" w:rsidRPr="002F691F">
              <w:rPr>
                <w:shd w:val="clear" w:color="auto" w:fill="FFFFFF"/>
              </w:rPr>
              <w:t xml:space="preserve"> M24.529</w:t>
            </w:r>
            <w:r w:rsidR="009F1830">
              <w:rPr>
                <w:shd w:val="clear" w:color="auto" w:fill="FFFFFF"/>
              </w:rPr>
              <w:t xml:space="preserve">, </w:t>
            </w:r>
            <w:r w:rsidR="009F1830" w:rsidRPr="002F691F">
              <w:rPr>
                <w:shd w:val="clear" w:color="auto" w:fill="FFFFFF"/>
              </w:rPr>
              <w:t xml:space="preserve">M24.531 </w:t>
            </w:r>
            <w:r w:rsidR="00E753A0">
              <w:rPr>
                <w:shd w:val="clear" w:color="auto" w:fill="FFFFFF"/>
              </w:rPr>
              <w:t>–</w:t>
            </w:r>
            <w:r w:rsidR="009F1830" w:rsidRPr="002F691F">
              <w:rPr>
                <w:shd w:val="clear" w:color="auto" w:fill="FFFFFF"/>
              </w:rPr>
              <w:t xml:space="preserve"> </w:t>
            </w:r>
            <w:r w:rsidR="009F1830">
              <w:rPr>
                <w:shd w:val="clear" w:color="auto" w:fill="FFFFFF"/>
              </w:rPr>
              <w:t xml:space="preserve">M24.539, </w:t>
            </w:r>
            <w:r w:rsidR="009F1830" w:rsidRPr="002F691F">
              <w:rPr>
                <w:shd w:val="clear" w:color="auto" w:fill="FFFFFF"/>
              </w:rPr>
              <w:t>M24.541 - M24.549</w:t>
            </w:r>
            <w:r w:rsidR="009F1830">
              <w:rPr>
                <w:shd w:val="clear" w:color="auto" w:fill="FFFFFF"/>
              </w:rPr>
              <w:t xml:space="preserve">, </w:t>
            </w:r>
            <w:r w:rsidR="009F1830" w:rsidRPr="002F691F">
              <w:rPr>
                <w:shd w:val="clear" w:color="auto" w:fill="FFFFFF"/>
              </w:rPr>
              <w:t>M24.561 - M24.569</w:t>
            </w:r>
            <w:r w:rsidR="009F1830">
              <w:rPr>
                <w:shd w:val="clear" w:color="auto" w:fill="FFFFFF"/>
              </w:rPr>
              <w:t xml:space="preserve">, </w:t>
            </w:r>
            <w:r w:rsidR="009F1830" w:rsidRPr="002F691F">
              <w:rPr>
                <w:shd w:val="clear" w:color="auto" w:fill="FFFFFF"/>
              </w:rPr>
              <w:t>M25.621 - M25.629</w:t>
            </w:r>
            <w:r w:rsidR="009F1830">
              <w:rPr>
                <w:shd w:val="clear" w:color="auto" w:fill="FFFFFF"/>
              </w:rPr>
              <w:t xml:space="preserve">, </w:t>
            </w:r>
            <w:r w:rsidR="009F1830" w:rsidRPr="002F691F">
              <w:rPr>
                <w:shd w:val="clear" w:color="auto" w:fill="FFFFFF"/>
              </w:rPr>
              <w:t>M25.631 - M25.639</w:t>
            </w:r>
            <w:r w:rsidR="009F1830">
              <w:rPr>
                <w:shd w:val="clear" w:color="auto" w:fill="FFFFFF"/>
              </w:rPr>
              <w:t xml:space="preserve">, </w:t>
            </w:r>
            <w:r w:rsidR="009F1830" w:rsidRPr="002F691F">
              <w:rPr>
                <w:shd w:val="clear" w:color="auto" w:fill="FFFFFF"/>
              </w:rPr>
              <w:t xml:space="preserve">M25.641 - </w:t>
            </w:r>
            <w:r w:rsidR="009F1830">
              <w:rPr>
                <w:shd w:val="clear" w:color="auto" w:fill="FFFFFF"/>
              </w:rPr>
              <w:t xml:space="preserve">M25.649, </w:t>
            </w:r>
            <w:r w:rsidR="009F1830" w:rsidRPr="002F691F">
              <w:rPr>
                <w:shd w:val="clear" w:color="auto" w:fill="FFFFFF"/>
              </w:rPr>
              <w:t>M25.661 -</w:t>
            </w:r>
            <w:r w:rsidR="009F1830">
              <w:rPr>
                <w:shd w:val="clear" w:color="auto" w:fill="FFFFFF"/>
              </w:rPr>
              <w:t xml:space="preserve"> M25.669.</w:t>
            </w:r>
          </w:p>
        </w:tc>
        <w:tc>
          <w:tcPr>
            <w:tcW w:w="1440" w:type="dxa"/>
          </w:tcPr>
          <w:p w14:paraId="4749B0EE" w14:textId="22164671" w:rsidR="007579BD" w:rsidRDefault="00911E0C" w:rsidP="00504F03">
            <w:pPr>
              <w:jc w:val="center"/>
            </w:pPr>
            <w:r>
              <w:t>0</w:t>
            </w:r>
            <w:r w:rsidR="007579BD">
              <w:t>4/20</w:t>
            </w:r>
          </w:p>
        </w:tc>
        <w:tc>
          <w:tcPr>
            <w:tcW w:w="1440" w:type="dxa"/>
          </w:tcPr>
          <w:p w14:paraId="711563AA" w14:textId="66895BE0" w:rsidR="007579BD" w:rsidRDefault="00C04D64" w:rsidP="00504F03">
            <w:pPr>
              <w:jc w:val="center"/>
            </w:pPr>
            <w:r>
              <w:t>04/20</w:t>
            </w:r>
          </w:p>
        </w:tc>
      </w:tr>
      <w:tr w:rsidR="00D810F2" w14:paraId="73A78FAC" w14:textId="77777777" w:rsidTr="006C721D">
        <w:tc>
          <w:tcPr>
            <w:tcW w:w="6385" w:type="dxa"/>
          </w:tcPr>
          <w:p w14:paraId="79222E13" w14:textId="1214DE03" w:rsidR="0010672C" w:rsidRDefault="0010672C" w:rsidP="0010672C">
            <w:pPr>
              <w:tabs>
                <w:tab w:val="num" w:pos="720"/>
              </w:tabs>
            </w:pPr>
            <w:r>
              <w:t>Added a table of HCPCS codes not supporting medical necessity, including the following codes: E1399,</w:t>
            </w:r>
            <w:r w:rsidR="00D27BF5">
              <w:t xml:space="preserve"> </w:t>
            </w:r>
            <w:r w:rsidR="003F68F8" w:rsidRPr="000E5D2F">
              <w:t>E1801,</w:t>
            </w:r>
            <w:r w:rsidR="003F68F8">
              <w:t xml:space="preserve"> </w:t>
            </w:r>
            <w:r w:rsidR="00D27BF5">
              <w:t>E1806,</w:t>
            </w:r>
            <w:r>
              <w:t xml:space="preserve"> E1811, E1815, E1816, E1818, E1830, E1831, E1840, E1841.</w:t>
            </w:r>
          </w:p>
        </w:tc>
        <w:tc>
          <w:tcPr>
            <w:tcW w:w="1440" w:type="dxa"/>
          </w:tcPr>
          <w:p w14:paraId="2F4E8DD5" w14:textId="328F55A6" w:rsidR="0010672C" w:rsidRDefault="003F68F8" w:rsidP="00504F03">
            <w:pPr>
              <w:jc w:val="center"/>
            </w:pPr>
            <w:r>
              <w:t>06/20</w:t>
            </w:r>
          </w:p>
        </w:tc>
        <w:tc>
          <w:tcPr>
            <w:tcW w:w="1440" w:type="dxa"/>
          </w:tcPr>
          <w:p w14:paraId="73A3F2D3" w14:textId="77777777" w:rsidR="0010672C" w:rsidRDefault="0010672C" w:rsidP="00504F03">
            <w:pPr>
              <w:jc w:val="center"/>
            </w:pPr>
          </w:p>
        </w:tc>
      </w:tr>
      <w:tr w:rsidR="00D810F2" w14:paraId="64184DA6" w14:textId="77777777" w:rsidTr="006C721D">
        <w:tc>
          <w:tcPr>
            <w:tcW w:w="6385" w:type="dxa"/>
          </w:tcPr>
          <w:p w14:paraId="52DB6A1B" w14:textId="2E17A2E9" w:rsidR="0029517A" w:rsidRDefault="001A5241" w:rsidP="001A5241">
            <w:pPr>
              <w:tabs>
                <w:tab w:val="num" w:pos="720"/>
              </w:tabs>
            </w:pPr>
            <w:r>
              <w:t>C</w:t>
            </w:r>
            <w:r w:rsidR="00DB33C2">
              <w:t>ombined sections II-IV into II</w:t>
            </w:r>
            <w:r>
              <w:t xml:space="preserve"> and replaced </w:t>
            </w:r>
            <w:r w:rsidRPr="001A5241">
              <w:t>“Experimental/investigational” verbiage with descriptive language.</w:t>
            </w:r>
            <w:r w:rsidR="00DB33C2">
              <w:t xml:space="preserve"> </w:t>
            </w:r>
            <w:r w:rsidR="000E5D2F">
              <w:t>Minor updates to background with no impact on criteria.</w:t>
            </w:r>
            <w:r w:rsidR="004C1A53">
              <w:t xml:space="preserve"> Replaced all instances of “member” with “member/enrollee.” References reviewed and updated. Codes reviewed. </w:t>
            </w:r>
          </w:p>
        </w:tc>
        <w:tc>
          <w:tcPr>
            <w:tcW w:w="1440" w:type="dxa"/>
          </w:tcPr>
          <w:p w14:paraId="46826C25" w14:textId="57A7C5D9" w:rsidR="0029517A" w:rsidRDefault="0029517A" w:rsidP="00504F03">
            <w:pPr>
              <w:jc w:val="center"/>
            </w:pPr>
            <w:r>
              <w:t>03/21</w:t>
            </w:r>
          </w:p>
        </w:tc>
        <w:tc>
          <w:tcPr>
            <w:tcW w:w="1440" w:type="dxa"/>
          </w:tcPr>
          <w:p w14:paraId="147B9538" w14:textId="7730D08F" w:rsidR="0029517A" w:rsidRDefault="001C4694" w:rsidP="00504F03">
            <w:pPr>
              <w:jc w:val="center"/>
            </w:pPr>
            <w:r>
              <w:t>04/21</w:t>
            </w:r>
          </w:p>
        </w:tc>
      </w:tr>
      <w:tr w:rsidR="00D810F2" w14:paraId="5DA3DE4A" w14:textId="77777777" w:rsidTr="006C721D">
        <w:tc>
          <w:tcPr>
            <w:tcW w:w="6385" w:type="dxa"/>
          </w:tcPr>
          <w:p w14:paraId="70B93AB1" w14:textId="77777777" w:rsidR="00E753A0" w:rsidRDefault="00E753A0" w:rsidP="00E753A0">
            <w:pPr>
              <w:tabs>
                <w:tab w:val="num" w:pos="720"/>
              </w:tabs>
            </w:pPr>
            <w:r>
              <w:lastRenderedPageBreak/>
              <w:t>Annual review. Changed “review date” in the header to “date of last revision” and “date” in the revision log header to “revision date.”</w:t>
            </w:r>
          </w:p>
          <w:p w14:paraId="13E719CF" w14:textId="0D73256F" w:rsidR="00E753A0" w:rsidRDefault="00E753A0" w:rsidP="00E753A0">
            <w:pPr>
              <w:tabs>
                <w:tab w:val="num" w:pos="720"/>
              </w:tabs>
            </w:pPr>
            <w:r>
              <w:t xml:space="preserve">References reviewed, updated and reformatted. </w:t>
            </w:r>
            <w:r w:rsidR="004679BB">
              <w:t>Reviewed by specialist</w:t>
            </w:r>
            <w:r w:rsidR="00050025">
              <w:t>.</w:t>
            </w:r>
          </w:p>
        </w:tc>
        <w:tc>
          <w:tcPr>
            <w:tcW w:w="1440" w:type="dxa"/>
          </w:tcPr>
          <w:p w14:paraId="23D5C895" w14:textId="7398C89D" w:rsidR="00E753A0" w:rsidRDefault="002F0C17" w:rsidP="00504F03">
            <w:pPr>
              <w:jc w:val="center"/>
            </w:pPr>
            <w:r>
              <w:t>12/21</w:t>
            </w:r>
          </w:p>
        </w:tc>
        <w:tc>
          <w:tcPr>
            <w:tcW w:w="1440" w:type="dxa"/>
          </w:tcPr>
          <w:p w14:paraId="5B7CCBD0" w14:textId="6307C0D2" w:rsidR="00E753A0" w:rsidRDefault="00DC5682" w:rsidP="00504F03">
            <w:pPr>
              <w:jc w:val="center"/>
            </w:pPr>
            <w:r>
              <w:t>12/21</w:t>
            </w:r>
          </w:p>
        </w:tc>
      </w:tr>
      <w:tr w:rsidR="00D810F2" w14:paraId="7CC41B37" w14:textId="77777777" w:rsidTr="006C721D">
        <w:tc>
          <w:tcPr>
            <w:tcW w:w="6385" w:type="dxa"/>
          </w:tcPr>
          <w:p w14:paraId="300A7624" w14:textId="7D0F405A" w:rsidR="008F098A" w:rsidRDefault="008F098A" w:rsidP="00E753A0">
            <w:pPr>
              <w:tabs>
                <w:tab w:val="num" w:pos="720"/>
              </w:tabs>
            </w:pPr>
            <w:r>
              <w:t xml:space="preserve">Annual review. </w:t>
            </w:r>
            <w:r w:rsidR="00CC0681">
              <w:t xml:space="preserve">Background updated with no impact on criteria. </w:t>
            </w:r>
            <w:r w:rsidR="009B3110">
              <w:t xml:space="preserve">Removed ICD-10 codes. </w:t>
            </w:r>
            <w:r>
              <w:t xml:space="preserve">References reviewed and updated. </w:t>
            </w:r>
            <w:r w:rsidR="0084758C">
              <w:t xml:space="preserve">Reviewed by internal specialist and external specialist. </w:t>
            </w:r>
          </w:p>
        </w:tc>
        <w:tc>
          <w:tcPr>
            <w:tcW w:w="1440" w:type="dxa"/>
          </w:tcPr>
          <w:p w14:paraId="1C6307CA" w14:textId="33D7F584" w:rsidR="008F098A" w:rsidRDefault="008F098A" w:rsidP="00504F03">
            <w:pPr>
              <w:jc w:val="center"/>
            </w:pPr>
            <w:r>
              <w:t>11/22</w:t>
            </w:r>
          </w:p>
        </w:tc>
        <w:tc>
          <w:tcPr>
            <w:tcW w:w="1440" w:type="dxa"/>
          </w:tcPr>
          <w:p w14:paraId="1E2E9984" w14:textId="2CA31F2C" w:rsidR="008F098A" w:rsidRDefault="00C66106" w:rsidP="00504F03">
            <w:pPr>
              <w:jc w:val="center"/>
            </w:pPr>
            <w:r>
              <w:t>11/22</w:t>
            </w:r>
          </w:p>
        </w:tc>
      </w:tr>
      <w:tr w:rsidR="006C721D" w14:paraId="140B9A03" w14:textId="77777777" w:rsidTr="00D810F2">
        <w:tc>
          <w:tcPr>
            <w:tcW w:w="6385" w:type="dxa"/>
          </w:tcPr>
          <w:p w14:paraId="1701F56C" w14:textId="0A3B9F80" w:rsidR="006C721D" w:rsidRDefault="006C721D" w:rsidP="00E753A0">
            <w:pPr>
              <w:tabs>
                <w:tab w:val="num" w:pos="720"/>
              </w:tabs>
            </w:pPr>
            <w:r>
              <w:t xml:space="preserve">Annual review. Added ankle to Criteria I. </w:t>
            </w:r>
            <w:r w:rsidRPr="00DE3502">
              <w:t xml:space="preserve">Rearranged Criteria I.A. for clarification and added Criteria I.A.1.c. stating that low-load prolonged-duration stretch (LLPS) device/dynamic stretch device is provided with or without adjunctive physical therapy. </w:t>
            </w:r>
            <w:r w:rsidR="00E846D0">
              <w:t xml:space="preserve">Specified in I.B. that criteria </w:t>
            </w:r>
            <w:proofErr w:type="gramStart"/>
            <w:r w:rsidR="00E846D0">
              <w:t>is</w:t>
            </w:r>
            <w:proofErr w:type="gramEnd"/>
            <w:r w:rsidR="00E846D0">
              <w:t xml:space="preserve"> for a rental. </w:t>
            </w:r>
            <w:r>
              <w:t xml:space="preserve">Minor rewording in Background section with no impact on policy criteria. Removed code </w:t>
            </w:r>
            <w:r w:rsidRPr="008417F8">
              <w:t>E1815</w:t>
            </w:r>
            <w:r>
              <w:t xml:space="preserve"> from HCPCS codes that do not support coverage and added to HCPCS codes that do support coverage. References reviewed and updated. Reviewed by internal specialist.</w:t>
            </w:r>
          </w:p>
        </w:tc>
        <w:tc>
          <w:tcPr>
            <w:tcW w:w="1440" w:type="dxa"/>
          </w:tcPr>
          <w:p w14:paraId="4130E43C" w14:textId="4B731C4D" w:rsidR="006C721D" w:rsidRDefault="006C721D" w:rsidP="00504F03">
            <w:pPr>
              <w:jc w:val="center"/>
            </w:pPr>
            <w:r>
              <w:t>11/23</w:t>
            </w:r>
          </w:p>
        </w:tc>
        <w:tc>
          <w:tcPr>
            <w:tcW w:w="1440" w:type="dxa"/>
          </w:tcPr>
          <w:p w14:paraId="0BB0ADE3" w14:textId="4BD14B2A" w:rsidR="006C721D" w:rsidRDefault="00D5360F" w:rsidP="00504F03">
            <w:pPr>
              <w:jc w:val="center"/>
            </w:pPr>
            <w:r>
              <w:t>11/23</w:t>
            </w:r>
          </w:p>
        </w:tc>
      </w:tr>
      <w:tr w:rsidR="00A6359C" w14:paraId="2313DE8B" w14:textId="77777777" w:rsidTr="00D810F2">
        <w:tc>
          <w:tcPr>
            <w:tcW w:w="6385" w:type="dxa"/>
          </w:tcPr>
          <w:p w14:paraId="1E185879" w14:textId="2E2D59FD" w:rsidR="00A6359C" w:rsidRDefault="000753C0" w:rsidP="00E753A0">
            <w:pPr>
              <w:tabs>
                <w:tab w:val="num" w:pos="720"/>
              </w:tabs>
            </w:pPr>
            <w:r>
              <w:t>Annual review.</w:t>
            </w:r>
            <w:r w:rsidR="00643E3F">
              <w:t xml:space="preserve"> Background updated with no impact on </w:t>
            </w:r>
            <w:r w:rsidR="003C64EA">
              <w:t>criteria. References reviewed and updated. Reviewed by internal specialist.</w:t>
            </w:r>
          </w:p>
        </w:tc>
        <w:tc>
          <w:tcPr>
            <w:tcW w:w="1440" w:type="dxa"/>
          </w:tcPr>
          <w:p w14:paraId="2706EC9B" w14:textId="5F983284" w:rsidR="00A6359C" w:rsidRDefault="000753C0" w:rsidP="00504F03">
            <w:pPr>
              <w:jc w:val="center"/>
            </w:pPr>
            <w:r>
              <w:t>10/24</w:t>
            </w:r>
          </w:p>
        </w:tc>
        <w:tc>
          <w:tcPr>
            <w:tcW w:w="1440" w:type="dxa"/>
          </w:tcPr>
          <w:p w14:paraId="4FAFB732" w14:textId="0575572D" w:rsidR="00A6359C" w:rsidRDefault="000D73DF" w:rsidP="00504F03">
            <w:pPr>
              <w:jc w:val="center"/>
            </w:pPr>
            <w:r>
              <w:t>10/24</w:t>
            </w:r>
          </w:p>
        </w:tc>
      </w:tr>
      <w:tr w:rsidR="002A335B" w14:paraId="1B72F72F" w14:textId="77777777" w:rsidTr="00D810F2">
        <w:tc>
          <w:tcPr>
            <w:tcW w:w="6385" w:type="dxa"/>
          </w:tcPr>
          <w:p w14:paraId="1027FA01" w14:textId="35D5B83A" w:rsidR="002A335B" w:rsidRDefault="002A335B" w:rsidP="00E753A0">
            <w:pPr>
              <w:tabs>
                <w:tab w:val="num" w:pos="720"/>
              </w:tabs>
            </w:pPr>
            <w:r w:rsidRPr="002A335B">
              <w:rPr>
                <w:bCs/>
              </w:rPr>
              <w:t xml:space="preserve">Added new HCPCS codes E1803, E1804, </w:t>
            </w:r>
            <w:r w:rsidRPr="002A335B">
              <w:t xml:space="preserve">E1807, E1808, E1813, E1814, </w:t>
            </w:r>
            <w:r w:rsidRPr="002A335B">
              <w:rPr>
                <w:bCs/>
              </w:rPr>
              <w:t xml:space="preserve">E1822, E1823, </w:t>
            </w:r>
            <w:r w:rsidRPr="002A335B">
              <w:t xml:space="preserve">E1826, and E1827 to policy. </w:t>
            </w:r>
          </w:p>
        </w:tc>
        <w:tc>
          <w:tcPr>
            <w:tcW w:w="1440" w:type="dxa"/>
          </w:tcPr>
          <w:p w14:paraId="68AEA970" w14:textId="3531113B" w:rsidR="002A335B" w:rsidRDefault="002A335B" w:rsidP="00504F03">
            <w:pPr>
              <w:jc w:val="center"/>
            </w:pPr>
            <w:r>
              <w:t>03/2</w:t>
            </w:r>
            <w:r w:rsidR="00D23A6A">
              <w:t>5</w:t>
            </w:r>
          </w:p>
        </w:tc>
        <w:tc>
          <w:tcPr>
            <w:tcW w:w="1440" w:type="dxa"/>
          </w:tcPr>
          <w:p w14:paraId="0FA72CEB" w14:textId="10152DF1" w:rsidR="002A335B" w:rsidRDefault="00274767" w:rsidP="00504F03">
            <w:pPr>
              <w:jc w:val="center"/>
            </w:pPr>
            <w:r>
              <w:t>03/25</w:t>
            </w:r>
          </w:p>
        </w:tc>
      </w:tr>
    </w:tbl>
    <w:p w14:paraId="11CEA069" w14:textId="77777777" w:rsidR="00171801" w:rsidRDefault="00171801" w:rsidP="00B777AF">
      <w:pPr>
        <w:pStyle w:val="Heading6"/>
        <w:tabs>
          <w:tab w:val="clear" w:pos="0"/>
        </w:tabs>
      </w:pPr>
    </w:p>
    <w:p w14:paraId="3EECA13B" w14:textId="77777777" w:rsidR="00171801" w:rsidRPr="00B777AF" w:rsidRDefault="00171801" w:rsidP="00963062">
      <w:pPr>
        <w:pStyle w:val="Heading3"/>
      </w:pPr>
      <w:r>
        <w:t>References</w:t>
      </w:r>
    </w:p>
    <w:p w14:paraId="16F21A0B" w14:textId="15BF7578" w:rsidR="00D92E7B" w:rsidRPr="006C7E48" w:rsidRDefault="00487E50" w:rsidP="00D5461F">
      <w:pPr>
        <w:numPr>
          <w:ilvl w:val="0"/>
          <w:numId w:val="21"/>
        </w:numPr>
      </w:pPr>
      <w:r w:rsidRPr="006C7E48">
        <w:t xml:space="preserve">Kitis A, Ozcan RH, </w:t>
      </w:r>
      <w:proofErr w:type="spellStart"/>
      <w:r w:rsidRPr="006C7E48">
        <w:t>Bagdatli</w:t>
      </w:r>
      <w:proofErr w:type="spellEnd"/>
      <w:r w:rsidRPr="006C7E48">
        <w:t xml:space="preserve"> D, </w:t>
      </w:r>
      <w:r w:rsidR="00E753A0" w:rsidRPr="006C7E48">
        <w:t xml:space="preserve">Buker N, Kara IG. </w:t>
      </w:r>
      <w:r w:rsidRPr="006C7E48">
        <w:t xml:space="preserve">Comparison of static and dynamic splinting regimens for extensor tendon repairs in zones V to VII. </w:t>
      </w:r>
      <w:r w:rsidR="00E753A0" w:rsidRPr="006C7E48">
        <w:rPr>
          <w:i/>
          <w:iCs/>
        </w:rPr>
        <w:t xml:space="preserve">J </w:t>
      </w:r>
      <w:r w:rsidRPr="006C7E48">
        <w:rPr>
          <w:i/>
          <w:iCs/>
        </w:rPr>
        <w:t>Plast Surg Hand Surg</w:t>
      </w:r>
      <w:r w:rsidRPr="006C7E48">
        <w:t>. 2012;46(3</w:t>
      </w:r>
      <w:r w:rsidR="00AE6533" w:rsidRPr="006C7E48">
        <w:t xml:space="preserve"> to </w:t>
      </w:r>
      <w:r w:rsidRPr="006C7E48">
        <w:t>4):267</w:t>
      </w:r>
      <w:r w:rsidR="008F098A" w:rsidRPr="006C7E48">
        <w:t xml:space="preserve"> to </w:t>
      </w:r>
      <w:r w:rsidR="00E753A0" w:rsidRPr="006C7E48">
        <w:t>2</w:t>
      </w:r>
      <w:r w:rsidRPr="006C7E48">
        <w:t>71</w:t>
      </w:r>
      <w:r w:rsidR="00DB33C2" w:rsidRPr="006C7E48">
        <w:t>.</w:t>
      </w:r>
      <w:r w:rsidR="00E753A0" w:rsidRPr="006C7E48">
        <w:t xml:space="preserve"> doi:10.3109/2000656X.2012.684247</w:t>
      </w:r>
      <w:r w:rsidR="00482E60" w:rsidRPr="006C7E48">
        <w:rPr>
          <w:rFonts w:ascii="Segoe UI" w:hAnsi="Segoe UI" w:cs="Segoe UI"/>
          <w:color w:val="212121"/>
          <w:shd w:val="clear" w:color="auto" w:fill="FFFFFF"/>
        </w:rPr>
        <w:t xml:space="preserve"> </w:t>
      </w:r>
      <w:r w:rsidR="00671E6F" w:rsidRPr="006C7E48">
        <w:rPr>
          <w:rFonts w:ascii="Segoe UI" w:hAnsi="Segoe UI" w:cs="Segoe UI"/>
          <w:color w:val="212121"/>
          <w:shd w:val="clear" w:color="auto" w:fill="FFFFFF"/>
        </w:rPr>
        <w:t xml:space="preserve"> </w:t>
      </w:r>
    </w:p>
    <w:p w14:paraId="60DDE805" w14:textId="403393F2" w:rsidR="00D5461F" w:rsidRPr="006C7E48" w:rsidRDefault="00D5461F" w:rsidP="00D5461F">
      <w:pPr>
        <w:numPr>
          <w:ilvl w:val="0"/>
          <w:numId w:val="21"/>
        </w:numPr>
      </w:pPr>
      <w:proofErr w:type="spellStart"/>
      <w:r w:rsidRPr="006C7E48">
        <w:t>Mowlavi</w:t>
      </w:r>
      <w:proofErr w:type="spellEnd"/>
      <w:r w:rsidRPr="006C7E48">
        <w:t xml:space="preserve"> A, Burns M, Brown RE.</w:t>
      </w:r>
      <w:r w:rsidR="00E753A0" w:rsidRPr="006C7E48">
        <w:t xml:space="preserve"> </w:t>
      </w:r>
      <w:r w:rsidRPr="006C7E48">
        <w:t>Dynamic versus static splinting of simple zone V and zone VI extensor tendon repairs: a prospective, randomized, controlled study.</w:t>
      </w:r>
      <w:r w:rsidR="00E753A0" w:rsidRPr="006C7E48">
        <w:t xml:space="preserve"> </w:t>
      </w:r>
      <w:r w:rsidRPr="006C7E48">
        <w:rPr>
          <w:i/>
          <w:iCs/>
        </w:rPr>
        <w:t xml:space="preserve">Plast </w:t>
      </w:r>
      <w:proofErr w:type="spellStart"/>
      <w:r w:rsidRPr="006C7E48">
        <w:rPr>
          <w:i/>
          <w:iCs/>
        </w:rPr>
        <w:t>Reconstr</w:t>
      </w:r>
      <w:proofErr w:type="spellEnd"/>
      <w:r w:rsidRPr="006C7E48">
        <w:rPr>
          <w:i/>
          <w:iCs/>
        </w:rPr>
        <w:t xml:space="preserve"> Surg</w:t>
      </w:r>
      <w:r w:rsidRPr="006C7E48">
        <w:t>. 2005;115(2):482</w:t>
      </w:r>
      <w:r w:rsidR="00363DE4" w:rsidRPr="006C7E48">
        <w:t xml:space="preserve"> to </w:t>
      </w:r>
      <w:r w:rsidR="00E753A0" w:rsidRPr="006C7E48">
        <w:t>48</w:t>
      </w:r>
      <w:r w:rsidRPr="006C7E48">
        <w:t>7</w:t>
      </w:r>
      <w:r w:rsidR="00DB33C2" w:rsidRPr="006C7E48">
        <w:t>.</w:t>
      </w:r>
      <w:r w:rsidR="00E753A0" w:rsidRPr="006C7E48">
        <w:t xml:space="preserve"> </w:t>
      </w:r>
      <w:proofErr w:type="gramStart"/>
      <w:r w:rsidR="00E753A0" w:rsidRPr="006C7E48">
        <w:t>doi:10.1097/01.prs</w:t>
      </w:r>
      <w:proofErr w:type="gramEnd"/>
      <w:r w:rsidR="00E753A0" w:rsidRPr="006C7E48">
        <w:t>.0000149479.96088.5d</w:t>
      </w:r>
      <w:r w:rsidR="001877E8" w:rsidRPr="006C7E48">
        <w:rPr>
          <w:rFonts w:ascii="Segoe UI" w:hAnsi="Segoe UI" w:cs="Segoe UI"/>
          <w:color w:val="212121"/>
          <w:shd w:val="clear" w:color="auto" w:fill="FFFFFF"/>
        </w:rPr>
        <w:t xml:space="preserve"> </w:t>
      </w:r>
    </w:p>
    <w:p w14:paraId="3C1AE15B" w14:textId="4B427D7C" w:rsidR="00266D19" w:rsidRPr="006C7E48" w:rsidRDefault="0066321C">
      <w:pPr>
        <w:numPr>
          <w:ilvl w:val="0"/>
          <w:numId w:val="21"/>
        </w:numPr>
      </w:pPr>
      <w:r w:rsidRPr="006C721D">
        <w:rPr>
          <w:color w:val="212121"/>
          <w:shd w:val="clear" w:color="auto" w:fill="FFFFFF"/>
        </w:rPr>
        <w:t xml:space="preserve">Sameem M, Wood T, Ignacy T, </w:t>
      </w:r>
      <w:proofErr w:type="spellStart"/>
      <w:r w:rsidRPr="006C721D">
        <w:rPr>
          <w:color w:val="212121"/>
          <w:shd w:val="clear" w:color="auto" w:fill="FFFFFF"/>
        </w:rPr>
        <w:t>Thoma</w:t>
      </w:r>
      <w:proofErr w:type="spellEnd"/>
      <w:r w:rsidRPr="006C721D">
        <w:rPr>
          <w:color w:val="212121"/>
          <w:shd w:val="clear" w:color="auto" w:fill="FFFFFF"/>
        </w:rPr>
        <w:t xml:space="preserve"> A, Strumas N. A systematic review of rehabilitation protocols after surgical repair of the extensor tendons in zones V-VIII of the hand. </w:t>
      </w:r>
      <w:r w:rsidRPr="006C721D">
        <w:rPr>
          <w:i/>
          <w:iCs/>
          <w:color w:val="212121"/>
          <w:shd w:val="clear" w:color="auto" w:fill="FFFFFF"/>
        </w:rPr>
        <w:t>J Hand Ther</w:t>
      </w:r>
      <w:r w:rsidRPr="006C721D">
        <w:rPr>
          <w:color w:val="212121"/>
          <w:shd w:val="clear" w:color="auto" w:fill="FFFFFF"/>
        </w:rPr>
        <w:t xml:space="preserve">. 2011;24(4):365 to 373. </w:t>
      </w:r>
      <w:proofErr w:type="gramStart"/>
      <w:r w:rsidRPr="006C721D">
        <w:rPr>
          <w:color w:val="212121"/>
          <w:shd w:val="clear" w:color="auto" w:fill="FFFFFF"/>
        </w:rPr>
        <w:t>doi:10.1016/j.jht</w:t>
      </w:r>
      <w:proofErr w:type="gramEnd"/>
      <w:r w:rsidRPr="006C721D">
        <w:rPr>
          <w:color w:val="212121"/>
          <w:shd w:val="clear" w:color="auto" w:fill="FFFFFF"/>
        </w:rPr>
        <w:t>.2011.06.005</w:t>
      </w:r>
    </w:p>
    <w:p w14:paraId="6E443C38" w14:textId="4F493D81" w:rsidR="004B2309" w:rsidRPr="006C7E48" w:rsidRDefault="00375DEF">
      <w:pPr>
        <w:numPr>
          <w:ilvl w:val="0"/>
          <w:numId w:val="21"/>
        </w:numPr>
      </w:pPr>
      <w:proofErr w:type="spellStart"/>
      <w:r w:rsidRPr="006C721D">
        <w:rPr>
          <w:color w:val="212121"/>
          <w:shd w:val="clear" w:color="auto" w:fill="FFFFFF"/>
        </w:rPr>
        <w:t>Nehaus</w:t>
      </w:r>
      <w:proofErr w:type="spellEnd"/>
      <w:r w:rsidRPr="006C721D">
        <w:rPr>
          <w:color w:val="212121"/>
          <w:shd w:val="clear" w:color="auto" w:fill="FFFFFF"/>
        </w:rPr>
        <w:t xml:space="preserve"> V, Wong G, Russo KE, Mudgal CS. Dynamic splinting with early motion following zone IV/V and TI to TIII extensor tendon repairs. </w:t>
      </w:r>
      <w:r w:rsidRPr="006C721D">
        <w:rPr>
          <w:i/>
          <w:iCs/>
          <w:color w:val="212121"/>
          <w:shd w:val="clear" w:color="auto" w:fill="FFFFFF"/>
        </w:rPr>
        <w:t>J Hand Surg Am.</w:t>
      </w:r>
      <w:r w:rsidRPr="006C721D">
        <w:rPr>
          <w:color w:val="212121"/>
          <w:shd w:val="clear" w:color="auto" w:fill="FFFFFF"/>
        </w:rPr>
        <w:t xml:space="preserve"> 2012;37(5):933 to 937. </w:t>
      </w:r>
      <w:proofErr w:type="gramStart"/>
      <w:r w:rsidRPr="006C721D">
        <w:rPr>
          <w:color w:val="212121"/>
          <w:shd w:val="clear" w:color="auto" w:fill="FFFFFF"/>
        </w:rPr>
        <w:t>doi:10.1016/j.jhsa</w:t>
      </w:r>
      <w:proofErr w:type="gramEnd"/>
      <w:r w:rsidRPr="006C721D">
        <w:rPr>
          <w:color w:val="212121"/>
          <w:shd w:val="clear" w:color="auto" w:fill="FFFFFF"/>
        </w:rPr>
        <w:t>.2012.01.039</w:t>
      </w:r>
    </w:p>
    <w:p w14:paraId="5345A325" w14:textId="369F7C4B" w:rsidR="004B2309" w:rsidRPr="006C7E48" w:rsidRDefault="006A0868" w:rsidP="004B4272">
      <w:pPr>
        <w:numPr>
          <w:ilvl w:val="0"/>
          <w:numId w:val="21"/>
        </w:numPr>
      </w:pPr>
      <w:r w:rsidRPr="006C721D">
        <w:rPr>
          <w:color w:val="212121"/>
          <w:shd w:val="clear" w:color="auto" w:fill="FFFFFF"/>
        </w:rPr>
        <w:t xml:space="preserve">Giessler GA, </w:t>
      </w:r>
      <w:proofErr w:type="spellStart"/>
      <w:r w:rsidRPr="006C721D">
        <w:rPr>
          <w:color w:val="212121"/>
          <w:shd w:val="clear" w:color="auto" w:fill="FFFFFF"/>
        </w:rPr>
        <w:t>Przybilski</w:t>
      </w:r>
      <w:proofErr w:type="spellEnd"/>
      <w:r w:rsidRPr="006C721D">
        <w:rPr>
          <w:color w:val="212121"/>
          <w:shd w:val="clear" w:color="auto" w:fill="FFFFFF"/>
        </w:rPr>
        <w:t xml:space="preserve"> M, Germann G, Sauerbier M, Megerle K. Early free active versus dynamic extension splinting after extensor indicis </w:t>
      </w:r>
      <w:proofErr w:type="spellStart"/>
      <w:r w:rsidRPr="006C721D">
        <w:rPr>
          <w:color w:val="212121"/>
          <w:shd w:val="clear" w:color="auto" w:fill="FFFFFF"/>
        </w:rPr>
        <w:t>proprius</w:t>
      </w:r>
      <w:proofErr w:type="spellEnd"/>
      <w:r w:rsidRPr="006C721D">
        <w:rPr>
          <w:color w:val="212121"/>
          <w:shd w:val="clear" w:color="auto" w:fill="FFFFFF"/>
        </w:rPr>
        <w:t xml:space="preserve"> tendon transfer to restore thumb extension: a prospective randomized study. </w:t>
      </w:r>
      <w:r w:rsidRPr="006C721D">
        <w:rPr>
          <w:i/>
          <w:iCs/>
          <w:color w:val="212121"/>
          <w:shd w:val="clear" w:color="auto" w:fill="FFFFFF"/>
        </w:rPr>
        <w:t>J Hand Surg Am</w:t>
      </w:r>
      <w:r w:rsidRPr="006C721D">
        <w:rPr>
          <w:color w:val="212121"/>
          <w:shd w:val="clear" w:color="auto" w:fill="FFFFFF"/>
        </w:rPr>
        <w:t xml:space="preserve">. 2008;33(6):864 to 868. </w:t>
      </w:r>
      <w:proofErr w:type="gramStart"/>
      <w:r w:rsidRPr="006C721D">
        <w:rPr>
          <w:color w:val="212121"/>
          <w:shd w:val="clear" w:color="auto" w:fill="FFFFFF"/>
        </w:rPr>
        <w:t>doi:10.1016/j.jhsa</w:t>
      </w:r>
      <w:proofErr w:type="gramEnd"/>
      <w:r w:rsidRPr="006C721D">
        <w:rPr>
          <w:color w:val="212121"/>
          <w:shd w:val="clear" w:color="auto" w:fill="FFFFFF"/>
        </w:rPr>
        <w:t>.2008.01.028</w:t>
      </w:r>
    </w:p>
    <w:p w14:paraId="3190A340" w14:textId="3138F8B7" w:rsidR="00AD044F" w:rsidRPr="006C7E48" w:rsidRDefault="006A0868" w:rsidP="004B4272">
      <w:pPr>
        <w:numPr>
          <w:ilvl w:val="0"/>
          <w:numId w:val="21"/>
        </w:numPr>
      </w:pPr>
      <w:r w:rsidRPr="006C7E48">
        <w:rPr>
          <w:lang w:val="en"/>
        </w:rPr>
        <w:t xml:space="preserve">Larson </w:t>
      </w:r>
      <w:r w:rsidRPr="006C7E48">
        <w:t xml:space="preserve">D, </w:t>
      </w:r>
      <w:proofErr w:type="spellStart"/>
      <w:r w:rsidRPr="006C7E48">
        <w:t>Jerosch</w:t>
      </w:r>
      <w:proofErr w:type="spellEnd"/>
      <w:r w:rsidRPr="006C7E48">
        <w:t xml:space="preserve">-Herold C. Clinical effectiveness of post-operative splinting after surgical release of Dupuytren's contracture: a systematic review. </w:t>
      </w:r>
      <w:r w:rsidRPr="006C7E48">
        <w:rPr>
          <w:i/>
          <w:iCs/>
        </w:rPr>
        <w:t xml:space="preserve">BMC </w:t>
      </w:r>
      <w:proofErr w:type="spellStart"/>
      <w:r w:rsidRPr="006C7E48">
        <w:rPr>
          <w:i/>
          <w:iCs/>
        </w:rPr>
        <w:t>Musculoskelet</w:t>
      </w:r>
      <w:proofErr w:type="spellEnd"/>
      <w:r w:rsidRPr="006C7E48">
        <w:rPr>
          <w:i/>
          <w:iCs/>
        </w:rPr>
        <w:t xml:space="preserve"> </w:t>
      </w:r>
      <w:proofErr w:type="spellStart"/>
      <w:r w:rsidRPr="006C7E48">
        <w:rPr>
          <w:i/>
          <w:iCs/>
        </w:rPr>
        <w:t>Disord</w:t>
      </w:r>
      <w:proofErr w:type="spellEnd"/>
      <w:r w:rsidRPr="006C7E48">
        <w:t xml:space="preserve">. </w:t>
      </w:r>
      <w:proofErr w:type="gramStart"/>
      <w:r w:rsidRPr="006C7E48">
        <w:t>2008;9:104</w:t>
      </w:r>
      <w:proofErr w:type="gramEnd"/>
      <w:r w:rsidRPr="006C7E48">
        <w:t>. Published 2008 Jul 21. doi:10.1186/1471-2474-9-104</w:t>
      </w:r>
    </w:p>
    <w:p w14:paraId="2A29ABDE" w14:textId="1499B66B" w:rsidR="00266D19" w:rsidRPr="006C7E48" w:rsidRDefault="004E33C6" w:rsidP="004B4272">
      <w:pPr>
        <w:pStyle w:val="ListParagraph"/>
        <w:numPr>
          <w:ilvl w:val="0"/>
          <w:numId w:val="21"/>
        </w:numPr>
        <w:shd w:val="clear" w:color="auto" w:fill="FFFFFF"/>
        <w:spacing w:before="100" w:beforeAutospacing="1" w:after="100" w:afterAutospacing="1"/>
        <w:rPr>
          <w:lang w:val="en"/>
        </w:rPr>
      </w:pPr>
      <w:r w:rsidRPr="006C7E48">
        <w:rPr>
          <w:lang w:val="en"/>
        </w:rPr>
        <w:lastRenderedPageBreak/>
        <w:t xml:space="preserve">Griffin </w:t>
      </w:r>
      <w:r w:rsidRPr="006C7E48">
        <w:t xml:space="preserve">M, Hindocha S, Jordan D, Saleh M, Khan W. Management of extensor tendon injuries. </w:t>
      </w:r>
      <w:r w:rsidRPr="006C7E48">
        <w:rPr>
          <w:i/>
          <w:iCs/>
        </w:rPr>
        <w:t xml:space="preserve">Open </w:t>
      </w:r>
      <w:proofErr w:type="spellStart"/>
      <w:r w:rsidRPr="006C7E48">
        <w:rPr>
          <w:i/>
          <w:iCs/>
        </w:rPr>
        <w:t>Orthop</w:t>
      </w:r>
      <w:proofErr w:type="spellEnd"/>
      <w:r w:rsidRPr="006C7E48">
        <w:rPr>
          <w:i/>
          <w:iCs/>
        </w:rPr>
        <w:t xml:space="preserve"> J</w:t>
      </w:r>
      <w:r w:rsidRPr="006C7E48">
        <w:t xml:space="preserve">. </w:t>
      </w:r>
      <w:proofErr w:type="gramStart"/>
      <w:r w:rsidRPr="006C7E48">
        <w:t>2012;6:36</w:t>
      </w:r>
      <w:proofErr w:type="gramEnd"/>
      <w:r w:rsidRPr="006C7E48">
        <w:t xml:space="preserve"> to 42. doi:10.2174/1874325001206010036</w:t>
      </w:r>
    </w:p>
    <w:p w14:paraId="1BB31ACC" w14:textId="0C32FA3A" w:rsidR="00AD044F" w:rsidRPr="006C7E48" w:rsidRDefault="004E33C6" w:rsidP="004B4272">
      <w:pPr>
        <w:pStyle w:val="ListParagraph"/>
        <w:numPr>
          <w:ilvl w:val="0"/>
          <w:numId w:val="21"/>
        </w:numPr>
        <w:shd w:val="clear" w:color="auto" w:fill="FFFFFF"/>
        <w:spacing w:before="100" w:beforeAutospacing="1" w:after="100" w:afterAutospacing="1"/>
        <w:rPr>
          <w:b/>
          <w:lang w:val="en"/>
        </w:rPr>
      </w:pPr>
      <w:r w:rsidRPr="006C7E48">
        <w:rPr>
          <w:lang w:val="en-GB"/>
        </w:rPr>
        <w:t>Gallucci GL, Boretto JG, D</w:t>
      </w:r>
      <w:r w:rsidRPr="006C7E48">
        <w:t>á</w:t>
      </w:r>
      <w:proofErr w:type="spellStart"/>
      <w:r w:rsidRPr="006C7E48">
        <w:rPr>
          <w:lang w:val="en-GB"/>
        </w:rPr>
        <w:t>valos</w:t>
      </w:r>
      <w:proofErr w:type="spellEnd"/>
      <w:r w:rsidRPr="006C7E48">
        <w:rPr>
          <w:lang w:val="en-GB"/>
        </w:rPr>
        <w:t xml:space="preserve"> MA, Alfie VA, </w:t>
      </w:r>
      <w:proofErr w:type="spellStart"/>
      <w:r w:rsidRPr="006C7E48">
        <w:rPr>
          <w:lang w:val="en-GB"/>
        </w:rPr>
        <w:t>Donndorff</w:t>
      </w:r>
      <w:proofErr w:type="spellEnd"/>
      <w:r w:rsidRPr="006C7E48">
        <w:rPr>
          <w:lang w:val="en-GB"/>
        </w:rPr>
        <w:t xml:space="preserve"> A, De Carli P. The use of dynamic orthoses in the treatment of the stiff elbow. </w:t>
      </w:r>
      <w:proofErr w:type="spellStart"/>
      <w:r w:rsidRPr="006C7E48">
        <w:rPr>
          <w:i/>
          <w:iCs/>
          <w:lang w:val="en-GB"/>
        </w:rPr>
        <w:t>Eur</w:t>
      </w:r>
      <w:proofErr w:type="spellEnd"/>
      <w:r w:rsidRPr="006C7E48">
        <w:rPr>
          <w:i/>
          <w:iCs/>
          <w:lang w:val="en-GB"/>
        </w:rPr>
        <w:t xml:space="preserve"> J </w:t>
      </w:r>
      <w:proofErr w:type="spellStart"/>
      <w:r w:rsidRPr="006C7E48">
        <w:rPr>
          <w:i/>
          <w:iCs/>
          <w:lang w:val="en-GB"/>
        </w:rPr>
        <w:t>Orthop</w:t>
      </w:r>
      <w:proofErr w:type="spellEnd"/>
      <w:r w:rsidRPr="006C7E48">
        <w:rPr>
          <w:i/>
          <w:iCs/>
          <w:lang w:val="en-GB"/>
        </w:rPr>
        <w:t xml:space="preserve"> </w:t>
      </w:r>
      <w:proofErr w:type="spellStart"/>
      <w:r w:rsidRPr="006C7E48">
        <w:rPr>
          <w:i/>
          <w:iCs/>
          <w:lang w:val="en-GB"/>
        </w:rPr>
        <w:t>Surg</w:t>
      </w:r>
      <w:proofErr w:type="spellEnd"/>
      <w:r w:rsidRPr="006C7E48">
        <w:rPr>
          <w:i/>
          <w:iCs/>
          <w:lang w:val="en-GB"/>
        </w:rPr>
        <w:t xml:space="preserve"> Traumatol.</w:t>
      </w:r>
      <w:r w:rsidRPr="006C7E48">
        <w:rPr>
          <w:lang w:val="en-GB"/>
        </w:rPr>
        <w:t xml:space="preserve"> 2014;24(8):1395 to 1400. doi:10.1007/s00590-014-1419-y</w:t>
      </w:r>
    </w:p>
    <w:p w14:paraId="4117D1F6" w14:textId="548AF306" w:rsidR="00EB6083" w:rsidRPr="006C7E48" w:rsidRDefault="00AD387C" w:rsidP="004B4272">
      <w:pPr>
        <w:pStyle w:val="ListParagraph"/>
        <w:numPr>
          <w:ilvl w:val="0"/>
          <w:numId w:val="21"/>
        </w:numPr>
        <w:shd w:val="clear" w:color="auto" w:fill="FFFFFF"/>
        <w:spacing w:before="100" w:beforeAutospacing="1" w:after="100" w:afterAutospacing="1"/>
        <w:rPr>
          <w:spacing w:val="1"/>
          <w:lang w:val="en-GB"/>
        </w:rPr>
      </w:pPr>
      <w:r>
        <w:rPr>
          <w:lang w:val="en"/>
        </w:rPr>
        <w:t xml:space="preserve">Lai JM, Francisco GE, Willis FB. </w:t>
      </w:r>
      <w:r w:rsidR="00376BF4" w:rsidRPr="006C7E48">
        <w:rPr>
          <w:lang w:val="en"/>
        </w:rPr>
        <w:t>Dynamic splinting after treatment with botulinum toxin type-A: a randomized controlled pilot study.</w:t>
      </w:r>
      <w:r w:rsidR="007174D5">
        <w:rPr>
          <w:lang w:val="en"/>
        </w:rPr>
        <w:t xml:space="preserve"> </w:t>
      </w:r>
      <w:r w:rsidRPr="006C721D">
        <w:rPr>
          <w:i/>
          <w:iCs/>
          <w:lang w:val="en"/>
        </w:rPr>
        <w:t>Adv Ther</w:t>
      </w:r>
      <w:r>
        <w:rPr>
          <w:lang w:val="en"/>
        </w:rPr>
        <w:t>.</w:t>
      </w:r>
      <w:r w:rsidR="007174D5">
        <w:rPr>
          <w:lang w:val="en"/>
        </w:rPr>
        <w:t xml:space="preserve"> </w:t>
      </w:r>
      <w:r w:rsidR="00376BF4" w:rsidRPr="00E74A59">
        <w:rPr>
          <w:lang w:val="en"/>
        </w:rPr>
        <w:t>2</w:t>
      </w:r>
      <w:r w:rsidR="00376BF4" w:rsidRPr="006C7E48">
        <w:rPr>
          <w:lang w:val="en"/>
        </w:rPr>
        <w:t xml:space="preserve">009;26(2):241 to 248. </w:t>
      </w:r>
      <w:r w:rsidR="00EA2437">
        <w:rPr>
          <w:lang w:val="en"/>
        </w:rPr>
        <w:t>d</w:t>
      </w:r>
      <w:r w:rsidR="00376BF4" w:rsidRPr="006C7E48">
        <w:rPr>
          <w:lang w:val="en"/>
        </w:rPr>
        <w:t>oi:10.1007/s12325-008-0139-2</w:t>
      </w:r>
    </w:p>
    <w:p w14:paraId="7BB90928" w14:textId="03A4A906" w:rsidR="00D5461F" w:rsidRPr="00D5461F" w:rsidRDefault="00223A9A" w:rsidP="002D6BC8">
      <w:pPr>
        <w:numPr>
          <w:ilvl w:val="0"/>
          <w:numId w:val="21"/>
        </w:numPr>
      </w:pPr>
      <w:r w:rsidRPr="002D6BC8">
        <w:rPr>
          <w:lang w:val="en-GB"/>
        </w:rPr>
        <w:t xml:space="preserve">Bhat AK, </w:t>
      </w:r>
      <w:proofErr w:type="spellStart"/>
      <w:r w:rsidRPr="002D6BC8">
        <w:rPr>
          <w:lang w:val="en-GB"/>
        </w:rPr>
        <w:t>Bhaskaranand</w:t>
      </w:r>
      <w:proofErr w:type="spellEnd"/>
      <w:r w:rsidRPr="002D6BC8">
        <w:rPr>
          <w:lang w:val="en-GB"/>
        </w:rPr>
        <w:t xml:space="preserve"> K, Nair SG. Static progressive stretching using a turnbuckle orthosis for elbow stiffness: a prospective study. </w:t>
      </w:r>
      <w:r w:rsidRPr="002D6BC8">
        <w:rPr>
          <w:i/>
          <w:iCs/>
          <w:lang w:val="en-GB"/>
        </w:rPr>
        <w:t xml:space="preserve">J </w:t>
      </w:r>
      <w:proofErr w:type="spellStart"/>
      <w:r w:rsidRPr="002D6BC8">
        <w:rPr>
          <w:i/>
          <w:iCs/>
          <w:lang w:val="en-GB"/>
        </w:rPr>
        <w:t>Orthop</w:t>
      </w:r>
      <w:proofErr w:type="spellEnd"/>
      <w:r w:rsidRPr="002D6BC8">
        <w:rPr>
          <w:i/>
          <w:iCs/>
          <w:lang w:val="en-GB"/>
        </w:rPr>
        <w:t xml:space="preserve"> </w:t>
      </w:r>
      <w:proofErr w:type="spellStart"/>
      <w:r w:rsidRPr="002D6BC8">
        <w:rPr>
          <w:i/>
          <w:iCs/>
          <w:lang w:val="en-GB"/>
        </w:rPr>
        <w:t>Surg</w:t>
      </w:r>
      <w:proofErr w:type="spellEnd"/>
      <w:r w:rsidRPr="002D6BC8">
        <w:rPr>
          <w:lang w:val="en-GB"/>
        </w:rPr>
        <w:t xml:space="preserve"> </w:t>
      </w:r>
      <w:r w:rsidRPr="002D6BC8">
        <w:rPr>
          <w:i/>
          <w:iCs/>
          <w:lang w:val="en-GB"/>
        </w:rPr>
        <w:t xml:space="preserve">(Hong Kong). </w:t>
      </w:r>
      <w:r w:rsidRPr="002D6BC8">
        <w:rPr>
          <w:lang w:val="en-GB"/>
        </w:rPr>
        <w:t xml:space="preserve">2010;18(1):76 to 79. </w:t>
      </w:r>
      <w:r w:rsidR="00EA2437" w:rsidRPr="002D6BC8">
        <w:rPr>
          <w:lang w:val="en-GB"/>
        </w:rPr>
        <w:t>d</w:t>
      </w:r>
      <w:r w:rsidRPr="002D6BC8">
        <w:rPr>
          <w:lang w:val="en-GB"/>
        </w:rPr>
        <w:t>oi:10.1177/230949901001800117</w:t>
      </w:r>
      <w:r w:rsidRPr="00223A9A">
        <w:t xml:space="preserve">  </w:t>
      </w:r>
    </w:p>
    <w:p w14:paraId="04A148E8" w14:textId="563B5E3B" w:rsidR="00487E50" w:rsidRDefault="007174D5" w:rsidP="00085799">
      <w:pPr>
        <w:pStyle w:val="ListParagraph"/>
        <w:numPr>
          <w:ilvl w:val="0"/>
          <w:numId w:val="21"/>
        </w:numPr>
      </w:pPr>
      <w:proofErr w:type="spellStart"/>
      <w:r>
        <w:rPr>
          <w:lang w:val="en"/>
        </w:rPr>
        <w:t>Door</w:t>
      </w:r>
      <w:r w:rsidR="00DD7BE4">
        <w:rPr>
          <w:lang w:val="en"/>
        </w:rPr>
        <w:t>nberg</w:t>
      </w:r>
      <w:proofErr w:type="spellEnd"/>
      <w:r w:rsidR="00DD7BE4">
        <w:rPr>
          <w:lang w:val="en"/>
        </w:rPr>
        <w:t xml:space="preserve"> JN, Ring D, Jupiter JB. </w:t>
      </w:r>
      <w:r w:rsidR="00223A9A" w:rsidRPr="00223A9A">
        <w:rPr>
          <w:lang w:val="en"/>
        </w:rPr>
        <w:t xml:space="preserve">Static progressive splinting for posttraumatic elbow stiffness. </w:t>
      </w:r>
      <w:r w:rsidR="00223A9A" w:rsidRPr="00223A9A">
        <w:rPr>
          <w:i/>
          <w:iCs/>
          <w:lang w:val="en"/>
        </w:rPr>
        <w:t xml:space="preserve">J </w:t>
      </w:r>
      <w:proofErr w:type="spellStart"/>
      <w:r w:rsidR="00223A9A" w:rsidRPr="00223A9A">
        <w:rPr>
          <w:i/>
          <w:iCs/>
          <w:lang w:val="en"/>
        </w:rPr>
        <w:t>Orthop</w:t>
      </w:r>
      <w:proofErr w:type="spellEnd"/>
      <w:r w:rsidR="00223A9A" w:rsidRPr="00223A9A">
        <w:rPr>
          <w:i/>
          <w:iCs/>
          <w:lang w:val="en"/>
        </w:rPr>
        <w:t xml:space="preserve"> Trauma</w:t>
      </w:r>
      <w:r w:rsidR="00223A9A" w:rsidRPr="00223A9A">
        <w:rPr>
          <w:lang w:val="en"/>
        </w:rPr>
        <w:t xml:space="preserve">. 2006;20(6):400 to 404. </w:t>
      </w:r>
      <w:r w:rsidR="00EA2437">
        <w:rPr>
          <w:lang w:val="en"/>
        </w:rPr>
        <w:t>d</w:t>
      </w:r>
      <w:r w:rsidR="00223A9A" w:rsidRPr="00223A9A">
        <w:rPr>
          <w:lang w:val="en"/>
        </w:rPr>
        <w:t>oi:10.1097/00005131-200607000-00006</w:t>
      </w:r>
    </w:p>
    <w:p w14:paraId="3A76AC0C" w14:textId="19566ABD" w:rsidR="00171801" w:rsidRDefault="00D62FAB" w:rsidP="004B4272">
      <w:pPr>
        <w:pStyle w:val="ListParagraph"/>
        <w:numPr>
          <w:ilvl w:val="0"/>
          <w:numId w:val="21"/>
        </w:numPr>
      </w:pPr>
      <w:proofErr w:type="spellStart"/>
      <w:r w:rsidRPr="00D62FAB">
        <w:rPr>
          <w:lang w:val="en"/>
        </w:rPr>
        <w:t>Lindenhovius</w:t>
      </w:r>
      <w:proofErr w:type="spellEnd"/>
      <w:r w:rsidRPr="00D62FAB">
        <w:rPr>
          <w:lang w:val="en"/>
        </w:rPr>
        <w:t xml:space="preserve"> AL, </w:t>
      </w:r>
      <w:proofErr w:type="spellStart"/>
      <w:r w:rsidRPr="00D62FAB">
        <w:rPr>
          <w:lang w:val="en"/>
        </w:rPr>
        <w:t>Doomberg</w:t>
      </w:r>
      <w:proofErr w:type="spellEnd"/>
      <w:r w:rsidRPr="00D62FAB">
        <w:rPr>
          <w:lang w:val="en"/>
        </w:rPr>
        <w:t xml:space="preserve"> JN, Brouwer KM, Jupiter JB, Mudgal CS, Ring D. A prospective randomized controlled trial of dynamic versus static progressive elbow splinting for posttraumatic elbow stiffness. </w:t>
      </w:r>
      <w:r w:rsidRPr="00D62FAB">
        <w:rPr>
          <w:i/>
          <w:iCs/>
          <w:lang w:val="en"/>
        </w:rPr>
        <w:t>J Bone Joint Surg Am</w:t>
      </w:r>
      <w:r w:rsidRPr="00D62FAB">
        <w:rPr>
          <w:lang w:val="en"/>
        </w:rPr>
        <w:t xml:space="preserve">. 2012;94(8):694 to 700. </w:t>
      </w:r>
      <w:r w:rsidR="00EA2437">
        <w:rPr>
          <w:lang w:val="en"/>
        </w:rPr>
        <w:t>d</w:t>
      </w:r>
      <w:r w:rsidRPr="00D62FAB">
        <w:rPr>
          <w:lang w:val="en"/>
        </w:rPr>
        <w:t>oi:10.2106/JBJS.J.01761</w:t>
      </w:r>
      <w:r w:rsidRPr="00D62FAB">
        <w:t xml:space="preserve">  </w:t>
      </w:r>
    </w:p>
    <w:p w14:paraId="75B311F0" w14:textId="71CD5503" w:rsidR="005B7692" w:rsidRDefault="00DD7BE4" w:rsidP="00B24FBB">
      <w:pPr>
        <w:pStyle w:val="ListParagraph"/>
        <w:numPr>
          <w:ilvl w:val="0"/>
          <w:numId w:val="21"/>
        </w:numPr>
      </w:pPr>
      <w:r>
        <w:rPr>
          <w:lang w:val="en"/>
        </w:rPr>
        <w:t xml:space="preserve">Veltman ES, </w:t>
      </w:r>
      <w:proofErr w:type="spellStart"/>
      <w:r>
        <w:rPr>
          <w:lang w:val="en"/>
        </w:rPr>
        <w:t>Doornberg</w:t>
      </w:r>
      <w:proofErr w:type="spellEnd"/>
      <w:r w:rsidR="00AC1A65">
        <w:rPr>
          <w:lang w:val="en"/>
        </w:rPr>
        <w:t xml:space="preserve"> JN, </w:t>
      </w:r>
      <w:proofErr w:type="spellStart"/>
      <w:r w:rsidR="00AC1A65">
        <w:rPr>
          <w:lang w:val="en"/>
        </w:rPr>
        <w:t>Eygendaal</w:t>
      </w:r>
      <w:proofErr w:type="spellEnd"/>
      <w:r w:rsidR="00AC1A65">
        <w:rPr>
          <w:lang w:val="en"/>
        </w:rPr>
        <w:t xml:space="preserve"> D, van den </w:t>
      </w:r>
      <w:proofErr w:type="spellStart"/>
      <w:r w:rsidR="00AC1A65">
        <w:rPr>
          <w:lang w:val="en"/>
        </w:rPr>
        <w:t>Bekerom</w:t>
      </w:r>
      <w:proofErr w:type="spellEnd"/>
      <w:r w:rsidR="00AC1A65">
        <w:rPr>
          <w:lang w:val="en"/>
        </w:rPr>
        <w:t xml:space="preserve"> MP. </w:t>
      </w:r>
      <w:r w:rsidR="00CA75DF" w:rsidRPr="00CA75DF">
        <w:rPr>
          <w:lang w:val="en"/>
        </w:rPr>
        <w:t xml:space="preserve">Static progressive versus dynamic splinting for posttraumatic elbow stiffness: a systematic review of 232 patients. </w:t>
      </w:r>
      <w:r w:rsidR="007174D5" w:rsidRPr="006C721D">
        <w:rPr>
          <w:i/>
          <w:iCs/>
          <w:lang w:val="en"/>
        </w:rPr>
        <w:t xml:space="preserve">Arch </w:t>
      </w:r>
      <w:proofErr w:type="spellStart"/>
      <w:r w:rsidR="007174D5" w:rsidRPr="006C721D">
        <w:rPr>
          <w:i/>
          <w:iCs/>
          <w:lang w:val="en"/>
        </w:rPr>
        <w:t>Orthop</w:t>
      </w:r>
      <w:proofErr w:type="spellEnd"/>
      <w:r w:rsidR="007174D5" w:rsidRPr="006C721D">
        <w:rPr>
          <w:i/>
          <w:iCs/>
          <w:lang w:val="en"/>
        </w:rPr>
        <w:t xml:space="preserve"> Trauma Surg</w:t>
      </w:r>
      <w:r w:rsidR="007174D5">
        <w:rPr>
          <w:lang w:val="en"/>
        </w:rPr>
        <w:t xml:space="preserve">. </w:t>
      </w:r>
      <w:r w:rsidR="00CA75DF" w:rsidRPr="00CA75DF">
        <w:rPr>
          <w:lang w:val="en"/>
        </w:rPr>
        <w:t xml:space="preserve">2015;135(5):613 to 617. doi:10.1007/s00402-015-2199-5   </w:t>
      </w:r>
    </w:p>
    <w:p w14:paraId="71C40C43" w14:textId="483D39DF" w:rsidR="00085799" w:rsidRPr="00085799" w:rsidRDefault="00B402FF" w:rsidP="004B2309">
      <w:pPr>
        <w:pStyle w:val="ListParagraph"/>
        <w:numPr>
          <w:ilvl w:val="0"/>
          <w:numId w:val="21"/>
        </w:numPr>
        <w:rPr>
          <w:b/>
          <w:u w:val="single"/>
        </w:rPr>
      </w:pPr>
      <w:bookmarkStart w:id="2" w:name="Important_Reminder"/>
      <w:r w:rsidRPr="00B402FF">
        <w:rPr>
          <w:lang w:val="en-GB"/>
        </w:rPr>
        <w:t xml:space="preserve">Pace JL, </w:t>
      </w:r>
      <w:proofErr w:type="spellStart"/>
      <w:r w:rsidRPr="00B402FF">
        <w:rPr>
          <w:lang w:val="en-GB"/>
        </w:rPr>
        <w:t>Nasreddine</w:t>
      </w:r>
      <w:proofErr w:type="spellEnd"/>
      <w:r w:rsidRPr="00B402FF">
        <w:rPr>
          <w:lang w:val="en-GB"/>
        </w:rPr>
        <w:t xml:space="preserve"> AY, Simoni M,</w:t>
      </w:r>
      <w:r w:rsidRPr="00B402FF">
        <w:t xml:space="preserve"> </w:t>
      </w:r>
      <w:r w:rsidRPr="00B402FF">
        <w:rPr>
          <w:lang w:val="en-GB"/>
        </w:rPr>
        <w:t xml:space="preserve">Zurakowski D, Kocher MS. Dynamic Splinting in Children and Adolescents </w:t>
      </w:r>
      <w:proofErr w:type="gramStart"/>
      <w:r w:rsidRPr="00B402FF">
        <w:rPr>
          <w:lang w:val="en-GB"/>
        </w:rPr>
        <w:t>With</w:t>
      </w:r>
      <w:proofErr w:type="gramEnd"/>
      <w:r w:rsidRPr="00B402FF">
        <w:rPr>
          <w:lang w:val="en-GB"/>
        </w:rPr>
        <w:t xml:space="preserve"> Stiffness After Knee Surgery</w:t>
      </w:r>
      <w:r w:rsidRPr="00B402FF">
        <w:rPr>
          <w:i/>
          <w:iCs/>
          <w:lang w:val="en-GB"/>
        </w:rPr>
        <w:t xml:space="preserve">. J </w:t>
      </w:r>
      <w:proofErr w:type="spellStart"/>
      <w:r w:rsidRPr="00B402FF">
        <w:rPr>
          <w:i/>
          <w:iCs/>
          <w:lang w:val="en-GB"/>
        </w:rPr>
        <w:t>Pediatr</w:t>
      </w:r>
      <w:proofErr w:type="spellEnd"/>
      <w:r w:rsidRPr="00B402FF">
        <w:rPr>
          <w:i/>
          <w:iCs/>
          <w:lang w:val="en-GB"/>
        </w:rPr>
        <w:t xml:space="preserve"> </w:t>
      </w:r>
      <w:proofErr w:type="spellStart"/>
      <w:r w:rsidRPr="00B402FF">
        <w:rPr>
          <w:i/>
          <w:iCs/>
          <w:lang w:val="en-GB"/>
        </w:rPr>
        <w:t>Orthop</w:t>
      </w:r>
      <w:proofErr w:type="spellEnd"/>
      <w:r w:rsidRPr="00B402FF">
        <w:rPr>
          <w:lang w:val="en-GB"/>
        </w:rPr>
        <w:t>. 2018;38(1):38 to 43. doi:10.1097/BPO.0000000000000730</w:t>
      </w:r>
    </w:p>
    <w:p w14:paraId="09174BB9" w14:textId="75E708BB" w:rsidR="00085799" w:rsidRPr="00085799" w:rsidRDefault="00CA2229" w:rsidP="004B4272">
      <w:pPr>
        <w:pStyle w:val="ListParagraph"/>
        <w:numPr>
          <w:ilvl w:val="0"/>
          <w:numId w:val="21"/>
        </w:numPr>
        <w:rPr>
          <w:u w:val="single"/>
        </w:rPr>
      </w:pPr>
      <w:r>
        <w:rPr>
          <w:lang w:val="en"/>
        </w:rPr>
        <w:t xml:space="preserve">Willis FB, Fowler B. </w:t>
      </w:r>
      <w:r w:rsidR="0069061C" w:rsidRPr="0069061C">
        <w:rPr>
          <w:lang w:val="en"/>
        </w:rPr>
        <w:t xml:space="preserve">Longitudinal Outcomes Following a Randomized Controlled Trial of Dynamic Splint Stretching for Carpal Tunnel Syndrome. </w:t>
      </w:r>
      <w:r w:rsidRPr="006C721D">
        <w:rPr>
          <w:i/>
          <w:iCs/>
          <w:lang w:val="en"/>
        </w:rPr>
        <w:t>Hand (N Y)</w:t>
      </w:r>
      <w:r>
        <w:rPr>
          <w:lang w:val="en"/>
        </w:rPr>
        <w:t xml:space="preserve">. </w:t>
      </w:r>
      <w:r w:rsidR="0069061C" w:rsidRPr="0069061C">
        <w:rPr>
          <w:lang w:val="en"/>
        </w:rPr>
        <w:t>2016;11(3):290 to 294.</w:t>
      </w:r>
      <w:r w:rsidR="0069061C" w:rsidRPr="0069061C">
        <w:t xml:space="preserve"> </w:t>
      </w:r>
      <w:r w:rsidR="0069061C" w:rsidRPr="0069061C">
        <w:rPr>
          <w:lang w:val="en"/>
        </w:rPr>
        <w:t xml:space="preserve">doi:10.1177/1558944715626925 </w:t>
      </w:r>
    </w:p>
    <w:p w14:paraId="42287A06" w14:textId="5317E7E1" w:rsidR="00FC00B4" w:rsidRDefault="0019244F" w:rsidP="009D3EBB">
      <w:pPr>
        <w:numPr>
          <w:ilvl w:val="0"/>
          <w:numId w:val="21"/>
        </w:numPr>
      </w:pPr>
      <w:r w:rsidRPr="0019244F">
        <w:t>Glasgow C, Tooth LR, Fleming J, Peters S. Dynamic splinting for the stiff hand after trauma: predictors of contracture resolution</w:t>
      </w:r>
      <w:r w:rsidRPr="009D3EBB">
        <w:rPr>
          <w:i/>
          <w:iCs/>
        </w:rPr>
        <w:t>. J Hand Ther</w:t>
      </w:r>
      <w:r w:rsidRPr="0019244F">
        <w:t xml:space="preserve">. 2011;24(3):195 to 206. </w:t>
      </w:r>
      <w:proofErr w:type="gramStart"/>
      <w:r w:rsidRPr="0019244F">
        <w:t>doi:10.1016/j.jht</w:t>
      </w:r>
      <w:proofErr w:type="gramEnd"/>
      <w:r w:rsidRPr="0019244F">
        <w:t>.2011.03.001</w:t>
      </w:r>
    </w:p>
    <w:p w14:paraId="25DE159E" w14:textId="68DDBE5B" w:rsidR="00EB6083" w:rsidRDefault="00EB6083" w:rsidP="00EB6083">
      <w:pPr>
        <w:numPr>
          <w:ilvl w:val="0"/>
          <w:numId w:val="21"/>
        </w:numPr>
      </w:pPr>
      <w:r>
        <w:t xml:space="preserve">Griffin M, Hindocha S, Jordan D, </w:t>
      </w:r>
      <w:r w:rsidR="002E3BFC" w:rsidRPr="002E3BFC">
        <w:t>Saleh M, Khan W</w:t>
      </w:r>
      <w:r w:rsidR="002F0C17">
        <w:t xml:space="preserve">. </w:t>
      </w:r>
      <w:r w:rsidRPr="00A32B61">
        <w:t xml:space="preserve">Management of </w:t>
      </w:r>
      <w:r w:rsidR="002F0C17">
        <w:t>e</w:t>
      </w:r>
      <w:r w:rsidRPr="00A32B61">
        <w:t xml:space="preserve">xtensor </w:t>
      </w:r>
      <w:r w:rsidR="002F0C17">
        <w:t>t</w:t>
      </w:r>
      <w:r w:rsidRPr="00A32B61">
        <w:t xml:space="preserve">endon </w:t>
      </w:r>
      <w:r w:rsidR="002F0C17">
        <w:t>i</w:t>
      </w:r>
      <w:r w:rsidRPr="00A32B61">
        <w:t>njuries</w:t>
      </w:r>
      <w:r>
        <w:t>.</w:t>
      </w:r>
      <w:r w:rsidR="002F0C17">
        <w:t xml:space="preserve"> </w:t>
      </w:r>
      <w:r w:rsidRPr="004679BB">
        <w:rPr>
          <w:i/>
          <w:iCs/>
        </w:rPr>
        <w:t xml:space="preserve">Open </w:t>
      </w:r>
      <w:proofErr w:type="spellStart"/>
      <w:r w:rsidRPr="004679BB">
        <w:rPr>
          <w:i/>
          <w:iCs/>
        </w:rPr>
        <w:t>Orthop</w:t>
      </w:r>
      <w:proofErr w:type="spellEnd"/>
      <w:r w:rsidRPr="004679BB">
        <w:rPr>
          <w:i/>
          <w:iCs/>
        </w:rPr>
        <w:t xml:space="preserve"> J</w:t>
      </w:r>
      <w:r w:rsidRPr="00A32B61">
        <w:t xml:space="preserve">. </w:t>
      </w:r>
      <w:proofErr w:type="gramStart"/>
      <w:r w:rsidRPr="00A32B61">
        <w:t>2012;6:36</w:t>
      </w:r>
      <w:proofErr w:type="gramEnd"/>
      <w:r w:rsidR="00520139">
        <w:t xml:space="preserve"> to </w:t>
      </w:r>
      <w:r w:rsidRPr="00A32B61">
        <w:t>42.</w:t>
      </w:r>
      <w:r w:rsidR="002F0C17">
        <w:t xml:space="preserve"> </w:t>
      </w:r>
      <w:r w:rsidR="00F66EE9">
        <w:t>d</w:t>
      </w:r>
      <w:r w:rsidR="002F0C17" w:rsidRPr="002F0C17">
        <w:t>oi:10.2174/1874325001206010036</w:t>
      </w:r>
      <w:r w:rsidR="00A72B63">
        <w:t xml:space="preserve"> </w:t>
      </w:r>
    </w:p>
    <w:p w14:paraId="53F01548" w14:textId="3FB8BB73" w:rsidR="00EB6083" w:rsidRDefault="00EB6083" w:rsidP="00FC00B4">
      <w:pPr>
        <w:numPr>
          <w:ilvl w:val="0"/>
          <w:numId w:val="21"/>
        </w:numPr>
      </w:pPr>
      <w:r>
        <w:t xml:space="preserve">Furia JP, Willis FB, </w:t>
      </w:r>
      <w:proofErr w:type="spellStart"/>
      <w:r>
        <w:t>Shanumgam</w:t>
      </w:r>
      <w:proofErr w:type="spellEnd"/>
      <w:r>
        <w:t xml:space="preserve"> R, Curran SA. Systematic review of contracture reduction in the lower extremity with dynamic splinting. </w:t>
      </w:r>
      <w:r w:rsidRPr="004679BB">
        <w:rPr>
          <w:i/>
          <w:iCs/>
        </w:rPr>
        <w:t>Adv Ther</w:t>
      </w:r>
      <w:r>
        <w:t>. 2013;30(8):763</w:t>
      </w:r>
      <w:r w:rsidR="00520139">
        <w:t xml:space="preserve"> to </w:t>
      </w:r>
      <w:r>
        <w:t>770.</w:t>
      </w:r>
      <w:r w:rsidR="002F0C17">
        <w:t xml:space="preserve"> </w:t>
      </w:r>
      <w:r w:rsidR="00F66EE9">
        <w:t>d</w:t>
      </w:r>
      <w:r w:rsidR="002F0C17" w:rsidRPr="002F0C17">
        <w:t>oi:10.1007/s12325-013-0052-1</w:t>
      </w:r>
      <w:r w:rsidR="00802581">
        <w:t xml:space="preserve"> </w:t>
      </w:r>
    </w:p>
    <w:p w14:paraId="228A3DF3" w14:textId="77777777" w:rsidR="000E08C4" w:rsidRDefault="00040726" w:rsidP="00040726">
      <w:pPr>
        <w:numPr>
          <w:ilvl w:val="0"/>
          <w:numId w:val="21"/>
        </w:numPr>
      </w:pPr>
      <w:r>
        <w:t xml:space="preserve">Jongs RA, Harvey LA, Gwinn T, </w:t>
      </w:r>
      <w:r w:rsidR="002F0C17" w:rsidRPr="002F0C17">
        <w:t>Lucas BR.</w:t>
      </w:r>
      <w:r w:rsidR="002F0C17">
        <w:t xml:space="preserve"> </w:t>
      </w:r>
      <w:r>
        <w:t xml:space="preserve">Dynamic splints do not reduce contracture following distal radial fracture: a </w:t>
      </w:r>
      <w:proofErr w:type="spellStart"/>
      <w:r>
        <w:t>randomised</w:t>
      </w:r>
      <w:proofErr w:type="spellEnd"/>
      <w:r>
        <w:t xml:space="preserve"> controlled trial. </w:t>
      </w:r>
      <w:r w:rsidRPr="004679BB">
        <w:rPr>
          <w:i/>
          <w:iCs/>
        </w:rPr>
        <w:t xml:space="preserve">J </w:t>
      </w:r>
      <w:proofErr w:type="spellStart"/>
      <w:r w:rsidRPr="004679BB">
        <w:rPr>
          <w:i/>
          <w:iCs/>
        </w:rPr>
        <w:t>Physiother</w:t>
      </w:r>
      <w:proofErr w:type="spellEnd"/>
      <w:r>
        <w:t>. 2012;58(3):173</w:t>
      </w:r>
      <w:r w:rsidR="00520139">
        <w:t xml:space="preserve"> to </w:t>
      </w:r>
      <w:r>
        <w:t xml:space="preserve">180. </w:t>
      </w:r>
      <w:r w:rsidR="00F66EE9">
        <w:t>d</w:t>
      </w:r>
      <w:r w:rsidR="002F0C17" w:rsidRPr="002F0C17">
        <w:t>oi:10.1016/S1836-9553(12)70108-X</w:t>
      </w:r>
    </w:p>
    <w:p w14:paraId="3C6D3E8D" w14:textId="72689F5D" w:rsidR="00040726" w:rsidRDefault="00365305" w:rsidP="00040726">
      <w:pPr>
        <w:numPr>
          <w:ilvl w:val="0"/>
          <w:numId w:val="21"/>
        </w:numPr>
      </w:pPr>
      <w:r>
        <w:t xml:space="preserve">Steinberg K, Langer D, Melchior H. Cohen JA, Zinger G. Effectiveness of the static progressive Joint Active System splint in improving upper extremity joint stiffness. </w:t>
      </w:r>
      <w:r w:rsidRPr="0004289F">
        <w:rPr>
          <w:i/>
          <w:iCs/>
        </w:rPr>
        <w:t>Hand Surg</w:t>
      </w:r>
      <w:r w:rsidR="007B6A15" w:rsidRPr="0004289F">
        <w:rPr>
          <w:i/>
          <w:iCs/>
        </w:rPr>
        <w:t xml:space="preserve"> </w:t>
      </w:r>
      <w:proofErr w:type="spellStart"/>
      <w:r w:rsidR="007B6A15" w:rsidRPr="0004289F">
        <w:rPr>
          <w:i/>
          <w:iCs/>
        </w:rPr>
        <w:t>Rehabil</w:t>
      </w:r>
      <w:proofErr w:type="spellEnd"/>
      <w:r w:rsidR="007B6A15">
        <w:t>. 2024;4</w:t>
      </w:r>
      <w:r w:rsidR="00D709DE">
        <w:t>3</w:t>
      </w:r>
      <w:r w:rsidR="007B6A15">
        <w:t xml:space="preserve">(3):101710. </w:t>
      </w:r>
      <w:proofErr w:type="gramStart"/>
      <w:r w:rsidR="00063A3E">
        <w:t>d</w:t>
      </w:r>
      <w:r w:rsidR="007B6A15">
        <w:t>oi:10.1016/j.hansur</w:t>
      </w:r>
      <w:proofErr w:type="gramEnd"/>
      <w:r w:rsidR="007B6A15">
        <w:t>.2024.101710</w:t>
      </w:r>
      <w:r w:rsidR="00BB25B8">
        <w:t xml:space="preserve"> </w:t>
      </w:r>
    </w:p>
    <w:p w14:paraId="4605876E" w14:textId="77777777" w:rsidR="00085799" w:rsidRPr="00085799" w:rsidRDefault="00085799" w:rsidP="004B4272">
      <w:pPr>
        <w:rPr>
          <w:b/>
          <w:u w:val="single"/>
        </w:rPr>
      </w:pPr>
    </w:p>
    <w:p w14:paraId="5D29697D" w14:textId="77777777" w:rsidR="00171801" w:rsidRPr="00085799" w:rsidRDefault="00171801" w:rsidP="00085799">
      <w:pPr>
        <w:pStyle w:val="ListParagraph"/>
        <w:ind w:left="0"/>
        <w:rPr>
          <w:b/>
          <w:u w:val="single"/>
        </w:rPr>
      </w:pPr>
      <w:r w:rsidRPr="00085799">
        <w:rPr>
          <w:b/>
          <w:bCs/>
          <w:u w:val="single"/>
        </w:rPr>
        <w:t>Important Reminder</w:t>
      </w:r>
      <w:bookmarkEnd w:id="2"/>
    </w:p>
    <w:p w14:paraId="18C0DB25" w14:textId="77777777" w:rsidR="00171801" w:rsidRPr="00146C6E" w:rsidRDefault="00171801" w:rsidP="00146C6E">
      <w:r w:rsidRPr="00146C6E">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w:t>
      </w:r>
      <w:r w:rsidRPr="00146C6E">
        <w:lastRenderedPageBreak/>
        <w:t xml:space="preserve">approval status; evidence-based guidelines and positions of leading national health professional organizations; views of physicians practicing in relevant clinical areas affected by this clinical policy; and other available clinical information. </w:t>
      </w:r>
      <w:r w:rsidRPr="00146C6E">
        <w:rPr>
          <w:iCs/>
        </w:rPr>
        <w:t>The Health Plan</w:t>
      </w:r>
      <w:r w:rsidRPr="00146C6E">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39A3E226" w14:textId="77777777" w:rsidR="00171801" w:rsidRPr="00146C6E" w:rsidRDefault="00171801" w:rsidP="00146C6E"/>
    <w:p w14:paraId="5F279F20" w14:textId="77777777" w:rsidR="00171801" w:rsidRPr="00146C6E" w:rsidRDefault="00171801" w:rsidP="00146C6E">
      <w:r w:rsidRPr="00146C6E">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0E1067DE" w14:textId="77777777" w:rsidR="00171801" w:rsidRPr="00146C6E" w:rsidRDefault="00171801" w:rsidP="00146C6E"/>
    <w:p w14:paraId="266D6FF0" w14:textId="77777777" w:rsidR="00171801" w:rsidRPr="00146C6E" w:rsidRDefault="00171801" w:rsidP="00146C6E">
      <w:pPr>
        <w:rPr>
          <w:color w:val="002868"/>
        </w:rPr>
      </w:pPr>
      <w:r w:rsidRPr="00146C6E">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4F6C1E2E" w14:textId="77777777" w:rsidR="00171801" w:rsidRPr="00146C6E" w:rsidRDefault="00171801" w:rsidP="00146C6E"/>
    <w:p w14:paraId="01CEBC4E" w14:textId="045DF281" w:rsidR="00171801" w:rsidRPr="00146C6E" w:rsidRDefault="00171801" w:rsidP="00146C6E">
      <w:r w:rsidRPr="00146C6E">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t>care, and</w:t>
      </w:r>
      <w:proofErr w:type="gramEnd"/>
      <w:r w:rsidRPr="00146C6E">
        <w:t xml:space="preserve"> are solely responsible for the medical advice and treatment of </w:t>
      </w:r>
      <w:r w:rsidR="0029517A">
        <w:t>members/enrollee</w:t>
      </w:r>
      <w:r w:rsidRPr="00146C6E">
        <w:t xml:space="preserve">s.  This clinical policy is not intended to recommend treatment for </w:t>
      </w:r>
      <w:r w:rsidR="0029517A">
        <w:t>members/enrollee</w:t>
      </w:r>
      <w:r w:rsidRPr="00146C6E">
        <w:t xml:space="preserve">s. </w:t>
      </w:r>
      <w:r w:rsidR="0029517A">
        <w:t>Members/enrollee</w:t>
      </w:r>
      <w:r w:rsidRPr="00146C6E">
        <w:t xml:space="preserve">s should consult with their treating physician in connection with diagnosis and treatment decisions. </w:t>
      </w:r>
    </w:p>
    <w:p w14:paraId="731ABDE5" w14:textId="77777777" w:rsidR="00171801" w:rsidRPr="00146C6E" w:rsidRDefault="00171801" w:rsidP="00146C6E"/>
    <w:p w14:paraId="63F3F7EC" w14:textId="77777777" w:rsidR="00171801" w:rsidRPr="00146C6E" w:rsidRDefault="00171801" w:rsidP="00146C6E">
      <w:r w:rsidRPr="00146C6E">
        <w:t>Providers referred to in this clinical policy are independent contractors who exercise independent judgment and over whom the Health Plan has no control or right of control.  Providers are not agents or employees of the Health Plan.</w:t>
      </w:r>
    </w:p>
    <w:p w14:paraId="217B01B6" w14:textId="77777777" w:rsidR="00171801" w:rsidRPr="00146C6E" w:rsidRDefault="00171801" w:rsidP="00146C6E"/>
    <w:p w14:paraId="06FD68F4" w14:textId="017EE1F8" w:rsidR="00171801" w:rsidRPr="00146C6E" w:rsidRDefault="00171801" w:rsidP="00146C6E">
      <w:r w:rsidRPr="00146C6E">
        <w:t xml:space="preserve">This clinical policy is the property of </w:t>
      </w:r>
      <w:r w:rsidRPr="00146C6E">
        <w:rPr>
          <w:iCs/>
        </w:rPr>
        <w:t>the Health Plan</w:t>
      </w:r>
      <w:r w:rsidRPr="00146C6E">
        <w:t xml:space="preserve">. Unauthorized copying, use, and distribution of this clinical policy or any information contained herein are strictly prohibited.  Providers, </w:t>
      </w:r>
      <w:r w:rsidR="0029517A">
        <w:t>members/enrollee</w:t>
      </w:r>
      <w:r w:rsidRPr="00146C6E">
        <w:t xml:space="preserve">s and their representatives are bound to the terms and conditions expressed herein through the terms of their contracts.  Where no such contract exists, providers, </w:t>
      </w:r>
      <w:r w:rsidR="0029517A">
        <w:t>members/enrollee</w:t>
      </w:r>
      <w:r w:rsidRPr="00146C6E">
        <w:t xml:space="preserve">s and their representatives agree to be bound by such terms and conditions by providing services to </w:t>
      </w:r>
      <w:r w:rsidR="0029517A">
        <w:t>members/enrollee</w:t>
      </w:r>
      <w:r w:rsidRPr="00146C6E">
        <w:t xml:space="preserve">s and/or submitting claims for payment for such services.  </w:t>
      </w:r>
    </w:p>
    <w:p w14:paraId="42B01735" w14:textId="77777777" w:rsidR="00171801" w:rsidRPr="00146C6E" w:rsidRDefault="00171801" w:rsidP="00146C6E">
      <w:pPr>
        <w:autoSpaceDE w:val="0"/>
        <w:autoSpaceDN w:val="0"/>
        <w:adjustRightInd w:val="0"/>
        <w:rPr>
          <w:color w:val="000000"/>
        </w:rPr>
      </w:pPr>
    </w:p>
    <w:p w14:paraId="7877196D" w14:textId="7BAF8FB4" w:rsidR="00171801" w:rsidRPr="00146C6E" w:rsidRDefault="00171801" w:rsidP="00146C6E">
      <w:pPr>
        <w:autoSpaceDE w:val="0"/>
        <w:autoSpaceDN w:val="0"/>
        <w:adjustRightInd w:val="0"/>
        <w:rPr>
          <w:color w:val="000000"/>
        </w:rPr>
      </w:pPr>
      <w:r w:rsidRPr="00146C6E">
        <w:rPr>
          <w:b/>
          <w:color w:val="000000"/>
        </w:rPr>
        <w:t xml:space="preserve">Note: For Medicaid </w:t>
      </w:r>
      <w:r w:rsidR="0029517A">
        <w:rPr>
          <w:b/>
          <w:color w:val="000000"/>
        </w:rPr>
        <w:t>members/enrollee</w:t>
      </w:r>
      <w:r w:rsidRPr="00146C6E">
        <w:rPr>
          <w:b/>
          <w:color w:val="000000"/>
        </w:rPr>
        <w:t>s</w:t>
      </w:r>
      <w:r w:rsidRPr="00146C6E">
        <w:rPr>
          <w:color w:val="000000"/>
        </w:rPr>
        <w:t xml:space="preserve">, when state Medicaid coverage provisions conflict with the coverage provisions in this clinical policy, state Medicaid coverage provisions take </w:t>
      </w:r>
      <w:r w:rsidRPr="00146C6E">
        <w:rPr>
          <w:color w:val="000000"/>
        </w:rPr>
        <w:lastRenderedPageBreak/>
        <w:t>precedence. Please refer to the state Medicaid manual for any coverage provisions pertaining to this clinical policy.</w:t>
      </w:r>
    </w:p>
    <w:p w14:paraId="0C176E40" w14:textId="77777777" w:rsidR="00171801" w:rsidRPr="00146C6E" w:rsidRDefault="00171801" w:rsidP="00146C6E"/>
    <w:p w14:paraId="79ED4644" w14:textId="1928D778" w:rsidR="00171801" w:rsidRPr="00146C6E" w:rsidRDefault="00171801" w:rsidP="00146C6E">
      <w:pPr>
        <w:autoSpaceDE w:val="0"/>
        <w:autoSpaceDN w:val="0"/>
        <w:adjustRightInd w:val="0"/>
        <w:rPr>
          <w:color w:val="000000"/>
        </w:rPr>
      </w:pPr>
      <w:r w:rsidRPr="00146C6E">
        <w:rPr>
          <w:b/>
          <w:bCs/>
          <w:color w:val="000000"/>
        </w:rPr>
        <w:t xml:space="preserve">Note: For Medicare </w:t>
      </w:r>
      <w:r w:rsidR="0029517A">
        <w:rPr>
          <w:b/>
          <w:bCs/>
          <w:color w:val="000000"/>
        </w:rPr>
        <w:t>members/enrollee</w:t>
      </w:r>
      <w:r w:rsidRPr="00146C6E">
        <w:rPr>
          <w:b/>
          <w:bCs/>
          <w:color w:val="000000"/>
        </w:rPr>
        <w:t xml:space="preserve">s, </w:t>
      </w:r>
      <w:r w:rsidRPr="00146C6E">
        <w:rPr>
          <w:color w:val="000000"/>
        </w:rPr>
        <w:t>to ensure consistency with the Medicare National Coverage Determinations (NCD) and Local Coverage Determinations (LCD), all applicable NCDs</w:t>
      </w:r>
      <w:r>
        <w:rPr>
          <w:color w:val="000000"/>
        </w:rPr>
        <w:t>,</w:t>
      </w:r>
      <w:r w:rsidRPr="00146C6E">
        <w:rPr>
          <w:color w:val="000000"/>
        </w:rPr>
        <w:t xml:space="preserve"> LCDs</w:t>
      </w:r>
      <w:r>
        <w:rPr>
          <w:color w:val="000000"/>
        </w:rPr>
        <w:t xml:space="preserve">, and Medicare Coverage Articles </w:t>
      </w:r>
      <w:r w:rsidRPr="00146C6E">
        <w:rPr>
          <w:color w:val="000000"/>
        </w:rPr>
        <w:t xml:space="preserve">should be reviewed </w:t>
      </w:r>
      <w:r w:rsidRPr="00146C6E">
        <w:rPr>
          <w:color w:val="000000"/>
          <w:u w:val="single"/>
        </w:rPr>
        <w:t>prior to</w:t>
      </w:r>
      <w:r w:rsidRPr="00146C6E">
        <w:rPr>
          <w:color w:val="000000"/>
        </w:rPr>
        <w:t xml:space="preserve"> applying the criteria set forth in this clinical policy. Refer to the CMS website at </w:t>
      </w:r>
      <w:hyperlink r:id="rId17" w:history="1">
        <w:r w:rsidRPr="00146C6E">
          <w:rPr>
            <w:color w:val="000000"/>
            <w:u w:val="single"/>
          </w:rPr>
          <w:t>http://www.cms.gov</w:t>
        </w:r>
      </w:hyperlink>
      <w:r w:rsidRPr="00146C6E">
        <w:rPr>
          <w:color w:val="000000"/>
        </w:rPr>
        <w:t xml:space="preserve"> for additional information. </w:t>
      </w:r>
    </w:p>
    <w:p w14:paraId="1EADA7AD" w14:textId="77777777" w:rsidR="00171801" w:rsidRPr="00146C6E" w:rsidRDefault="00171801" w:rsidP="00146C6E">
      <w:pPr>
        <w:rPr>
          <w:iCs/>
        </w:rPr>
      </w:pPr>
    </w:p>
    <w:p w14:paraId="07064CD3" w14:textId="1080E207" w:rsidR="00171801" w:rsidRPr="00146C6E" w:rsidRDefault="00662F93" w:rsidP="00146C6E">
      <w:pPr>
        <w:rPr>
          <w:iCs/>
        </w:rPr>
      </w:pPr>
      <w:r>
        <w:rPr>
          <w:iCs/>
        </w:rPr>
        <w:t>©201</w:t>
      </w:r>
      <w:r w:rsidR="00274767">
        <w:rPr>
          <w:iCs/>
        </w:rPr>
        <w:t>8</w:t>
      </w:r>
      <w:r w:rsidR="00171801" w:rsidRPr="00146C6E">
        <w:rPr>
          <w:iCs/>
        </w:rPr>
        <w:t xml:space="preserve">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00171801" w:rsidRPr="00146C6E">
        <w:rPr>
          <w:iCs/>
          <w:vertAlign w:val="superscript"/>
        </w:rPr>
        <w:t>®</w:t>
      </w:r>
      <w:r w:rsidR="00171801" w:rsidRPr="00146C6E">
        <w:rPr>
          <w:iCs/>
        </w:rPr>
        <w:t xml:space="preserve"> and Centene Corporation</w:t>
      </w:r>
      <w:r w:rsidR="00171801" w:rsidRPr="00146C6E">
        <w:rPr>
          <w:iCs/>
          <w:vertAlign w:val="superscript"/>
        </w:rPr>
        <w:t>®</w:t>
      </w:r>
      <w:r w:rsidR="00171801" w:rsidRPr="00146C6E">
        <w:rPr>
          <w:iCs/>
        </w:rPr>
        <w:t xml:space="preserve"> are registered trademarks exclusively owned by Centene Corporation.</w:t>
      </w:r>
    </w:p>
    <w:p w14:paraId="17BDFE3E" w14:textId="77777777" w:rsidR="00171801" w:rsidRDefault="00171801" w:rsidP="00AF5490"/>
    <w:sectPr w:rsidR="00171801"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F2BD5" w14:textId="77777777" w:rsidR="00200D53" w:rsidRDefault="00200D53">
      <w:r>
        <w:separator/>
      </w:r>
    </w:p>
  </w:endnote>
  <w:endnote w:type="continuationSeparator" w:id="0">
    <w:p w14:paraId="0870B173" w14:textId="77777777" w:rsidR="00200D53" w:rsidRDefault="00200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4105F" w14:textId="77777777" w:rsidR="00050025" w:rsidRDefault="00050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DECBA" w14:textId="17B0D660" w:rsidR="00042B5E" w:rsidRPr="00D574CA" w:rsidRDefault="00042B5E" w:rsidP="00D574CA">
    <w:pPr>
      <w:pStyle w:val="Footer"/>
      <w:jc w:val="center"/>
    </w:pPr>
    <w:r>
      <w:t xml:space="preserve">Page </w:t>
    </w:r>
    <w:r>
      <w:rPr>
        <w:b/>
        <w:bCs/>
      </w:rPr>
      <w:fldChar w:fldCharType="begin"/>
    </w:r>
    <w:r>
      <w:rPr>
        <w:b/>
        <w:bCs/>
      </w:rPr>
      <w:instrText xml:space="preserve"> PAGE </w:instrText>
    </w:r>
    <w:r>
      <w:rPr>
        <w:b/>
        <w:bCs/>
      </w:rPr>
      <w:fldChar w:fldCharType="separate"/>
    </w:r>
    <w:r w:rsidR="006A0EDA">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6A0EDA">
      <w:rPr>
        <w:b/>
        <w:bCs/>
        <w:noProof/>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6974" w14:textId="4F3553C7" w:rsidR="00042B5E" w:rsidRDefault="00042B5E" w:rsidP="002C6AAB">
    <w:pPr>
      <w:pStyle w:val="Footer"/>
      <w:jc w:val="center"/>
    </w:pPr>
    <w:r>
      <w:t xml:space="preserve">Page </w:t>
    </w:r>
    <w:r>
      <w:fldChar w:fldCharType="begin"/>
    </w:r>
    <w:r>
      <w:instrText xml:space="preserve"> PAGE   \* MERGEFORMAT </w:instrText>
    </w:r>
    <w:r>
      <w:fldChar w:fldCharType="separate"/>
    </w:r>
    <w:r w:rsidR="006A0EDA">
      <w:rPr>
        <w:noProof/>
      </w:rPr>
      <w:t>1</w:t>
    </w:r>
    <w:r>
      <w:rPr>
        <w:noProof/>
      </w:rPr>
      <w:fldChar w:fldCharType="end"/>
    </w:r>
    <w:r>
      <w:t xml:space="preserve"> of </w:t>
    </w:r>
    <w:r>
      <w:rPr>
        <w:noProof/>
      </w:rPr>
      <w:fldChar w:fldCharType="begin"/>
    </w:r>
    <w:r>
      <w:rPr>
        <w:noProof/>
      </w:rPr>
      <w:instrText xml:space="preserve"> NUMPAGES   \* MERGEFORMAT </w:instrText>
    </w:r>
    <w:r>
      <w:rPr>
        <w:noProof/>
      </w:rPr>
      <w:fldChar w:fldCharType="separate"/>
    </w:r>
    <w:r w:rsidR="006A0ED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00379" w14:textId="77777777" w:rsidR="00200D53" w:rsidRDefault="00200D53">
      <w:r>
        <w:separator/>
      </w:r>
    </w:p>
  </w:footnote>
  <w:footnote w:type="continuationSeparator" w:id="0">
    <w:p w14:paraId="2C5AA225" w14:textId="77777777" w:rsidR="00200D53" w:rsidRDefault="00200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6574D" w14:textId="77777777" w:rsidR="00050025" w:rsidRDefault="00050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7DB7C" w14:textId="23645CE4" w:rsidR="00042B5E" w:rsidRPr="00B777AF" w:rsidRDefault="00042B5E"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6E665012" wp14:editId="661ABA1F">
          <wp:extent cx="904875" cy="238125"/>
          <wp:effectExtent l="0" t="0" r="9525"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238125"/>
                  </a:xfrm>
                  <a:prstGeom prst="rect">
                    <a:avLst/>
                  </a:prstGeom>
                  <a:noFill/>
                  <a:ln>
                    <a:noFill/>
                  </a:ln>
                </pic:spPr>
              </pic:pic>
            </a:graphicData>
          </a:graphic>
        </wp:inline>
      </w:drawing>
    </w:r>
  </w:p>
  <w:p w14:paraId="468C2C91" w14:textId="77777777" w:rsidR="00042B5E" w:rsidRPr="00B777AF" w:rsidRDefault="00042B5E" w:rsidP="00B777AF">
    <w:pPr>
      <w:rPr>
        <w:color w:val="00548C"/>
      </w:rPr>
    </w:pPr>
    <w:r>
      <w:rPr>
        <w:rFonts w:ascii="Times New Roman Bold" w:hAnsi="Times New Roman Bold"/>
        <w:b/>
        <w:bCs/>
        <w:color w:val="00548C"/>
      </w:rPr>
      <w:t>Mechanical Stretching Devices for Joint Stiffness and Contracture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9A950" w14:textId="2E663DFA" w:rsidR="00042B5E" w:rsidRDefault="00042B5E" w:rsidP="00B777AF">
    <w:pPr>
      <w:pStyle w:val="Header"/>
      <w:jc w:val="right"/>
    </w:pPr>
    <w:r>
      <w:rPr>
        <w:noProof/>
      </w:rPr>
      <w:drawing>
        <wp:inline distT="0" distB="0" distL="0" distR="0" wp14:anchorId="2A633392" wp14:editId="3ABE28A1">
          <wp:extent cx="1362075" cy="342900"/>
          <wp:effectExtent l="0" t="0" r="9525" b="0"/>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7697"/>
    <w:multiLevelType w:val="hybridMultilevel"/>
    <w:tmpl w:val="96D856B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31E0E99"/>
    <w:multiLevelType w:val="hybridMultilevel"/>
    <w:tmpl w:val="5FFA82B8"/>
    <w:lvl w:ilvl="0" w:tplc="04090019">
      <w:start w:val="1"/>
      <w:numFmt w:val="lowerLetter"/>
      <w:lvlText w:val="%1."/>
      <w:lvlJc w:val="left"/>
      <w:pPr>
        <w:ind w:left="1440" w:hanging="360"/>
      </w:pPr>
      <w:rPr>
        <w:rFonts w:cs="Times New Roman"/>
      </w:rPr>
    </w:lvl>
    <w:lvl w:ilvl="1" w:tplc="0409001B">
      <w:start w:val="1"/>
      <w:numFmt w:val="lowerRoman"/>
      <w:lvlText w:val="%2."/>
      <w:lvlJc w:val="right"/>
      <w:pPr>
        <w:ind w:left="2160" w:hanging="360"/>
      </w:pPr>
      <w:rPr>
        <w:rFonts w:cs="Times New Roman" w:hint="default"/>
        <w:sz w:val="2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1BF70809"/>
    <w:multiLevelType w:val="hybridMultilevel"/>
    <w:tmpl w:val="EDF0A62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7A6984"/>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15A00"/>
    <w:multiLevelType w:val="hybridMultilevel"/>
    <w:tmpl w:val="FC248484"/>
    <w:lvl w:ilvl="0" w:tplc="6BAC0802">
      <w:start w:val="1"/>
      <w:numFmt w:val="upperRoman"/>
      <w:lvlText w:val="%1."/>
      <w:lvlJc w:val="left"/>
      <w:pPr>
        <w:ind w:left="720" w:hanging="360"/>
      </w:pPr>
      <w:rPr>
        <w:rFonts w:cs="Times New Roman" w:hint="default"/>
        <w:b/>
        <w:i w:val="0"/>
      </w:rPr>
    </w:lvl>
    <w:lvl w:ilvl="1" w:tplc="04090015">
      <w:start w:val="1"/>
      <w:numFmt w:val="upperLetter"/>
      <w:lvlText w:val="%2."/>
      <w:lvlJc w:val="left"/>
      <w:pPr>
        <w:ind w:left="1440" w:hanging="360"/>
      </w:p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5E500B2"/>
    <w:multiLevelType w:val="hybridMultilevel"/>
    <w:tmpl w:val="CB5AF886"/>
    <w:lvl w:ilvl="0" w:tplc="6CC06064">
      <w:start w:val="1"/>
      <w:numFmt w:val="lowerLetter"/>
      <w:lvlText w:val="%1."/>
      <w:lvlJc w:val="left"/>
      <w:pPr>
        <w:ind w:left="144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6A01436"/>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C75F0A"/>
    <w:multiLevelType w:val="hybridMultilevel"/>
    <w:tmpl w:val="D236E140"/>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51B1E"/>
    <w:multiLevelType w:val="hybridMultilevel"/>
    <w:tmpl w:val="B204E92A"/>
    <w:lvl w:ilvl="0" w:tplc="26CA68AC">
      <w:start w:val="1"/>
      <w:numFmt w:val="upperRoman"/>
      <w:lvlText w:val="%1."/>
      <w:lvlJc w:val="left"/>
      <w:pPr>
        <w:ind w:left="720" w:hanging="360"/>
      </w:pPr>
      <w:rPr>
        <w:rFonts w:cs="Times New Roman" w:hint="default"/>
        <w:b/>
      </w:rPr>
    </w:lvl>
    <w:lvl w:ilvl="1" w:tplc="56CC320A">
      <w:start w:val="1"/>
      <w:numFmt w:val="upperLetter"/>
      <w:lvlText w:val="%2."/>
      <w:lvlJc w:val="left"/>
      <w:pPr>
        <w:ind w:left="1440" w:hanging="360"/>
      </w:pPr>
      <w:rPr>
        <w:rFonts w:cs="Times New Roman"/>
        <w:b/>
      </w:rPr>
    </w:lvl>
    <w:lvl w:ilvl="2" w:tplc="B0D8E88E">
      <w:start w:val="1"/>
      <w:numFmt w:val="decimal"/>
      <w:lvlText w:val="%3."/>
      <w:lvlJc w:val="left"/>
      <w:pPr>
        <w:ind w:left="2160" w:hanging="180"/>
      </w:pPr>
      <w:rPr>
        <w:rFonts w:cs="Times New Roman"/>
        <w:b/>
      </w:rPr>
    </w:lvl>
    <w:lvl w:ilvl="3" w:tplc="04090019">
      <w:start w:val="1"/>
      <w:numFmt w:val="lowerLetter"/>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2E1E7600"/>
    <w:multiLevelType w:val="hybridMultilevel"/>
    <w:tmpl w:val="3A786F0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1497053"/>
    <w:multiLevelType w:val="hybridMultilevel"/>
    <w:tmpl w:val="BE262ED6"/>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322D1CC2"/>
    <w:multiLevelType w:val="hybridMultilevel"/>
    <w:tmpl w:val="F43A0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6063C"/>
    <w:multiLevelType w:val="hybridMultilevel"/>
    <w:tmpl w:val="04382478"/>
    <w:lvl w:ilvl="0" w:tplc="5C220D9E">
      <w:start w:val="1"/>
      <w:numFmt w:val="decimal"/>
      <w:lvlText w:val="%1."/>
      <w:lvlJc w:val="left"/>
      <w:pPr>
        <w:ind w:left="720" w:hanging="360"/>
      </w:pPr>
      <w:rPr>
        <w:rFonts w:cs="Times New Roman" w:hint="default"/>
        <w:b w:val="0"/>
      </w:rPr>
    </w:lvl>
    <w:lvl w:ilvl="1" w:tplc="6CC06064">
      <w:start w:val="1"/>
      <w:numFmt w:val="lowerLetter"/>
      <w:lvlText w:val="%2."/>
      <w:lvlJc w:val="left"/>
      <w:pPr>
        <w:ind w:left="1440" w:hanging="360"/>
      </w:pPr>
      <w:rPr>
        <w:rFonts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6B68E6"/>
    <w:multiLevelType w:val="hybridMultilevel"/>
    <w:tmpl w:val="F330294A"/>
    <w:lvl w:ilvl="0" w:tplc="D0FE5CC8">
      <w:start w:val="1"/>
      <w:numFmt w:val="lowerRoman"/>
      <w:lvlText w:val="%1."/>
      <w:lvlJc w:val="left"/>
      <w:pPr>
        <w:ind w:left="3960" w:hanging="360"/>
      </w:pPr>
      <w:rPr>
        <w:rFonts w:cs="Times New Roman" w:hint="default"/>
      </w:rPr>
    </w:lvl>
    <w:lvl w:ilvl="1" w:tplc="04090019" w:tentative="1">
      <w:start w:val="1"/>
      <w:numFmt w:val="lowerLetter"/>
      <w:lvlText w:val="%2."/>
      <w:lvlJc w:val="left"/>
      <w:pPr>
        <w:ind w:left="4680" w:hanging="360"/>
      </w:pPr>
      <w:rPr>
        <w:rFonts w:cs="Times New Roman"/>
      </w:rPr>
    </w:lvl>
    <w:lvl w:ilvl="2" w:tplc="0409001B" w:tentative="1">
      <w:start w:val="1"/>
      <w:numFmt w:val="lowerRoman"/>
      <w:lvlText w:val="%3."/>
      <w:lvlJc w:val="right"/>
      <w:pPr>
        <w:ind w:left="5400" w:hanging="180"/>
      </w:pPr>
      <w:rPr>
        <w:rFonts w:cs="Times New Roman"/>
      </w:rPr>
    </w:lvl>
    <w:lvl w:ilvl="3" w:tplc="0409000F" w:tentative="1">
      <w:start w:val="1"/>
      <w:numFmt w:val="decimal"/>
      <w:lvlText w:val="%4."/>
      <w:lvlJc w:val="left"/>
      <w:pPr>
        <w:ind w:left="6120" w:hanging="360"/>
      </w:pPr>
      <w:rPr>
        <w:rFonts w:cs="Times New Roman"/>
      </w:rPr>
    </w:lvl>
    <w:lvl w:ilvl="4" w:tplc="04090019" w:tentative="1">
      <w:start w:val="1"/>
      <w:numFmt w:val="lowerLetter"/>
      <w:lvlText w:val="%5."/>
      <w:lvlJc w:val="left"/>
      <w:pPr>
        <w:ind w:left="6840" w:hanging="360"/>
      </w:pPr>
      <w:rPr>
        <w:rFonts w:cs="Times New Roman"/>
      </w:rPr>
    </w:lvl>
    <w:lvl w:ilvl="5" w:tplc="0409001B" w:tentative="1">
      <w:start w:val="1"/>
      <w:numFmt w:val="lowerRoman"/>
      <w:lvlText w:val="%6."/>
      <w:lvlJc w:val="right"/>
      <w:pPr>
        <w:ind w:left="7560" w:hanging="180"/>
      </w:pPr>
      <w:rPr>
        <w:rFonts w:cs="Times New Roman"/>
      </w:rPr>
    </w:lvl>
    <w:lvl w:ilvl="6" w:tplc="0409000F" w:tentative="1">
      <w:start w:val="1"/>
      <w:numFmt w:val="decimal"/>
      <w:lvlText w:val="%7."/>
      <w:lvlJc w:val="left"/>
      <w:pPr>
        <w:ind w:left="8280" w:hanging="360"/>
      </w:pPr>
      <w:rPr>
        <w:rFonts w:cs="Times New Roman"/>
      </w:rPr>
    </w:lvl>
    <w:lvl w:ilvl="7" w:tplc="04090019" w:tentative="1">
      <w:start w:val="1"/>
      <w:numFmt w:val="lowerLetter"/>
      <w:lvlText w:val="%8."/>
      <w:lvlJc w:val="left"/>
      <w:pPr>
        <w:ind w:left="9000" w:hanging="360"/>
      </w:pPr>
      <w:rPr>
        <w:rFonts w:cs="Times New Roman"/>
      </w:rPr>
    </w:lvl>
    <w:lvl w:ilvl="8" w:tplc="0409001B" w:tentative="1">
      <w:start w:val="1"/>
      <w:numFmt w:val="lowerRoman"/>
      <w:lvlText w:val="%9."/>
      <w:lvlJc w:val="right"/>
      <w:pPr>
        <w:ind w:left="9720" w:hanging="180"/>
      </w:pPr>
      <w:rPr>
        <w:rFonts w:cs="Times New Roman"/>
      </w:rPr>
    </w:lvl>
  </w:abstractNum>
  <w:abstractNum w:abstractNumId="15" w15:restartNumberingAfterBreak="0">
    <w:nsid w:val="3A231C77"/>
    <w:multiLevelType w:val="hybridMultilevel"/>
    <w:tmpl w:val="553682CE"/>
    <w:lvl w:ilvl="0" w:tplc="A244BB9A">
      <w:start w:val="1"/>
      <w:numFmt w:val="upperLetter"/>
      <w:lvlText w:val="%1."/>
      <w:lvlJc w:val="left"/>
      <w:pPr>
        <w:ind w:left="1440" w:hanging="360"/>
      </w:pPr>
      <w:rPr>
        <w:rFonts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15:restartNumberingAfterBreak="0">
    <w:nsid w:val="3EBE345C"/>
    <w:multiLevelType w:val="hybridMultilevel"/>
    <w:tmpl w:val="387EA7BC"/>
    <w:lvl w:ilvl="0" w:tplc="5C220D9E">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83412D"/>
    <w:multiLevelType w:val="hybridMultilevel"/>
    <w:tmpl w:val="30245A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8116C07"/>
    <w:multiLevelType w:val="hybridMultilevel"/>
    <w:tmpl w:val="8BA47DAA"/>
    <w:lvl w:ilvl="0" w:tplc="A2028F36">
      <w:start w:val="1"/>
      <w:numFmt w:val="upperRoman"/>
      <w:lvlText w:val="%1."/>
      <w:lvlJc w:val="left"/>
      <w:pPr>
        <w:ind w:left="7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003ABD"/>
    <w:multiLevelType w:val="hybridMultilevel"/>
    <w:tmpl w:val="3EF49DD6"/>
    <w:lvl w:ilvl="0" w:tplc="0F8AA36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0" w15:restartNumberingAfterBreak="0">
    <w:nsid w:val="501E588C"/>
    <w:multiLevelType w:val="hybridMultilevel"/>
    <w:tmpl w:val="E64EBBD0"/>
    <w:lvl w:ilvl="0" w:tplc="6BAC0802">
      <w:start w:val="1"/>
      <w:numFmt w:val="upperRoman"/>
      <w:lvlText w:val="%1."/>
      <w:lvlJc w:val="left"/>
      <w:pPr>
        <w:ind w:left="720" w:hanging="360"/>
      </w:pPr>
      <w:rPr>
        <w:rFonts w:cs="Times New Roman" w:hint="default"/>
        <w:b/>
        <w:i w:val="0"/>
      </w:rPr>
    </w:lvl>
    <w:lvl w:ilvl="1" w:tplc="0409000F">
      <w:start w:val="1"/>
      <w:numFmt w:val="decimal"/>
      <w:lvlText w:val="%2."/>
      <w:lvlJc w:val="left"/>
      <w:pPr>
        <w:ind w:left="1440" w:hanging="360"/>
      </w:p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54D365D0"/>
    <w:multiLevelType w:val="hybridMultilevel"/>
    <w:tmpl w:val="D55A7940"/>
    <w:lvl w:ilvl="0" w:tplc="F85C9D98">
      <w:start w:val="1"/>
      <w:numFmt w:val="upperLetter"/>
      <w:lvlText w:val="%1."/>
      <w:lvlJc w:val="left"/>
      <w:pPr>
        <w:ind w:left="720" w:hanging="360"/>
      </w:pPr>
      <w:rPr>
        <w:rFonts w:cs="Times New Roman"/>
        <w:b w:val="0"/>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50746AA"/>
    <w:multiLevelType w:val="hybridMultilevel"/>
    <w:tmpl w:val="7B9A4726"/>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15:restartNumberingAfterBreak="0">
    <w:nsid w:val="5C8B1A41"/>
    <w:multiLevelType w:val="hybridMultilevel"/>
    <w:tmpl w:val="05FA9C02"/>
    <w:lvl w:ilvl="0" w:tplc="72D023EC">
      <w:start w:val="1"/>
      <w:numFmt w:val="decimal"/>
      <w:lvlText w:val="%1."/>
      <w:lvlJc w:val="left"/>
      <w:pPr>
        <w:ind w:left="36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5CA85E51"/>
    <w:multiLevelType w:val="hybridMultilevel"/>
    <w:tmpl w:val="C400D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874871"/>
    <w:multiLevelType w:val="hybridMultilevel"/>
    <w:tmpl w:val="B94C4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D1434D"/>
    <w:multiLevelType w:val="hybridMultilevel"/>
    <w:tmpl w:val="3806A69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6F600535"/>
    <w:multiLevelType w:val="hybridMultilevel"/>
    <w:tmpl w:val="0A58192A"/>
    <w:lvl w:ilvl="0" w:tplc="04090019">
      <w:start w:val="1"/>
      <w:numFmt w:val="lowerLetter"/>
      <w:lvlText w:val="%1."/>
      <w:lvlJc w:val="left"/>
      <w:pPr>
        <w:ind w:left="1440" w:hanging="360"/>
      </w:pPr>
      <w:rPr>
        <w:rFonts w:cs="Times New Roman"/>
      </w:rPr>
    </w:lvl>
    <w:lvl w:ilvl="1" w:tplc="04090019">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9" w15:restartNumberingAfterBreak="0">
    <w:nsid w:val="729229B1"/>
    <w:multiLevelType w:val="hybridMultilevel"/>
    <w:tmpl w:val="6C80DABC"/>
    <w:lvl w:ilvl="0" w:tplc="6BAC0802">
      <w:start w:val="1"/>
      <w:numFmt w:val="upperRoman"/>
      <w:lvlText w:val="%1."/>
      <w:lvlJc w:val="left"/>
      <w:pPr>
        <w:ind w:left="720" w:hanging="360"/>
      </w:pPr>
      <w:rPr>
        <w:rFonts w:cs="Times New Roman" w:hint="default"/>
        <w:b/>
        <w:i w:val="0"/>
      </w:rPr>
    </w:lvl>
    <w:lvl w:ilvl="1" w:tplc="0409000F">
      <w:start w:val="1"/>
      <w:numFmt w:val="decimal"/>
      <w:lvlText w:val="%2."/>
      <w:lvlJc w:val="left"/>
      <w:pPr>
        <w:ind w:left="1440" w:hanging="360"/>
      </w:p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7D1E3D0A"/>
    <w:multiLevelType w:val="hybridMultilevel"/>
    <w:tmpl w:val="85126740"/>
    <w:lvl w:ilvl="0" w:tplc="6BAC0802">
      <w:start w:val="1"/>
      <w:numFmt w:val="upperRoman"/>
      <w:lvlText w:val="%1."/>
      <w:lvlJc w:val="left"/>
      <w:pPr>
        <w:ind w:left="720" w:hanging="360"/>
      </w:pPr>
      <w:rPr>
        <w:rFonts w:cs="Times New Roman" w:hint="default"/>
        <w:b/>
        <w:i w:val="0"/>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19">
      <w:start w:val="1"/>
      <w:numFmt w:val="lowerLetter"/>
      <w:lvlText w:val="%4."/>
      <w:lvlJc w:val="left"/>
      <w:pPr>
        <w:ind w:left="2880" w:hanging="360"/>
      </w:pPr>
      <w:rPr>
        <w:rFonts w:cs="Times New Roman"/>
      </w:rPr>
    </w:lvl>
    <w:lvl w:ilvl="4" w:tplc="58AADE0C">
      <w:start w:val="1"/>
      <w:numFmt w:val="lowerRoman"/>
      <w:lvlText w:val="%5."/>
      <w:lvlJc w:val="left"/>
      <w:pPr>
        <w:ind w:left="3600" w:hanging="360"/>
      </w:pPr>
      <w:rPr>
        <w:rFonts w:cs="Times New Roman" w:hint="default"/>
        <w:sz w:val="20"/>
      </w:rPr>
    </w:lvl>
    <w:lvl w:ilvl="5" w:tplc="04090017">
      <w:start w:val="1"/>
      <w:numFmt w:val="lowerLetter"/>
      <w:lvlText w:val="%6)"/>
      <w:lvlJc w:val="lef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592081561">
    <w:abstractNumId w:val="31"/>
  </w:num>
  <w:num w:numId="2" w16cid:durableId="1906793946">
    <w:abstractNumId w:val="0"/>
  </w:num>
  <w:num w:numId="3" w16cid:durableId="795686902">
    <w:abstractNumId w:val="9"/>
  </w:num>
  <w:num w:numId="4" w16cid:durableId="1806191349">
    <w:abstractNumId w:val="14"/>
  </w:num>
  <w:num w:numId="5" w16cid:durableId="899513129">
    <w:abstractNumId w:val="15"/>
  </w:num>
  <w:num w:numId="6" w16cid:durableId="297690041">
    <w:abstractNumId w:val="26"/>
  </w:num>
  <w:num w:numId="7" w16cid:durableId="713582528">
    <w:abstractNumId w:val="27"/>
  </w:num>
  <w:num w:numId="8" w16cid:durableId="308176500">
    <w:abstractNumId w:val="1"/>
  </w:num>
  <w:num w:numId="9" w16cid:durableId="1169294217">
    <w:abstractNumId w:val="21"/>
  </w:num>
  <w:num w:numId="10" w16cid:durableId="1637642183">
    <w:abstractNumId w:val="7"/>
  </w:num>
  <w:num w:numId="11" w16cid:durableId="488718275">
    <w:abstractNumId w:val="30"/>
  </w:num>
  <w:num w:numId="12" w16cid:durableId="463624820">
    <w:abstractNumId w:val="13"/>
  </w:num>
  <w:num w:numId="13" w16cid:durableId="159590719">
    <w:abstractNumId w:val="11"/>
  </w:num>
  <w:num w:numId="14" w16cid:durableId="1483545178">
    <w:abstractNumId w:val="4"/>
  </w:num>
  <w:num w:numId="15" w16cid:durableId="33166794">
    <w:abstractNumId w:val="8"/>
  </w:num>
  <w:num w:numId="16" w16cid:durableId="192698295">
    <w:abstractNumId w:val="28"/>
  </w:num>
  <w:num w:numId="17" w16cid:durableId="15158451">
    <w:abstractNumId w:val="22"/>
  </w:num>
  <w:num w:numId="18" w16cid:durableId="1817986178">
    <w:abstractNumId w:val="16"/>
  </w:num>
  <w:num w:numId="19" w16cid:durableId="1078748238">
    <w:abstractNumId w:val="6"/>
  </w:num>
  <w:num w:numId="20" w16cid:durableId="678656287">
    <w:abstractNumId w:val="2"/>
  </w:num>
  <w:num w:numId="21" w16cid:durableId="484008743">
    <w:abstractNumId w:val="23"/>
  </w:num>
  <w:num w:numId="22" w16cid:durableId="1912039991">
    <w:abstractNumId w:val="18"/>
  </w:num>
  <w:num w:numId="23" w16cid:durableId="1034188515">
    <w:abstractNumId w:val="19"/>
  </w:num>
  <w:num w:numId="24" w16cid:durableId="746615545">
    <w:abstractNumId w:val="12"/>
  </w:num>
  <w:num w:numId="25" w16cid:durableId="832645119">
    <w:abstractNumId w:val="24"/>
  </w:num>
  <w:num w:numId="26" w16cid:durableId="1714570819">
    <w:abstractNumId w:val="25"/>
  </w:num>
  <w:num w:numId="27" w16cid:durableId="522746637">
    <w:abstractNumId w:val="3"/>
  </w:num>
  <w:num w:numId="28" w16cid:durableId="658311792">
    <w:abstractNumId w:val="20"/>
  </w:num>
  <w:num w:numId="29" w16cid:durableId="95905124">
    <w:abstractNumId w:val="10"/>
  </w:num>
  <w:num w:numId="30" w16cid:durableId="1614481704">
    <w:abstractNumId w:val="29"/>
  </w:num>
  <w:num w:numId="31" w16cid:durableId="1701320013">
    <w:abstractNumId w:val="5"/>
  </w:num>
  <w:num w:numId="32" w16cid:durableId="27094106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2330"/>
    <w:rsid w:val="00012CB4"/>
    <w:rsid w:val="0002558B"/>
    <w:rsid w:val="000276B9"/>
    <w:rsid w:val="00027712"/>
    <w:rsid w:val="00030779"/>
    <w:rsid w:val="00032951"/>
    <w:rsid w:val="0003297F"/>
    <w:rsid w:val="00032D3F"/>
    <w:rsid w:val="00040222"/>
    <w:rsid w:val="0004026D"/>
    <w:rsid w:val="00040726"/>
    <w:rsid w:val="0004289F"/>
    <w:rsid w:val="00042B5E"/>
    <w:rsid w:val="00043E65"/>
    <w:rsid w:val="000465DE"/>
    <w:rsid w:val="0004733E"/>
    <w:rsid w:val="00050025"/>
    <w:rsid w:val="00060509"/>
    <w:rsid w:val="00063A3E"/>
    <w:rsid w:val="000753C0"/>
    <w:rsid w:val="00076482"/>
    <w:rsid w:val="00080E7F"/>
    <w:rsid w:val="00083740"/>
    <w:rsid w:val="00085799"/>
    <w:rsid w:val="000902E4"/>
    <w:rsid w:val="00094136"/>
    <w:rsid w:val="000961F6"/>
    <w:rsid w:val="000A0912"/>
    <w:rsid w:val="000A0F1C"/>
    <w:rsid w:val="000A7F04"/>
    <w:rsid w:val="000B0A34"/>
    <w:rsid w:val="000B7AE3"/>
    <w:rsid w:val="000C40BB"/>
    <w:rsid w:val="000D2CCA"/>
    <w:rsid w:val="000D73DF"/>
    <w:rsid w:val="000E08C4"/>
    <w:rsid w:val="000E1CC5"/>
    <w:rsid w:val="000E2DB8"/>
    <w:rsid w:val="000E4441"/>
    <w:rsid w:val="000E4942"/>
    <w:rsid w:val="000E4B32"/>
    <w:rsid w:val="000E5D2F"/>
    <w:rsid w:val="000F10C2"/>
    <w:rsid w:val="000F28E3"/>
    <w:rsid w:val="000F52E1"/>
    <w:rsid w:val="001003AE"/>
    <w:rsid w:val="00100F25"/>
    <w:rsid w:val="00100FAF"/>
    <w:rsid w:val="0010449E"/>
    <w:rsid w:val="00105178"/>
    <w:rsid w:val="0010672C"/>
    <w:rsid w:val="001079AA"/>
    <w:rsid w:val="001148A8"/>
    <w:rsid w:val="00114F35"/>
    <w:rsid w:val="00133B73"/>
    <w:rsid w:val="00135C72"/>
    <w:rsid w:val="00141E86"/>
    <w:rsid w:val="0014316D"/>
    <w:rsid w:val="001466AF"/>
    <w:rsid w:val="00146C6E"/>
    <w:rsid w:val="001521E9"/>
    <w:rsid w:val="001624A6"/>
    <w:rsid w:val="00164566"/>
    <w:rsid w:val="00170B14"/>
    <w:rsid w:val="00171801"/>
    <w:rsid w:val="00173229"/>
    <w:rsid w:val="00177739"/>
    <w:rsid w:val="001818D7"/>
    <w:rsid w:val="00182BAF"/>
    <w:rsid w:val="00183464"/>
    <w:rsid w:val="00184584"/>
    <w:rsid w:val="00184898"/>
    <w:rsid w:val="00185104"/>
    <w:rsid w:val="001877E8"/>
    <w:rsid w:val="0019244F"/>
    <w:rsid w:val="0019477F"/>
    <w:rsid w:val="001951A7"/>
    <w:rsid w:val="001962BE"/>
    <w:rsid w:val="00196689"/>
    <w:rsid w:val="00196935"/>
    <w:rsid w:val="0019746F"/>
    <w:rsid w:val="001976FB"/>
    <w:rsid w:val="0019785C"/>
    <w:rsid w:val="001A447F"/>
    <w:rsid w:val="001A5241"/>
    <w:rsid w:val="001B7879"/>
    <w:rsid w:val="001C173F"/>
    <w:rsid w:val="001C1F52"/>
    <w:rsid w:val="001C254C"/>
    <w:rsid w:val="001C4694"/>
    <w:rsid w:val="001C4EB7"/>
    <w:rsid w:val="001D0D34"/>
    <w:rsid w:val="001D70D4"/>
    <w:rsid w:val="001E0E78"/>
    <w:rsid w:val="001E7D12"/>
    <w:rsid w:val="001F0907"/>
    <w:rsid w:val="001F1F58"/>
    <w:rsid w:val="001F5A9E"/>
    <w:rsid w:val="001F64DC"/>
    <w:rsid w:val="001F6DCB"/>
    <w:rsid w:val="00200D53"/>
    <w:rsid w:val="0020675F"/>
    <w:rsid w:val="00207193"/>
    <w:rsid w:val="00210B94"/>
    <w:rsid w:val="002133E4"/>
    <w:rsid w:val="0021366C"/>
    <w:rsid w:val="00220736"/>
    <w:rsid w:val="00223A9A"/>
    <w:rsid w:val="00224E17"/>
    <w:rsid w:val="00227035"/>
    <w:rsid w:val="002274CD"/>
    <w:rsid w:val="00227B39"/>
    <w:rsid w:val="00230FE4"/>
    <w:rsid w:val="00232ADD"/>
    <w:rsid w:val="00233651"/>
    <w:rsid w:val="00234F93"/>
    <w:rsid w:val="00240D78"/>
    <w:rsid w:val="00241A9F"/>
    <w:rsid w:val="00242C2C"/>
    <w:rsid w:val="00247042"/>
    <w:rsid w:val="00253578"/>
    <w:rsid w:val="00254020"/>
    <w:rsid w:val="0025452A"/>
    <w:rsid w:val="00264E63"/>
    <w:rsid w:val="0026556B"/>
    <w:rsid w:val="00266D19"/>
    <w:rsid w:val="00270005"/>
    <w:rsid w:val="0027118D"/>
    <w:rsid w:val="00274767"/>
    <w:rsid w:val="00280C25"/>
    <w:rsid w:val="00284C8A"/>
    <w:rsid w:val="00285997"/>
    <w:rsid w:val="0029327F"/>
    <w:rsid w:val="00293D16"/>
    <w:rsid w:val="002950C3"/>
    <w:rsid w:val="0029517A"/>
    <w:rsid w:val="00296F48"/>
    <w:rsid w:val="002A335B"/>
    <w:rsid w:val="002A39EE"/>
    <w:rsid w:val="002A515B"/>
    <w:rsid w:val="002B0582"/>
    <w:rsid w:val="002B22F8"/>
    <w:rsid w:val="002B4579"/>
    <w:rsid w:val="002B64F6"/>
    <w:rsid w:val="002C044B"/>
    <w:rsid w:val="002C6AAB"/>
    <w:rsid w:val="002C6EE7"/>
    <w:rsid w:val="002C6F04"/>
    <w:rsid w:val="002C7874"/>
    <w:rsid w:val="002D019A"/>
    <w:rsid w:val="002D1C74"/>
    <w:rsid w:val="002D3350"/>
    <w:rsid w:val="002D649B"/>
    <w:rsid w:val="002D6BC8"/>
    <w:rsid w:val="002E14A0"/>
    <w:rsid w:val="002E3BFC"/>
    <w:rsid w:val="002E3F24"/>
    <w:rsid w:val="002E48E7"/>
    <w:rsid w:val="002E5306"/>
    <w:rsid w:val="002F0C17"/>
    <w:rsid w:val="002F53C6"/>
    <w:rsid w:val="00300386"/>
    <w:rsid w:val="0030238E"/>
    <w:rsid w:val="00302E60"/>
    <w:rsid w:val="00303562"/>
    <w:rsid w:val="003041AF"/>
    <w:rsid w:val="00305E00"/>
    <w:rsid w:val="003123C9"/>
    <w:rsid w:val="00312F16"/>
    <w:rsid w:val="003140D6"/>
    <w:rsid w:val="00320DFA"/>
    <w:rsid w:val="00323153"/>
    <w:rsid w:val="00331161"/>
    <w:rsid w:val="00332770"/>
    <w:rsid w:val="00332F42"/>
    <w:rsid w:val="00333A05"/>
    <w:rsid w:val="00334E79"/>
    <w:rsid w:val="003365D0"/>
    <w:rsid w:val="00336E37"/>
    <w:rsid w:val="003458AC"/>
    <w:rsid w:val="00350F22"/>
    <w:rsid w:val="003525F3"/>
    <w:rsid w:val="00363172"/>
    <w:rsid w:val="00363DE4"/>
    <w:rsid w:val="00363FB9"/>
    <w:rsid w:val="00365305"/>
    <w:rsid w:val="0037130B"/>
    <w:rsid w:val="003729D6"/>
    <w:rsid w:val="00375B4E"/>
    <w:rsid w:val="00375DEF"/>
    <w:rsid w:val="00376BF4"/>
    <w:rsid w:val="00380CD3"/>
    <w:rsid w:val="003840CC"/>
    <w:rsid w:val="00391DE4"/>
    <w:rsid w:val="0039581A"/>
    <w:rsid w:val="003A0E31"/>
    <w:rsid w:val="003A1413"/>
    <w:rsid w:val="003A2A4E"/>
    <w:rsid w:val="003A31A2"/>
    <w:rsid w:val="003A3A9A"/>
    <w:rsid w:val="003A5CA9"/>
    <w:rsid w:val="003C174B"/>
    <w:rsid w:val="003C3EB9"/>
    <w:rsid w:val="003C64EA"/>
    <w:rsid w:val="003C742D"/>
    <w:rsid w:val="003D57E6"/>
    <w:rsid w:val="003D7BE7"/>
    <w:rsid w:val="003E3C07"/>
    <w:rsid w:val="003E5056"/>
    <w:rsid w:val="003F00C9"/>
    <w:rsid w:val="003F087D"/>
    <w:rsid w:val="003F3D44"/>
    <w:rsid w:val="003F50A7"/>
    <w:rsid w:val="003F68F8"/>
    <w:rsid w:val="003F71EE"/>
    <w:rsid w:val="003F7235"/>
    <w:rsid w:val="004000F2"/>
    <w:rsid w:val="00422DE8"/>
    <w:rsid w:val="004470C7"/>
    <w:rsid w:val="0045151F"/>
    <w:rsid w:val="00460A5A"/>
    <w:rsid w:val="00463206"/>
    <w:rsid w:val="004679BB"/>
    <w:rsid w:val="00472C6C"/>
    <w:rsid w:val="00480C09"/>
    <w:rsid w:val="00482474"/>
    <w:rsid w:val="00482E60"/>
    <w:rsid w:val="00484700"/>
    <w:rsid w:val="00487D16"/>
    <w:rsid w:val="00487E50"/>
    <w:rsid w:val="00490DB0"/>
    <w:rsid w:val="00493710"/>
    <w:rsid w:val="00496BCF"/>
    <w:rsid w:val="00497AED"/>
    <w:rsid w:val="00497D2C"/>
    <w:rsid w:val="004A2515"/>
    <w:rsid w:val="004A63E7"/>
    <w:rsid w:val="004B08A9"/>
    <w:rsid w:val="004B2309"/>
    <w:rsid w:val="004B4272"/>
    <w:rsid w:val="004C1A53"/>
    <w:rsid w:val="004C58FE"/>
    <w:rsid w:val="004C6A86"/>
    <w:rsid w:val="004D1556"/>
    <w:rsid w:val="004D1DC7"/>
    <w:rsid w:val="004D33F5"/>
    <w:rsid w:val="004D61E9"/>
    <w:rsid w:val="004E0A78"/>
    <w:rsid w:val="004E0B99"/>
    <w:rsid w:val="004E33B6"/>
    <w:rsid w:val="004E33C6"/>
    <w:rsid w:val="004E38F3"/>
    <w:rsid w:val="004E5B64"/>
    <w:rsid w:val="004F1595"/>
    <w:rsid w:val="004F443E"/>
    <w:rsid w:val="004F6394"/>
    <w:rsid w:val="00504F03"/>
    <w:rsid w:val="00505830"/>
    <w:rsid w:val="00507DC0"/>
    <w:rsid w:val="005103B8"/>
    <w:rsid w:val="00512492"/>
    <w:rsid w:val="005144C0"/>
    <w:rsid w:val="005152CE"/>
    <w:rsid w:val="00520139"/>
    <w:rsid w:val="005246DA"/>
    <w:rsid w:val="00530C48"/>
    <w:rsid w:val="005331E7"/>
    <w:rsid w:val="00536384"/>
    <w:rsid w:val="005363DC"/>
    <w:rsid w:val="005423D4"/>
    <w:rsid w:val="00542649"/>
    <w:rsid w:val="005537B0"/>
    <w:rsid w:val="00556CBA"/>
    <w:rsid w:val="0055740C"/>
    <w:rsid w:val="00572CD1"/>
    <w:rsid w:val="005776FD"/>
    <w:rsid w:val="00580C35"/>
    <w:rsid w:val="00583376"/>
    <w:rsid w:val="00585E37"/>
    <w:rsid w:val="00590825"/>
    <w:rsid w:val="00591403"/>
    <w:rsid w:val="00596DF0"/>
    <w:rsid w:val="005A05BE"/>
    <w:rsid w:val="005A14EF"/>
    <w:rsid w:val="005A6AD8"/>
    <w:rsid w:val="005B0489"/>
    <w:rsid w:val="005B125A"/>
    <w:rsid w:val="005B7692"/>
    <w:rsid w:val="005C17DF"/>
    <w:rsid w:val="005C3607"/>
    <w:rsid w:val="005C379E"/>
    <w:rsid w:val="005C517B"/>
    <w:rsid w:val="005D009F"/>
    <w:rsid w:val="005D0DA1"/>
    <w:rsid w:val="005D5146"/>
    <w:rsid w:val="005D6347"/>
    <w:rsid w:val="005D7B81"/>
    <w:rsid w:val="005E117C"/>
    <w:rsid w:val="005E2B1B"/>
    <w:rsid w:val="005E4019"/>
    <w:rsid w:val="005E411E"/>
    <w:rsid w:val="005E49AB"/>
    <w:rsid w:val="005E78C3"/>
    <w:rsid w:val="005F051C"/>
    <w:rsid w:val="005F43CB"/>
    <w:rsid w:val="005F74E2"/>
    <w:rsid w:val="005F7F8A"/>
    <w:rsid w:val="00602B81"/>
    <w:rsid w:val="00605712"/>
    <w:rsid w:val="00607972"/>
    <w:rsid w:val="00614756"/>
    <w:rsid w:val="00616EB0"/>
    <w:rsid w:val="006179D2"/>
    <w:rsid w:val="00633846"/>
    <w:rsid w:val="006354C5"/>
    <w:rsid w:val="00637460"/>
    <w:rsid w:val="00640341"/>
    <w:rsid w:val="00640680"/>
    <w:rsid w:val="00643E3F"/>
    <w:rsid w:val="006474BB"/>
    <w:rsid w:val="00652087"/>
    <w:rsid w:val="00654123"/>
    <w:rsid w:val="00656449"/>
    <w:rsid w:val="0065688F"/>
    <w:rsid w:val="00656A93"/>
    <w:rsid w:val="00662F93"/>
    <w:rsid w:val="0066321C"/>
    <w:rsid w:val="006664E9"/>
    <w:rsid w:val="00671E6F"/>
    <w:rsid w:val="00672F9E"/>
    <w:rsid w:val="00680895"/>
    <w:rsid w:val="00681093"/>
    <w:rsid w:val="0069061C"/>
    <w:rsid w:val="00693056"/>
    <w:rsid w:val="006A0868"/>
    <w:rsid w:val="006A0AB8"/>
    <w:rsid w:val="006A0EDA"/>
    <w:rsid w:val="006A68F1"/>
    <w:rsid w:val="006B58F3"/>
    <w:rsid w:val="006B59F3"/>
    <w:rsid w:val="006B690F"/>
    <w:rsid w:val="006C0E31"/>
    <w:rsid w:val="006C2A13"/>
    <w:rsid w:val="006C5582"/>
    <w:rsid w:val="006C721D"/>
    <w:rsid w:val="006C74DF"/>
    <w:rsid w:val="006C7E48"/>
    <w:rsid w:val="006E082E"/>
    <w:rsid w:val="006E2E3B"/>
    <w:rsid w:val="006E3490"/>
    <w:rsid w:val="006E37EA"/>
    <w:rsid w:val="006E4F76"/>
    <w:rsid w:val="006E598A"/>
    <w:rsid w:val="006E701B"/>
    <w:rsid w:val="006E7083"/>
    <w:rsid w:val="006F20D0"/>
    <w:rsid w:val="006F3428"/>
    <w:rsid w:val="006F3FF5"/>
    <w:rsid w:val="006F4D70"/>
    <w:rsid w:val="006F6EBE"/>
    <w:rsid w:val="00703CE9"/>
    <w:rsid w:val="00707C0D"/>
    <w:rsid w:val="0071044B"/>
    <w:rsid w:val="007109EC"/>
    <w:rsid w:val="007125C4"/>
    <w:rsid w:val="007148F7"/>
    <w:rsid w:val="00715DE0"/>
    <w:rsid w:val="007163E2"/>
    <w:rsid w:val="007174D5"/>
    <w:rsid w:val="007202A6"/>
    <w:rsid w:val="00722302"/>
    <w:rsid w:val="00744250"/>
    <w:rsid w:val="007447FA"/>
    <w:rsid w:val="0074601F"/>
    <w:rsid w:val="007475EF"/>
    <w:rsid w:val="007476FB"/>
    <w:rsid w:val="00757044"/>
    <w:rsid w:val="007579BD"/>
    <w:rsid w:val="007658CB"/>
    <w:rsid w:val="007764CE"/>
    <w:rsid w:val="00777577"/>
    <w:rsid w:val="0078373B"/>
    <w:rsid w:val="00784C69"/>
    <w:rsid w:val="00791E65"/>
    <w:rsid w:val="007928D1"/>
    <w:rsid w:val="007954D3"/>
    <w:rsid w:val="00795E26"/>
    <w:rsid w:val="007A0BCC"/>
    <w:rsid w:val="007A3658"/>
    <w:rsid w:val="007A4551"/>
    <w:rsid w:val="007B07AE"/>
    <w:rsid w:val="007B0994"/>
    <w:rsid w:val="007B1286"/>
    <w:rsid w:val="007B50D0"/>
    <w:rsid w:val="007B6A15"/>
    <w:rsid w:val="007C2A39"/>
    <w:rsid w:val="007C4AE4"/>
    <w:rsid w:val="007C72FD"/>
    <w:rsid w:val="007D4801"/>
    <w:rsid w:val="007E1DE1"/>
    <w:rsid w:val="007E440B"/>
    <w:rsid w:val="007E71B2"/>
    <w:rsid w:val="007F1F19"/>
    <w:rsid w:val="007F29B2"/>
    <w:rsid w:val="007F2C0F"/>
    <w:rsid w:val="00802581"/>
    <w:rsid w:val="0080550C"/>
    <w:rsid w:val="00816DC0"/>
    <w:rsid w:val="00832C9D"/>
    <w:rsid w:val="00834520"/>
    <w:rsid w:val="0083715B"/>
    <w:rsid w:val="00837DE2"/>
    <w:rsid w:val="00841224"/>
    <w:rsid w:val="008417F8"/>
    <w:rsid w:val="00845257"/>
    <w:rsid w:val="00846207"/>
    <w:rsid w:val="0084758C"/>
    <w:rsid w:val="00857C10"/>
    <w:rsid w:val="00860B7D"/>
    <w:rsid w:val="00863C49"/>
    <w:rsid w:val="008642AD"/>
    <w:rsid w:val="00866B67"/>
    <w:rsid w:val="00871622"/>
    <w:rsid w:val="00872F25"/>
    <w:rsid w:val="00875924"/>
    <w:rsid w:val="00876914"/>
    <w:rsid w:val="00877EC7"/>
    <w:rsid w:val="0088036D"/>
    <w:rsid w:val="008923C2"/>
    <w:rsid w:val="00894A4C"/>
    <w:rsid w:val="00896E94"/>
    <w:rsid w:val="0089720D"/>
    <w:rsid w:val="008A0458"/>
    <w:rsid w:val="008A196F"/>
    <w:rsid w:val="008A634C"/>
    <w:rsid w:val="008B0705"/>
    <w:rsid w:val="008C059B"/>
    <w:rsid w:val="008C6B3A"/>
    <w:rsid w:val="008C6C66"/>
    <w:rsid w:val="008C71B0"/>
    <w:rsid w:val="008D30CD"/>
    <w:rsid w:val="008D4674"/>
    <w:rsid w:val="008D5194"/>
    <w:rsid w:val="008E1C95"/>
    <w:rsid w:val="008E5644"/>
    <w:rsid w:val="008F098A"/>
    <w:rsid w:val="008F22F7"/>
    <w:rsid w:val="008F2E4B"/>
    <w:rsid w:val="00902C9B"/>
    <w:rsid w:val="00903FF9"/>
    <w:rsid w:val="00906992"/>
    <w:rsid w:val="00911E0C"/>
    <w:rsid w:val="009135E0"/>
    <w:rsid w:val="00915CA4"/>
    <w:rsid w:val="00927111"/>
    <w:rsid w:val="009365C6"/>
    <w:rsid w:val="00944CCD"/>
    <w:rsid w:val="0094504A"/>
    <w:rsid w:val="009451A7"/>
    <w:rsid w:val="00945AE2"/>
    <w:rsid w:val="0094684C"/>
    <w:rsid w:val="00950820"/>
    <w:rsid w:val="0095199A"/>
    <w:rsid w:val="00952CA1"/>
    <w:rsid w:val="00955002"/>
    <w:rsid w:val="00955D37"/>
    <w:rsid w:val="00961071"/>
    <w:rsid w:val="00963062"/>
    <w:rsid w:val="00972EAA"/>
    <w:rsid w:val="009735FA"/>
    <w:rsid w:val="00976D44"/>
    <w:rsid w:val="00977ECA"/>
    <w:rsid w:val="00982180"/>
    <w:rsid w:val="009829AA"/>
    <w:rsid w:val="00982F18"/>
    <w:rsid w:val="00983C82"/>
    <w:rsid w:val="00991BA7"/>
    <w:rsid w:val="009928B2"/>
    <w:rsid w:val="00994650"/>
    <w:rsid w:val="00995F29"/>
    <w:rsid w:val="00997207"/>
    <w:rsid w:val="009B082D"/>
    <w:rsid w:val="009B3110"/>
    <w:rsid w:val="009B4FC9"/>
    <w:rsid w:val="009B5F03"/>
    <w:rsid w:val="009B71EE"/>
    <w:rsid w:val="009C0C89"/>
    <w:rsid w:val="009C61B2"/>
    <w:rsid w:val="009C7392"/>
    <w:rsid w:val="009D24D3"/>
    <w:rsid w:val="009D3EBB"/>
    <w:rsid w:val="009D531A"/>
    <w:rsid w:val="009D5928"/>
    <w:rsid w:val="009D714F"/>
    <w:rsid w:val="009E405D"/>
    <w:rsid w:val="009E6961"/>
    <w:rsid w:val="009E6F29"/>
    <w:rsid w:val="009F1830"/>
    <w:rsid w:val="009F27FC"/>
    <w:rsid w:val="009F3297"/>
    <w:rsid w:val="009F3D4F"/>
    <w:rsid w:val="009F41F8"/>
    <w:rsid w:val="009F6538"/>
    <w:rsid w:val="009F79D1"/>
    <w:rsid w:val="00A004FA"/>
    <w:rsid w:val="00A07CB7"/>
    <w:rsid w:val="00A13184"/>
    <w:rsid w:val="00A175BA"/>
    <w:rsid w:val="00A20F73"/>
    <w:rsid w:val="00A22150"/>
    <w:rsid w:val="00A22439"/>
    <w:rsid w:val="00A32B61"/>
    <w:rsid w:val="00A41969"/>
    <w:rsid w:val="00A41B42"/>
    <w:rsid w:val="00A426FE"/>
    <w:rsid w:val="00A47406"/>
    <w:rsid w:val="00A60413"/>
    <w:rsid w:val="00A6359C"/>
    <w:rsid w:val="00A72B63"/>
    <w:rsid w:val="00A7388C"/>
    <w:rsid w:val="00A75365"/>
    <w:rsid w:val="00A824E4"/>
    <w:rsid w:val="00A83658"/>
    <w:rsid w:val="00A839E2"/>
    <w:rsid w:val="00A84C7D"/>
    <w:rsid w:val="00A85489"/>
    <w:rsid w:val="00A858B1"/>
    <w:rsid w:val="00A86407"/>
    <w:rsid w:val="00A87B1F"/>
    <w:rsid w:val="00A9007E"/>
    <w:rsid w:val="00A91188"/>
    <w:rsid w:val="00AA1B61"/>
    <w:rsid w:val="00AA336E"/>
    <w:rsid w:val="00AA3CA7"/>
    <w:rsid w:val="00AA428E"/>
    <w:rsid w:val="00AA44D7"/>
    <w:rsid w:val="00AB7C89"/>
    <w:rsid w:val="00AC1A65"/>
    <w:rsid w:val="00AC5623"/>
    <w:rsid w:val="00AC585B"/>
    <w:rsid w:val="00AC5C5A"/>
    <w:rsid w:val="00AC5FD6"/>
    <w:rsid w:val="00AD044F"/>
    <w:rsid w:val="00AD1AA6"/>
    <w:rsid w:val="00AD2BD8"/>
    <w:rsid w:val="00AD387C"/>
    <w:rsid w:val="00AD596D"/>
    <w:rsid w:val="00AD6A15"/>
    <w:rsid w:val="00AD6B1F"/>
    <w:rsid w:val="00AE0A93"/>
    <w:rsid w:val="00AE4215"/>
    <w:rsid w:val="00AE6533"/>
    <w:rsid w:val="00AE7A23"/>
    <w:rsid w:val="00AF1F2A"/>
    <w:rsid w:val="00AF2C92"/>
    <w:rsid w:val="00AF30EF"/>
    <w:rsid w:val="00AF5490"/>
    <w:rsid w:val="00B20133"/>
    <w:rsid w:val="00B235DD"/>
    <w:rsid w:val="00B24FBB"/>
    <w:rsid w:val="00B27318"/>
    <w:rsid w:val="00B33FC4"/>
    <w:rsid w:val="00B37CDC"/>
    <w:rsid w:val="00B402FF"/>
    <w:rsid w:val="00B40A27"/>
    <w:rsid w:val="00B4633B"/>
    <w:rsid w:val="00B55EB7"/>
    <w:rsid w:val="00B57962"/>
    <w:rsid w:val="00B63335"/>
    <w:rsid w:val="00B64798"/>
    <w:rsid w:val="00B64895"/>
    <w:rsid w:val="00B71A3A"/>
    <w:rsid w:val="00B74A9C"/>
    <w:rsid w:val="00B777AF"/>
    <w:rsid w:val="00B81789"/>
    <w:rsid w:val="00B81F0B"/>
    <w:rsid w:val="00B92DF1"/>
    <w:rsid w:val="00B9336C"/>
    <w:rsid w:val="00BB1E3D"/>
    <w:rsid w:val="00BB25B8"/>
    <w:rsid w:val="00BB36DE"/>
    <w:rsid w:val="00BB5689"/>
    <w:rsid w:val="00BC0971"/>
    <w:rsid w:val="00BC0DAC"/>
    <w:rsid w:val="00BC2B6C"/>
    <w:rsid w:val="00BC64C1"/>
    <w:rsid w:val="00BD22A9"/>
    <w:rsid w:val="00BD7C25"/>
    <w:rsid w:val="00BE203D"/>
    <w:rsid w:val="00BE2C7C"/>
    <w:rsid w:val="00BE43A1"/>
    <w:rsid w:val="00BE6E48"/>
    <w:rsid w:val="00BF01A9"/>
    <w:rsid w:val="00BF18B0"/>
    <w:rsid w:val="00BF2D46"/>
    <w:rsid w:val="00BF4150"/>
    <w:rsid w:val="00C01AA6"/>
    <w:rsid w:val="00C02411"/>
    <w:rsid w:val="00C02879"/>
    <w:rsid w:val="00C04D64"/>
    <w:rsid w:val="00C06257"/>
    <w:rsid w:val="00C079B0"/>
    <w:rsid w:val="00C10DF0"/>
    <w:rsid w:val="00C14250"/>
    <w:rsid w:val="00C20C32"/>
    <w:rsid w:val="00C228B6"/>
    <w:rsid w:val="00C2297C"/>
    <w:rsid w:val="00C53AFE"/>
    <w:rsid w:val="00C54CDD"/>
    <w:rsid w:val="00C56092"/>
    <w:rsid w:val="00C631B3"/>
    <w:rsid w:val="00C64BB4"/>
    <w:rsid w:val="00C66106"/>
    <w:rsid w:val="00C727E9"/>
    <w:rsid w:val="00C72ED5"/>
    <w:rsid w:val="00C736BF"/>
    <w:rsid w:val="00C73B90"/>
    <w:rsid w:val="00C73CF5"/>
    <w:rsid w:val="00C75BD4"/>
    <w:rsid w:val="00C77349"/>
    <w:rsid w:val="00C77CAC"/>
    <w:rsid w:val="00C81965"/>
    <w:rsid w:val="00C85C31"/>
    <w:rsid w:val="00C87C21"/>
    <w:rsid w:val="00C9300D"/>
    <w:rsid w:val="00C930FA"/>
    <w:rsid w:val="00C96847"/>
    <w:rsid w:val="00CA1813"/>
    <w:rsid w:val="00CA2229"/>
    <w:rsid w:val="00CA4E49"/>
    <w:rsid w:val="00CA53B9"/>
    <w:rsid w:val="00CA5C08"/>
    <w:rsid w:val="00CA61F2"/>
    <w:rsid w:val="00CA75DF"/>
    <w:rsid w:val="00CB0B2C"/>
    <w:rsid w:val="00CB3633"/>
    <w:rsid w:val="00CB508F"/>
    <w:rsid w:val="00CB5F9A"/>
    <w:rsid w:val="00CB7A16"/>
    <w:rsid w:val="00CC0681"/>
    <w:rsid w:val="00CC1BE4"/>
    <w:rsid w:val="00CC2B2B"/>
    <w:rsid w:val="00CD0C9C"/>
    <w:rsid w:val="00CD220A"/>
    <w:rsid w:val="00CD2584"/>
    <w:rsid w:val="00CD6471"/>
    <w:rsid w:val="00CD649A"/>
    <w:rsid w:val="00CD6F63"/>
    <w:rsid w:val="00CE0F06"/>
    <w:rsid w:val="00CE3BBC"/>
    <w:rsid w:val="00CE66FA"/>
    <w:rsid w:val="00CE7D0E"/>
    <w:rsid w:val="00CF2624"/>
    <w:rsid w:val="00CF4FF6"/>
    <w:rsid w:val="00CF6F4E"/>
    <w:rsid w:val="00D026E7"/>
    <w:rsid w:val="00D05F28"/>
    <w:rsid w:val="00D12CC2"/>
    <w:rsid w:val="00D1506C"/>
    <w:rsid w:val="00D171D0"/>
    <w:rsid w:val="00D17ED6"/>
    <w:rsid w:val="00D20359"/>
    <w:rsid w:val="00D20E7B"/>
    <w:rsid w:val="00D23A6A"/>
    <w:rsid w:val="00D27BF5"/>
    <w:rsid w:val="00D32D78"/>
    <w:rsid w:val="00D36448"/>
    <w:rsid w:val="00D40EDA"/>
    <w:rsid w:val="00D45745"/>
    <w:rsid w:val="00D46BFB"/>
    <w:rsid w:val="00D47F4C"/>
    <w:rsid w:val="00D524C8"/>
    <w:rsid w:val="00D5360F"/>
    <w:rsid w:val="00D5461F"/>
    <w:rsid w:val="00D54AA0"/>
    <w:rsid w:val="00D574CA"/>
    <w:rsid w:val="00D62FAB"/>
    <w:rsid w:val="00D66083"/>
    <w:rsid w:val="00D70365"/>
    <w:rsid w:val="00D709DE"/>
    <w:rsid w:val="00D71BC4"/>
    <w:rsid w:val="00D73E6A"/>
    <w:rsid w:val="00D810F2"/>
    <w:rsid w:val="00D86554"/>
    <w:rsid w:val="00D9214E"/>
    <w:rsid w:val="00D92E7B"/>
    <w:rsid w:val="00D93577"/>
    <w:rsid w:val="00D97C3E"/>
    <w:rsid w:val="00DA19C2"/>
    <w:rsid w:val="00DB0844"/>
    <w:rsid w:val="00DB1DE9"/>
    <w:rsid w:val="00DB333A"/>
    <w:rsid w:val="00DB33C2"/>
    <w:rsid w:val="00DB5D3F"/>
    <w:rsid w:val="00DB7073"/>
    <w:rsid w:val="00DC2BED"/>
    <w:rsid w:val="00DC5682"/>
    <w:rsid w:val="00DC6631"/>
    <w:rsid w:val="00DC677E"/>
    <w:rsid w:val="00DD025A"/>
    <w:rsid w:val="00DD5987"/>
    <w:rsid w:val="00DD5E64"/>
    <w:rsid w:val="00DD6ADB"/>
    <w:rsid w:val="00DD7BE4"/>
    <w:rsid w:val="00DD7D7A"/>
    <w:rsid w:val="00DE18E2"/>
    <w:rsid w:val="00DE3502"/>
    <w:rsid w:val="00DE7BCC"/>
    <w:rsid w:val="00DF16DE"/>
    <w:rsid w:val="00DF376F"/>
    <w:rsid w:val="00DF7179"/>
    <w:rsid w:val="00E01763"/>
    <w:rsid w:val="00E02E1A"/>
    <w:rsid w:val="00E06FF9"/>
    <w:rsid w:val="00E07083"/>
    <w:rsid w:val="00E10B98"/>
    <w:rsid w:val="00E128D6"/>
    <w:rsid w:val="00E160B5"/>
    <w:rsid w:val="00E167FC"/>
    <w:rsid w:val="00E20788"/>
    <w:rsid w:val="00E24069"/>
    <w:rsid w:val="00E24B55"/>
    <w:rsid w:val="00E25C7E"/>
    <w:rsid w:val="00E26A7E"/>
    <w:rsid w:val="00E3465B"/>
    <w:rsid w:val="00E51145"/>
    <w:rsid w:val="00E51827"/>
    <w:rsid w:val="00E55D79"/>
    <w:rsid w:val="00E74A59"/>
    <w:rsid w:val="00E7516C"/>
    <w:rsid w:val="00E753A0"/>
    <w:rsid w:val="00E77338"/>
    <w:rsid w:val="00E82CEC"/>
    <w:rsid w:val="00E846D0"/>
    <w:rsid w:val="00E9095F"/>
    <w:rsid w:val="00E93786"/>
    <w:rsid w:val="00E9498C"/>
    <w:rsid w:val="00E9515A"/>
    <w:rsid w:val="00E97C17"/>
    <w:rsid w:val="00EA107C"/>
    <w:rsid w:val="00EA2437"/>
    <w:rsid w:val="00EA2E4F"/>
    <w:rsid w:val="00EA31F5"/>
    <w:rsid w:val="00EA3809"/>
    <w:rsid w:val="00EA5556"/>
    <w:rsid w:val="00EB2096"/>
    <w:rsid w:val="00EB3297"/>
    <w:rsid w:val="00EB6083"/>
    <w:rsid w:val="00EC0964"/>
    <w:rsid w:val="00EC0DD4"/>
    <w:rsid w:val="00EC65D3"/>
    <w:rsid w:val="00ED0A0D"/>
    <w:rsid w:val="00ED21FF"/>
    <w:rsid w:val="00EE11C4"/>
    <w:rsid w:val="00EE2A81"/>
    <w:rsid w:val="00F03DC0"/>
    <w:rsid w:val="00F054E6"/>
    <w:rsid w:val="00F171CC"/>
    <w:rsid w:val="00F229B6"/>
    <w:rsid w:val="00F2705D"/>
    <w:rsid w:val="00F34980"/>
    <w:rsid w:val="00F37F19"/>
    <w:rsid w:val="00F41C6F"/>
    <w:rsid w:val="00F422E1"/>
    <w:rsid w:val="00F466BE"/>
    <w:rsid w:val="00F479D2"/>
    <w:rsid w:val="00F51993"/>
    <w:rsid w:val="00F6654F"/>
    <w:rsid w:val="00F6683D"/>
    <w:rsid w:val="00F66EE9"/>
    <w:rsid w:val="00F67BBD"/>
    <w:rsid w:val="00F712A0"/>
    <w:rsid w:val="00F71F8E"/>
    <w:rsid w:val="00F730FA"/>
    <w:rsid w:val="00F74762"/>
    <w:rsid w:val="00F8008B"/>
    <w:rsid w:val="00F83D30"/>
    <w:rsid w:val="00F87671"/>
    <w:rsid w:val="00F91367"/>
    <w:rsid w:val="00F92724"/>
    <w:rsid w:val="00F95133"/>
    <w:rsid w:val="00F955B3"/>
    <w:rsid w:val="00FA736F"/>
    <w:rsid w:val="00FB0592"/>
    <w:rsid w:val="00FB139B"/>
    <w:rsid w:val="00FC00B4"/>
    <w:rsid w:val="00FC7833"/>
    <w:rsid w:val="00FD266E"/>
    <w:rsid w:val="00FD5125"/>
    <w:rsid w:val="00FD5C4D"/>
    <w:rsid w:val="00FD6373"/>
    <w:rsid w:val="00FD7079"/>
    <w:rsid w:val="00FD7A19"/>
    <w:rsid w:val="00FE0FE5"/>
    <w:rsid w:val="00FE290A"/>
    <w:rsid w:val="00FE5608"/>
    <w:rsid w:val="00FF5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0E1B0A"/>
  <w15:docId w15:val="{4B2C6765-B203-4D6D-A8BF-E475B80D0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40B"/>
    <w:rPr>
      <w:sz w:val="24"/>
      <w:szCs w:val="24"/>
    </w:rPr>
  </w:style>
  <w:style w:type="paragraph" w:styleId="Heading1">
    <w:name w:val="heading 1"/>
    <w:basedOn w:val="Normal"/>
    <w:next w:val="Normal"/>
    <w:link w:val="Heading1Char"/>
    <w:uiPriority w:val="99"/>
    <w:qFormat/>
    <w:rsid w:val="007E440B"/>
    <w:pPr>
      <w:keepNext/>
      <w:outlineLvl w:val="0"/>
    </w:pPr>
    <w:rPr>
      <w:b/>
      <w:bCs/>
      <w:sz w:val="20"/>
      <w:szCs w:val="12"/>
    </w:rPr>
  </w:style>
  <w:style w:type="paragraph" w:styleId="Heading2">
    <w:name w:val="heading 2"/>
    <w:basedOn w:val="Normal"/>
    <w:next w:val="Normal"/>
    <w:link w:val="Heading2Char"/>
    <w:uiPriority w:val="99"/>
    <w:qFormat/>
    <w:rsid w:val="007E440B"/>
    <w:pPr>
      <w:keepNext/>
      <w:outlineLvl w:val="1"/>
    </w:pPr>
    <w:rPr>
      <w:b/>
      <w:bCs/>
      <w:u w:val="single"/>
    </w:rPr>
  </w:style>
  <w:style w:type="paragraph" w:styleId="Heading3">
    <w:name w:val="heading 3"/>
    <w:basedOn w:val="Normal"/>
    <w:next w:val="Normal"/>
    <w:link w:val="Heading3Char"/>
    <w:uiPriority w:val="99"/>
    <w:qFormat/>
    <w:rsid w:val="007E440B"/>
    <w:pPr>
      <w:keepNext/>
      <w:outlineLvl w:val="2"/>
    </w:pPr>
    <w:rPr>
      <w:b/>
      <w:bCs/>
    </w:rPr>
  </w:style>
  <w:style w:type="paragraph" w:styleId="Heading4">
    <w:name w:val="heading 4"/>
    <w:basedOn w:val="Normal"/>
    <w:next w:val="Normal"/>
    <w:link w:val="Heading4Char"/>
    <w:uiPriority w:val="99"/>
    <w:qFormat/>
    <w:rsid w:val="007E440B"/>
    <w:pPr>
      <w:keepNext/>
      <w:jc w:val="center"/>
      <w:outlineLvl w:val="3"/>
    </w:pPr>
    <w:rPr>
      <w:b/>
      <w:bCs/>
    </w:rPr>
  </w:style>
  <w:style w:type="paragraph" w:styleId="Heading5">
    <w:name w:val="heading 5"/>
    <w:basedOn w:val="Normal"/>
    <w:next w:val="Normal"/>
    <w:link w:val="Heading5Char"/>
    <w:uiPriority w:val="99"/>
    <w:qFormat/>
    <w:rsid w:val="007E440B"/>
    <w:pPr>
      <w:keepNext/>
      <w:outlineLvl w:val="4"/>
    </w:pPr>
    <w:rPr>
      <w:b/>
      <w:szCs w:val="20"/>
    </w:rPr>
  </w:style>
  <w:style w:type="paragraph" w:styleId="Heading6">
    <w:name w:val="heading 6"/>
    <w:basedOn w:val="Normal"/>
    <w:next w:val="Normal"/>
    <w:link w:val="Heading6Char"/>
    <w:uiPriority w:val="99"/>
    <w:qFormat/>
    <w:rsid w:val="007E440B"/>
    <w:pPr>
      <w:keepNext/>
      <w:tabs>
        <w:tab w:val="num" w:pos="0"/>
      </w:tabs>
      <w:jc w:val="center"/>
      <w:outlineLvl w:val="5"/>
    </w:pPr>
    <w:rPr>
      <w:b/>
      <w:szCs w:val="20"/>
    </w:rPr>
  </w:style>
  <w:style w:type="paragraph" w:styleId="Heading7">
    <w:name w:val="heading 7"/>
    <w:basedOn w:val="Normal"/>
    <w:next w:val="Normal"/>
    <w:link w:val="Heading7Char"/>
    <w:uiPriority w:val="99"/>
    <w:qFormat/>
    <w:rsid w:val="007E440B"/>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90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3D290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3D290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3D290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3D290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3D290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3D290C"/>
    <w:rPr>
      <w:rFonts w:asciiTheme="minorHAnsi" w:eastAsiaTheme="minorEastAsia" w:hAnsiTheme="minorHAnsi" w:cstheme="minorBidi"/>
      <w:sz w:val="24"/>
      <w:szCs w:val="24"/>
    </w:rPr>
  </w:style>
  <w:style w:type="paragraph" w:styleId="Header">
    <w:name w:val="header"/>
    <w:basedOn w:val="Normal"/>
    <w:link w:val="HeaderChar"/>
    <w:uiPriority w:val="99"/>
    <w:rsid w:val="007E440B"/>
    <w:pPr>
      <w:tabs>
        <w:tab w:val="center" w:pos="4320"/>
        <w:tab w:val="right" w:pos="8640"/>
      </w:tabs>
    </w:pPr>
  </w:style>
  <w:style w:type="character" w:customStyle="1" w:styleId="HeaderChar">
    <w:name w:val="Header Char"/>
    <w:basedOn w:val="DefaultParagraphFont"/>
    <w:link w:val="Header"/>
    <w:uiPriority w:val="99"/>
    <w:semiHidden/>
    <w:rsid w:val="003D290C"/>
    <w:rPr>
      <w:sz w:val="24"/>
      <w:szCs w:val="24"/>
    </w:rPr>
  </w:style>
  <w:style w:type="paragraph" w:styleId="Footer">
    <w:name w:val="footer"/>
    <w:basedOn w:val="Normal"/>
    <w:link w:val="FooterChar"/>
    <w:uiPriority w:val="99"/>
    <w:rsid w:val="007E440B"/>
    <w:pPr>
      <w:tabs>
        <w:tab w:val="center" w:pos="4320"/>
        <w:tab w:val="right" w:pos="8640"/>
      </w:tabs>
    </w:pPr>
  </w:style>
  <w:style w:type="character" w:customStyle="1" w:styleId="FooterChar">
    <w:name w:val="Footer Char"/>
    <w:basedOn w:val="DefaultParagraphFont"/>
    <w:link w:val="Footer"/>
    <w:uiPriority w:val="99"/>
    <w:locked/>
    <w:rsid w:val="00D574CA"/>
    <w:rPr>
      <w:sz w:val="24"/>
    </w:rPr>
  </w:style>
  <w:style w:type="paragraph" w:styleId="Title">
    <w:name w:val="Title"/>
    <w:basedOn w:val="Normal"/>
    <w:link w:val="TitleChar"/>
    <w:uiPriority w:val="99"/>
    <w:qFormat/>
    <w:rsid w:val="007E440B"/>
    <w:pPr>
      <w:jc w:val="center"/>
    </w:pPr>
    <w:rPr>
      <w:b/>
      <w:bCs/>
      <w:szCs w:val="20"/>
    </w:rPr>
  </w:style>
  <w:style w:type="character" w:customStyle="1" w:styleId="TitleChar">
    <w:name w:val="Title Char"/>
    <w:basedOn w:val="DefaultParagraphFont"/>
    <w:link w:val="Title"/>
    <w:uiPriority w:val="10"/>
    <w:rsid w:val="003D290C"/>
    <w:rPr>
      <w:rFonts w:asciiTheme="majorHAnsi" w:eastAsiaTheme="majorEastAsia" w:hAnsiTheme="majorHAnsi" w:cstheme="majorBidi"/>
      <w:b/>
      <w:bCs/>
      <w:kern w:val="28"/>
      <w:sz w:val="32"/>
      <w:szCs w:val="32"/>
    </w:rPr>
  </w:style>
  <w:style w:type="character" w:customStyle="1" w:styleId="EmailStyle20">
    <w:name w:val="EmailStyle20"/>
    <w:uiPriority w:val="99"/>
    <w:rsid w:val="007E440B"/>
    <w:rPr>
      <w:rFonts w:ascii="Arial" w:hAnsi="Arial"/>
      <w:color w:val="000000"/>
      <w:sz w:val="20"/>
    </w:rPr>
  </w:style>
  <w:style w:type="paragraph" w:styleId="NormalWeb">
    <w:name w:val="Normal (Web)"/>
    <w:basedOn w:val="Normal"/>
    <w:uiPriority w:val="99"/>
    <w:rsid w:val="007E440B"/>
    <w:pPr>
      <w:spacing w:before="100" w:beforeAutospacing="1" w:after="100" w:afterAutospacing="1"/>
    </w:pPr>
    <w:rPr>
      <w:rFonts w:ascii="Arial Unicode MS" w:hAnsi="Arial Unicode MS" w:cs="Arial Unicode MS"/>
    </w:rPr>
  </w:style>
  <w:style w:type="character" w:styleId="Strong">
    <w:name w:val="Strong"/>
    <w:basedOn w:val="DefaultParagraphFont"/>
    <w:uiPriority w:val="99"/>
    <w:qFormat/>
    <w:rsid w:val="007E440B"/>
    <w:rPr>
      <w:rFonts w:cs="Times New Roman"/>
      <w:b/>
    </w:rPr>
  </w:style>
  <w:style w:type="character" w:styleId="Hyperlink">
    <w:name w:val="Hyperlink"/>
    <w:basedOn w:val="DefaultParagraphFont"/>
    <w:uiPriority w:val="99"/>
    <w:rsid w:val="004E0B99"/>
    <w:rPr>
      <w:rFonts w:cs="Times New Roman"/>
      <w:color w:val="0000FF"/>
      <w:u w:val="single"/>
    </w:rPr>
  </w:style>
  <w:style w:type="character" w:styleId="FollowedHyperlink">
    <w:name w:val="FollowedHyperlink"/>
    <w:basedOn w:val="DefaultParagraphFont"/>
    <w:uiPriority w:val="99"/>
    <w:rsid w:val="00AF1F2A"/>
    <w:rPr>
      <w:rFonts w:cs="Times New Roman"/>
      <w:color w:val="800080"/>
      <w:u w:val="single"/>
    </w:rPr>
  </w:style>
  <w:style w:type="paragraph" w:styleId="BalloonText">
    <w:name w:val="Balloon Text"/>
    <w:basedOn w:val="Normal"/>
    <w:link w:val="BalloonTextChar"/>
    <w:uiPriority w:val="99"/>
    <w:semiHidden/>
    <w:rsid w:val="00A87B1F"/>
    <w:rPr>
      <w:rFonts w:ascii="Tahoma" w:hAnsi="Tahoma" w:cs="Tahoma"/>
      <w:sz w:val="16"/>
      <w:szCs w:val="16"/>
    </w:rPr>
  </w:style>
  <w:style w:type="character" w:customStyle="1" w:styleId="BalloonTextChar">
    <w:name w:val="Balloon Text Char"/>
    <w:basedOn w:val="DefaultParagraphFont"/>
    <w:link w:val="BalloonText"/>
    <w:uiPriority w:val="99"/>
    <w:semiHidden/>
    <w:rsid w:val="003D290C"/>
    <w:rPr>
      <w:sz w:val="0"/>
      <w:szCs w:val="0"/>
    </w:rPr>
  </w:style>
  <w:style w:type="table" w:styleId="TableTheme">
    <w:name w:val="Table Theme"/>
    <w:basedOn w:val="TableNormal"/>
    <w:uiPriority w:val="99"/>
    <w:rsid w:val="00D364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uiPriority w:val="99"/>
    <w:rsid w:val="00D574CA"/>
    <w:pPr>
      <w:widowControl w:val="0"/>
      <w:spacing w:after="200" w:line="276" w:lineRule="auto"/>
    </w:pPr>
    <w:rPr>
      <w:rFonts w:ascii="Arial Narrow" w:hAnsi="Arial Narrow"/>
      <w:noProof/>
      <w:color w:val="11406B"/>
      <w:sz w:val="48"/>
      <w:szCs w:val="48"/>
    </w:rPr>
  </w:style>
  <w:style w:type="table" w:styleId="LightList-Accent1">
    <w:name w:val="Light List Accent 1"/>
    <w:basedOn w:val="TableNormal"/>
    <w:uiPriority w:val="99"/>
    <w:rsid w:val="005423D4"/>
    <w:rPr>
      <w:sz w:val="20"/>
      <w:szCs w:val="2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pPr>
      <w:rPr>
        <w:rFonts w:cs="Times New Roman"/>
        <w:b/>
        <w:bCs/>
        <w:color w:val="FFFFFF"/>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TableGrid">
    <w:name w:val="Table Grid"/>
    <w:basedOn w:val="TableNormal"/>
    <w:uiPriority w:val="99"/>
    <w:rsid w:val="00B777A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3F3D44"/>
    <w:rPr>
      <w:rFonts w:cs="Times New Roman"/>
      <w:sz w:val="16"/>
      <w:szCs w:val="16"/>
    </w:rPr>
  </w:style>
  <w:style w:type="paragraph" w:styleId="CommentText">
    <w:name w:val="annotation text"/>
    <w:basedOn w:val="Normal"/>
    <w:link w:val="CommentTextChar"/>
    <w:uiPriority w:val="99"/>
    <w:rsid w:val="003F3D44"/>
    <w:rPr>
      <w:sz w:val="20"/>
      <w:szCs w:val="20"/>
    </w:rPr>
  </w:style>
  <w:style w:type="character" w:customStyle="1" w:styleId="CommentTextChar">
    <w:name w:val="Comment Text Char"/>
    <w:basedOn w:val="DefaultParagraphFont"/>
    <w:link w:val="CommentText"/>
    <w:uiPriority w:val="99"/>
    <w:locked/>
    <w:rsid w:val="003F3D44"/>
    <w:rPr>
      <w:rFonts w:cs="Times New Roman"/>
    </w:rPr>
  </w:style>
  <w:style w:type="paragraph" w:styleId="CommentSubject">
    <w:name w:val="annotation subject"/>
    <w:basedOn w:val="CommentText"/>
    <w:next w:val="CommentText"/>
    <w:link w:val="CommentSubjectChar"/>
    <w:uiPriority w:val="99"/>
    <w:rsid w:val="003F3D44"/>
    <w:rPr>
      <w:b/>
      <w:bCs/>
    </w:rPr>
  </w:style>
  <w:style w:type="character" w:customStyle="1" w:styleId="CommentSubjectChar">
    <w:name w:val="Comment Subject Char"/>
    <w:basedOn w:val="CommentTextChar"/>
    <w:link w:val="CommentSubject"/>
    <w:uiPriority w:val="99"/>
    <w:locked/>
    <w:rsid w:val="003F3D44"/>
    <w:rPr>
      <w:rFonts w:cs="Times New Roman"/>
      <w:b/>
      <w:bCs/>
    </w:rPr>
  </w:style>
  <w:style w:type="paragraph" w:styleId="ListParagraph">
    <w:name w:val="List Paragraph"/>
    <w:basedOn w:val="Normal"/>
    <w:uiPriority w:val="34"/>
    <w:qFormat/>
    <w:rsid w:val="007163E2"/>
    <w:pPr>
      <w:ind w:left="720"/>
      <w:contextualSpacing/>
    </w:pPr>
  </w:style>
  <w:style w:type="character" w:customStyle="1" w:styleId="element-citation">
    <w:name w:val="element-citation"/>
    <w:basedOn w:val="DefaultParagraphFont"/>
    <w:rsid w:val="00AD044F"/>
  </w:style>
  <w:style w:type="character" w:styleId="UnresolvedMention">
    <w:name w:val="Unresolved Mention"/>
    <w:basedOn w:val="DefaultParagraphFont"/>
    <w:uiPriority w:val="99"/>
    <w:semiHidden/>
    <w:unhideWhenUsed/>
    <w:rsid w:val="00D97C3E"/>
    <w:rPr>
      <w:color w:val="605E5C"/>
      <w:shd w:val="clear" w:color="auto" w:fill="E1DFDD"/>
    </w:rPr>
  </w:style>
  <w:style w:type="paragraph" w:styleId="Revision">
    <w:name w:val="Revision"/>
    <w:hidden/>
    <w:uiPriority w:val="99"/>
    <w:semiHidden/>
    <w:rsid w:val="008412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3110627">
      <w:bodyDiv w:val="1"/>
      <w:marLeft w:val="0"/>
      <w:marRight w:val="0"/>
      <w:marTop w:val="0"/>
      <w:marBottom w:val="0"/>
      <w:divBdr>
        <w:top w:val="none" w:sz="0" w:space="0" w:color="auto"/>
        <w:left w:val="none" w:sz="0" w:space="0" w:color="auto"/>
        <w:bottom w:val="none" w:sz="0" w:space="0" w:color="auto"/>
        <w:right w:val="none" w:sz="0" w:space="0" w:color="auto"/>
      </w:divBdr>
    </w:div>
    <w:div w:id="1538617966">
      <w:marLeft w:val="0"/>
      <w:marRight w:val="0"/>
      <w:marTop w:val="0"/>
      <w:marBottom w:val="0"/>
      <w:divBdr>
        <w:top w:val="none" w:sz="0" w:space="0" w:color="auto"/>
        <w:left w:val="none" w:sz="0" w:space="0" w:color="auto"/>
        <w:bottom w:val="none" w:sz="0" w:space="0" w:color="auto"/>
        <w:right w:val="none" w:sz="0" w:space="0" w:color="auto"/>
      </w:divBdr>
    </w:div>
    <w:div w:id="1538617968">
      <w:marLeft w:val="0"/>
      <w:marRight w:val="0"/>
      <w:marTop w:val="0"/>
      <w:marBottom w:val="0"/>
      <w:divBdr>
        <w:top w:val="none" w:sz="0" w:space="0" w:color="auto"/>
        <w:left w:val="none" w:sz="0" w:space="0" w:color="auto"/>
        <w:bottom w:val="none" w:sz="0" w:space="0" w:color="auto"/>
        <w:right w:val="none" w:sz="0" w:space="0" w:color="auto"/>
      </w:divBdr>
      <w:divsChild>
        <w:div w:id="1538617967">
          <w:marLeft w:val="0"/>
          <w:marRight w:val="0"/>
          <w:marTop w:val="0"/>
          <w:marBottom w:val="0"/>
          <w:divBdr>
            <w:top w:val="none" w:sz="0" w:space="0" w:color="auto"/>
            <w:left w:val="none" w:sz="0" w:space="0" w:color="auto"/>
            <w:bottom w:val="none" w:sz="0" w:space="0" w:color="auto"/>
            <w:right w:val="none" w:sz="0" w:space="0" w:color="auto"/>
          </w:divBdr>
        </w:div>
        <w:div w:id="1538617970">
          <w:marLeft w:val="0"/>
          <w:marRight w:val="0"/>
          <w:marTop w:val="0"/>
          <w:marBottom w:val="0"/>
          <w:divBdr>
            <w:top w:val="none" w:sz="0" w:space="0" w:color="auto"/>
            <w:left w:val="none" w:sz="0" w:space="0" w:color="auto"/>
            <w:bottom w:val="none" w:sz="0" w:space="0" w:color="auto"/>
            <w:right w:val="none" w:sz="0" w:space="0" w:color="auto"/>
          </w:divBdr>
        </w:div>
      </w:divsChild>
    </w:div>
    <w:div w:id="1538617969">
      <w:marLeft w:val="0"/>
      <w:marRight w:val="0"/>
      <w:marTop w:val="0"/>
      <w:marBottom w:val="0"/>
      <w:divBdr>
        <w:top w:val="none" w:sz="0" w:space="0" w:color="auto"/>
        <w:left w:val="none" w:sz="0" w:space="0" w:color="auto"/>
        <w:bottom w:val="none" w:sz="0" w:space="0" w:color="auto"/>
        <w:right w:val="none" w:sz="0" w:space="0" w:color="auto"/>
      </w:divBdr>
    </w:div>
    <w:div w:id="156614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cms.gov"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F4889-B699-41C3-938C-6AC063EBBE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9C94DE0-541E-48C2-AD29-095B7F1FDD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1CD484-F16A-4F75-81A6-70742358F496}">
  <ds:schemaRefs>
    <ds:schemaRef ds:uri="http://schemas.openxmlformats.org/officeDocument/2006/bibliography"/>
  </ds:schemaRefs>
</ds:datastoreItem>
</file>

<file path=customXml/itemProps4.xml><?xml version="1.0" encoding="utf-8"?>
<ds:datastoreItem xmlns:ds="http://schemas.openxmlformats.org/officeDocument/2006/customXml" ds:itemID="{1D557F19-F844-4D5E-B3D4-FC4CE420DF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3556</Words>
  <Characters>21516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25022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Centene User</dc:creator>
  <cp:lastModifiedBy>Tara M. Doucette</cp:lastModifiedBy>
  <cp:revision>2</cp:revision>
  <cp:lastPrinted>2015-06-25T20:16:00Z</cp:lastPrinted>
  <dcterms:created xsi:type="dcterms:W3CDTF">2025-04-01T14:37:00Z</dcterms:created>
  <dcterms:modified xsi:type="dcterms:W3CDTF">2025-04-01T14:37:00Z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1255674599</vt:i4>
  </property>
  <property fmtid="{D5CDD505-2E9C-101B-9397-08002B2CF9AE}" pid="3" name="MSIP_Label_5a776955-85f6-4fec-9553-96dd3e0373c4_Enabled">
    <vt:lpwstr>true</vt:lpwstr>
  </property>
  <property fmtid="{D5CDD505-2E9C-101B-9397-08002B2CF9AE}" pid="4" name="MSIP_Label_5a776955-85f6-4fec-9553-96dd3e0373c4_SetDate">
    <vt:lpwstr>2021-12-07T22:18:14Z</vt:lpwstr>
  </property>
  <property fmtid="{D5CDD505-2E9C-101B-9397-08002B2CF9AE}" pid="5" name="MSIP_Label_5a776955-85f6-4fec-9553-96dd3e0373c4_Method">
    <vt:lpwstr>Standard</vt:lpwstr>
  </property>
  <property fmtid="{D5CDD505-2E9C-101B-9397-08002B2CF9AE}" pid="6" name="MSIP_Label_5a776955-85f6-4fec-9553-96dd3e0373c4_Name">
    <vt:lpwstr>Confidential</vt:lpwstr>
  </property>
  <property fmtid="{D5CDD505-2E9C-101B-9397-08002B2CF9AE}" pid="7" name="MSIP_Label_5a776955-85f6-4fec-9553-96dd3e0373c4_SiteId">
    <vt:lpwstr>f45ccc07-e57e-4d15-bf6f-f6cbccd2d395</vt:lpwstr>
  </property>
  <property fmtid="{D5CDD505-2E9C-101B-9397-08002B2CF9AE}" pid="8" name="MSIP_Label_5a776955-85f6-4fec-9553-96dd3e0373c4_ActionId">
    <vt:lpwstr>11b1912f-92eb-4d2d-a7eb-baf0b5401b91</vt:lpwstr>
  </property>
  <property fmtid="{D5CDD505-2E9C-101B-9397-08002B2CF9AE}" pid="9" name="MSIP_Label_5a776955-85f6-4fec-9553-96dd3e0373c4_ContentBits">
    <vt:lpwstr>0</vt:lpwstr>
  </property>
</Properties>
</file>