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0BB7" w14:textId="7B49516E" w:rsidR="00436595" w:rsidRPr="00F726BF" w:rsidRDefault="00436595" w:rsidP="00D574CA">
      <w:pPr>
        <w:pStyle w:val="PolicyMainHead"/>
        <w:tabs>
          <w:tab w:val="left" w:pos="360"/>
        </w:tabs>
        <w:spacing w:after="0" w:line="240" w:lineRule="auto"/>
        <w:rPr>
          <w:rFonts w:ascii="Times New Roman" w:hAnsi="Times New Roman"/>
          <w:color w:val="00548C"/>
          <w:sz w:val="24"/>
        </w:rPr>
        <w:sectPr w:rsidR="00436595" w:rsidRPr="00F726B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CE12A1" w:rsidRPr="00F726BF">
        <w:rPr>
          <w:rFonts w:ascii="Times New Roman" w:hAnsi="Times New Roman"/>
          <w:color w:val="00548C"/>
          <w:sz w:val="36"/>
          <w:szCs w:val="36"/>
        </w:rPr>
        <w:t xml:space="preserve">Urinary Incontinence </w:t>
      </w:r>
      <w:r w:rsidR="0063034F" w:rsidRPr="00F726BF">
        <w:rPr>
          <w:rFonts w:ascii="Times New Roman" w:hAnsi="Times New Roman"/>
          <w:color w:val="00548C"/>
          <w:sz w:val="36"/>
          <w:szCs w:val="36"/>
        </w:rPr>
        <w:t>Devices and Treatments</w:t>
      </w:r>
    </w:p>
    <w:p w14:paraId="677D221A" w14:textId="77777777" w:rsidR="005D11E6" w:rsidRPr="003D7BE7" w:rsidRDefault="00436595" w:rsidP="00F11647">
      <w:pPr>
        <w:pStyle w:val="PolicyMainHead"/>
        <w:spacing w:after="0" w:line="240" w:lineRule="auto"/>
        <w:rPr>
          <w:rFonts w:ascii="Times New Roman" w:hAnsi="Times New Roman"/>
          <w:color w:val="00548C"/>
          <w:sz w:val="24"/>
          <w:szCs w:val="24"/>
        </w:rPr>
        <w:sectPr w:rsidR="005D11E6"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w:t>
      </w:r>
      <w:r w:rsidR="00F726BF">
        <w:rPr>
          <w:rFonts w:ascii="Times New Roman" w:hAnsi="Times New Roman"/>
          <w:color w:val="00548C"/>
          <w:sz w:val="24"/>
          <w:szCs w:val="24"/>
        </w:rPr>
        <w:t>142</w:t>
      </w:r>
      <w:r w:rsidRPr="003D7BE7">
        <w:rPr>
          <w:rFonts w:ascii="Times New Roman" w:hAnsi="Times New Roman"/>
          <w:color w:val="00548C"/>
          <w:sz w:val="24"/>
          <w:szCs w:val="24"/>
        </w:rPr>
        <w:tab/>
      </w:r>
      <w:r w:rsidRPr="003D7BE7">
        <w:rPr>
          <w:rFonts w:ascii="Times New Roman" w:hAnsi="Times New Roman"/>
          <w:color w:val="00548C"/>
          <w:sz w:val="24"/>
          <w:szCs w:val="24"/>
        </w:rPr>
        <w:tab/>
      </w:r>
      <w:r w:rsidR="005D11E6">
        <w:rPr>
          <w:rFonts w:ascii="Times New Roman" w:hAnsi="Times New Roman"/>
          <w:color w:val="00548C"/>
          <w:sz w:val="24"/>
          <w:szCs w:val="24"/>
        </w:rPr>
        <w:tab/>
      </w:r>
      <w:r w:rsidR="005D11E6">
        <w:rPr>
          <w:rFonts w:ascii="Times New Roman" w:hAnsi="Times New Roman"/>
          <w:color w:val="00548C"/>
          <w:sz w:val="24"/>
          <w:szCs w:val="24"/>
        </w:rPr>
        <w:tab/>
      </w:r>
      <w:r w:rsidR="005D11E6">
        <w:rPr>
          <w:rFonts w:ascii="Times New Roman" w:hAnsi="Times New Roman"/>
          <w:color w:val="00548C"/>
          <w:sz w:val="24"/>
          <w:szCs w:val="24"/>
        </w:rPr>
        <w:tab/>
        <w:t xml:space="preserve">     </w:t>
      </w:r>
      <w:hyperlink w:anchor="Coding_Implications" w:history="1">
        <w:r w:rsidR="005D11E6" w:rsidRPr="00875924">
          <w:rPr>
            <w:rStyle w:val="Hyperlink"/>
            <w:rFonts w:ascii="Times New Roman" w:hAnsi="Times New Roman"/>
            <w:sz w:val="24"/>
            <w:szCs w:val="24"/>
          </w:rPr>
          <w:t>Coding Implications</w:t>
        </w:r>
      </w:hyperlink>
      <w:r w:rsidR="005D11E6" w:rsidRPr="003D7BE7">
        <w:rPr>
          <w:rFonts w:ascii="Times New Roman" w:hAnsi="Times New Roman"/>
          <w:color w:val="00548C"/>
          <w:sz w:val="24"/>
          <w:szCs w:val="24"/>
        </w:rPr>
        <w:t xml:space="preserve"> </w:t>
      </w:r>
    </w:p>
    <w:p w14:paraId="4692293E" w14:textId="391490E6" w:rsidR="00436595" w:rsidRDefault="00C7192D" w:rsidP="00F11647">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436595" w:rsidRPr="003D7BE7">
        <w:rPr>
          <w:rFonts w:ascii="Times New Roman" w:hAnsi="Times New Roman"/>
          <w:color w:val="00548C"/>
          <w:sz w:val="24"/>
          <w:szCs w:val="24"/>
        </w:rPr>
        <w:t>Last Revi</w:t>
      </w:r>
      <w:r>
        <w:rPr>
          <w:rFonts w:ascii="Times New Roman" w:hAnsi="Times New Roman"/>
          <w:color w:val="00548C"/>
          <w:sz w:val="24"/>
          <w:szCs w:val="24"/>
        </w:rPr>
        <w:t>sion</w:t>
      </w:r>
      <w:r w:rsidR="00436595" w:rsidRPr="003D7BE7">
        <w:rPr>
          <w:rFonts w:ascii="Times New Roman" w:hAnsi="Times New Roman"/>
          <w:color w:val="00548C"/>
          <w:sz w:val="24"/>
          <w:szCs w:val="24"/>
        </w:rPr>
        <w:t xml:space="preserve">: </w:t>
      </w:r>
      <w:r w:rsidR="00992557">
        <w:rPr>
          <w:rFonts w:ascii="Times New Roman" w:hAnsi="Times New Roman"/>
          <w:color w:val="00548C"/>
          <w:sz w:val="24"/>
          <w:szCs w:val="24"/>
        </w:rPr>
        <w:t>11</w:t>
      </w:r>
      <w:r w:rsidR="00507D3F">
        <w:rPr>
          <w:rFonts w:ascii="Times New Roman" w:hAnsi="Times New Roman"/>
          <w:color w:val="00548C"/>
          <w:sz w:val="24"/>
          <w:szCs w:val="24"/>
        </w:rPr>
        <w:t>/2</w:t>
      </w:r>
      <w:r w:rsidR="009E5A06">
        <w:rPr>
          <w:rFonts w:ascii="Times New Roman" w:hAnsi="Times New Roman"/>
          <w:color w:val="00548C"/>
          <w:sz w:val="24"/>
          <w:szCs w:val="24"/>
        </w:rPr>
        <w:t>5</w:t>
      </w:r>
    </w:p>
    <w:p w14:paraId="70451BA4" w14:textId="77777777" w:rsidR="00436595" w:rsidRDefault="00436595" w:rsidP="00875924">
      <w:pPr>
        <w:pStyle w:val="PolicyMainHead"/>
        <w:tabs>
          <w:tab w:val="left" w:pos="360"/>
        </w:tabs>
        <w:spacing w:after="0" w:line="240" w:lineRule="auto"/>
        <w:jc w:val="right"/>
        <w:rPr>
          <w:rStyle w:val="Strong"/>
          <w:rFonts w:ascii="Times New Roman" w:hAnsi="Times New Roman"/>
          <w:b w:val="0"/>
          <w:u w:val="single"/>
        </w:rPr>
        <w:sectPr w:rsidR="00436595"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264266E7" w14:textId="77777777" w:rsidR="00436595" w:rsidRDefault="00436595"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5C727D5D" w14:textId="77777777" w:rsidR="00436595" w:rsidRPr="005D7B81" w:rsidRDefault="00436595" w:rsidP="00D574CA">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2F4043A2" w14:textId="77777777" w:rsidR="00436595" w:rsidRDefault="00436595" w:rsidP="00875924">
      <w:pPr>
        <w:pStyle w:val="NormalWeb"/>
        <w:spacing w:before="0" w:beforeAutospacing="0" w:after="0" w:afterAutospacing="0"/>
        <w:jc w:val="center"/>
        <w:rPr>
          <w:rStyle w:val="Strong"/>
          <w:rFonts w:ascii="Times New Roman" w:hAnsi="Times New Roman"/>
          <w:b w:val="0"/>
          <w:u w:val="single"/>
        </w:rPr>
      </w:pPr>
    </w:p>
    <w:p w14:paraId="4F6F7870" w14:textId="77777777" w:rsidR="00436595" w:rsidRPr="00E9503C" w:rsidRDefault="00436595" w:rsidP="00E9503C">
      <w:pPr>
        <w:pStyle w:val="Heading2"/>
        <w:rPr>
          <w:u w:val="none"/>
        </w:rPr>
      </w:pPr>
      <w:r w:rsidRPr="00E9503C">
        <w:rPr>
          <w:u w:val="none"/>
        </w:rPr>
        <w:t xml:space="preserve">Description </w:t>
      </w:r>
    </w:p>
    <w:p w14:paraId="026C51AF" w14:textId="77777777" w:rsidR="00BA6451" w:rsidRDefault="002A5BFB" w:rsidP="00D20C16">
      <w:pPr>
        <w:rPr>
          <w:color w:val="000000"/>
        </w:rPr>
      </w:pPr>
      <w:r w:rsidRPr="005D515E">
        <w:t xml:space="preserve">Sacral neuromodulation </w:t>
      </w:r>
      <w:r w:rsidR="0035626B" w:rsidRPr="005D515E">
        <w:t xml:space="preserve">(SNM) </w:t>
      </w:r>
      <w:r w:rsidRPr="005D515E">
        <w:t xml:space="preserve">or </w:t>
      </w:r>
      <w:bookmarkStart w:id="0" w:name="_Hlk116298678"/>
      <w:r w:rsidRPr="005D515E">
        <w:t>sacral nerve stimulation</w:t>
      </w:r>
      <w:r w:rsidR="00CE4733" w:rsidRPr="005D515E">
        <w:t xml:space="preserve"> </w:t>
      </w:r>
      <w:bookmarkEnd w:id="0"/>
      <w:r w:rsidR="00CE4733" w:rsidRPr="005D515E">
        <w:t>(SNS)</w:t>
      </w:r>
      <w:r w:rsidRPr="005D515E">
        <w:t xml:space="preserve"> refers to stimulation of nerves that innervate the bladder and pelvic floor to treat lower urinary tract dysfunction</w:t>
      </w:r>
      <w:r w:rsidRPr="00BA6451">
        <w:t xml:space="preserve">. </w:t>
      </w:r>
      <w:r w:rsidR="00BA6451" w:rsidRPr="00BA6451">
        <w:t>SN</w:t>
      </w:r>
      <w:r w:rsidR="009B3A2F">
        <w:t xml:space="preserve">S </w:t>
      </w:r>
      <w:r w:rsidR="00BA6451" w:rsidRPr="00BA6451">
        <w:rPr>
          <w:color w:val="000000"/>
        </w:rPr>
        <w:t xml:space="preserve">involves both </w:t>
      </w:r>
      <w:proofErr w:type="gramStart"/>
      <w:r w:rsidR="00BA6451" w:rsidRPr="00BA6451">
        <w:rPr>
          <w:color w:val="000000"/>
        </w:rPr>
        <w:t xml:space="preserve">a </w:t>
      </w:r>
      <w:r w:rsidR="00BA6451" w:rsidRPr="005D515E">
        <w:rPr>
          <w:color w:val="000000"/>
        </w:rPr>
        <w:t>temporary</w:t>
      </w:r>
      <w:proofErr w:type="gramEnd"/>
      <w:r w:rsidR="00BA6451" w:rsidRPr="005D515E">
        <w:rPr>
          <w:color w:val="000000"/>
        </w:rPr>
        <w:t xml:space="preserve"> test</w:t>
      </w:r>
      <w:r w:rsidR="00BA6451" w:rsidRPr="00BA6451">
        <w:rPr>
          <w:color w:val="000000"/>
        </w:rPr>
        <w:t xml:space="preserve"> stimulation to determine if an implantable stimulator would be effective</w:t>
      </w:r>
      <w:r w:rsidR="004963AF">
        <w:rPr>
          <w:color w:val="000000"/>
        </w:rPr>
        <w:t>,</w:t>
      </w:r>
      <w:r w:rsidR="00BA6451" w:rsidRPr="00BA6451">
        <w:rPr>
          <w:color w:val="000000"/>
        </w:rPr>
        <w:t xml:space="preserve"> and a </w:t>
      </w:r>
      <w:r w:rsidR="00BA6451" w:rsidRPr="005D515E">
        <w:rPr>
          <w:color w:val="000000"/>
        </w:rPr>
        <w:t>permanent implantation</w:t>
      </w:r>
      <w:r w:rsidR="00BA6451" w:rsidRPr="00BA6451">
        <w:rPr>
          <w:color w:val="000000"/>
        </w:rPr>
        <w:t xml:space="preserve"> in appropriate candidates. </w:t>
      </w:r>
    </w:p>
    <w:p w14:paraId="108656C2" w14:textId="77777777" w:rsidR="00FB59C4" w:rsidRDefault="00FB59C4" w:rsidP="00D20C16">
      <w:pPr>
        <w:rPr>
          <w:color w:val="000000"/>
        </w:rPr>
      </w:pPr>
    </w:p>
    <w:p w14:paraId="0CBAFC17" w14:textId="0DC6AD8D" w:rsidR="00FB59C4" w:rsidRPr="00BA6451" w:rsidRDefault="00687813" w:rsidP="00D20C16">
      <w:r w:rsidRPr="005D515E">
        <w:rPr>
          <w:color w:val="000000"/>
        </w:rPr>
        <w:t>Urethral b</w:t>
      </w:r>
      <w:r w:rsidR="00FB59C4" w:rsidRPr="005D515E">
        <w:rPr>
          <w:color w:val="000000"/>
        </w:rPr>
        <w:t>ulking agents</w:t>
      </w:r>
      <w:r w:rsidR="00FB59C4">
        <w:rPr>
          <w:color w:val="000000"/>
        </w:rPr>
        <w:t xml:space="preserve"> </w:t>
      </w:r>
      <w:r>
        <w:rPr>
          <w:color w:val="000000"/>
        </w:rPr>
        <w:t>(UBA</w:t>
      </w:r>
      <w:r w:rsidR="00CF4617">
        <w:rPr>
          <w:color w:val="000000"/>
        </w:rPr>
        <w:t>s</w:t>
      </w:r>
      <w:r>
        <w:rPr>
          <w:color w:val="000000"/>
        </w:rPr>
        <w:t xml:space="preserve">) </w:t>
      </w:r>
      <w:r w:rsidR="00FB59C4">
        <w:rPr>
          <w:color w:val="000000"/>
        </w:rPr>
        <w:t>are injectable substances used to increase tissue bulk</w:t>
      </w:r>
      <w:r w:rsidR="004963AF">
        <w:rPr>
          <w:color w:val="000000"/>
        </w:rPr>
        <w:t>, which</w:t>
      </w:r>
      <w:r w:rsidR="00FB59C4">
        <w:rPr>
          <w:color w:val="000000"/>
        </w:rPr>
        <w:t xml:space="preserve"> can be injected </w:t>
      </w:r>
      <w:proofErr w:type="spellStart"/>
      <w:r w:rsidR="00FB59C4">
        <w:rPr>
          <w:color w:val="000000"/>
        </w:rPr>
        <w:t>periurethrally</w:t>
      </w:r>
      <w:proofErr w:type="spellEnd"/>
      <w:r w:rsidR="00FB59C4">
        <w:rPr>
          <w:color w:val="000000"/>
        </w:rPr>
        <w:t xml:space="preserve"> to treat urinary incontinence. </w:t>
      </w:r>
      <w:r w:rsidR="00FB59C4" w:rsidRPr="00FB59C4">
        <w:t xml:space="preserve">The U.S. Food and Drug Administration (FDA) </w:t>
      </w:r>
      <w:r w:rsidR="00F726BF">
        <w:t>has</w:t>
      </w:r>
      <w:r w:rsidR="00FB59C4" w:rsidRPr="00FB59C4">
        <w:t xml:space="preserve"> approved several bulking agent products for treating urinary incontinence</w:t>
      </w:r>
      <w:r w:rsidR="00D42A6F">
        <w:t>.</w:t>
      </w:r>
      <w:r w:rsidR="0005712E">
        <w:rPr>
          <w:vertAlign w:val="superscript"/>
        </w:rPr>
        <w:t>1,</w:t>
      </w:r>
      <w:r w:rsidR="006F3CB6">
        <w:rPr>
          <w:vertAlign w:val="superscript"/>
        </w:rPr>
        <w:t>2</w:t>
      </w:r>
      <w:r w:rsidR="00D42A6F">
        <w:t xml:space="preserve"> </w:t>
      </w:r>
    </w:p>
    <w:p w14:paraId="7C65BDE4" w14:textId="77777777" w:rsidR="00CF4617" w:rsidRDefault="00CF4617">
      <w:pPr>
        <w:pStyle w:val="Heading2"/>
        <w:rPr>
          <w:u w:val="none"/>
        </w:rPr>
      </w:pPr>
    </w:p>
    <w:p w14:paraId="5A2F216B" w14:textId="77777777" w:rsidR="00D6199B" w:rsidRDefault="009205D3" w:rsidP="005E6D6D">
      <w:r w:rsidRPr="00574627">
        <w:rPr>
          <w:i/>
        </w:rPr>
        <w:t>Note:</w:t>
      </w:r>
      <w:r>
        <w:t xml:space="preserve"> </w:t>
      </w:r>
    </w:p>
    <w:p w14:paraId="746C52E1" w14:textId="77777777" w:rsidR="00D6199B" w:rsidRPr="00D6199B" w:rsidRDefault="009205D3" w:rsidP="00D6199B">
      <w:pPr>
        <w:pStyle w:val="ListParagraph"/>
        <w:numPr>
          <w:ilvl w:val="0"/>
          <w:numId w:val="38"/>
        </w:numPr>
        <w:rPr>
          <w:i/>
        </w:rPr>
      </w:pPr>
      <w:r w:rsidRPr="00D6199B">
        <w:rPr>
          <w:i/>
        </w:rPr>
        <w:t>For biofeedback treatment for urinary incontinence, please refer to CP.MP.168 Biofeedback.</w:t>
      </w:r>
    </w:p>
    <w:p w14:paraId="3F70AB19" w14:textId="6417D59F" w:rsidR="006926B2" w:rsidRPr="00D6199B" w:rsidRDefault="00135CE0" w:rsidP="00D6199B">
      <w:pPr>
        <w:pStyle w:val="ListParagraph"/>
        <w:numPr>
          <w:ilvl w:val="0"/>
          <w:numId w:val="38"/>
        </w:numPr>
        <w:rPr>
          <w:i/>
        </w:rPr>
      </w:pPr>
      <w:r w:rsidRPr="00D6199B">
        <w:rPr>
          <w:i/>
        </w:rPr>
        <w:t>F</w:t>
      </w:r>
      <w:r w:rsidR="00B05DC7" w:rsidRPr="00D6199B">
        <w:rPr>
          <w:i/>
        </w:rPr>
        <w:t xml:space="preserve">or </w:t>
      </w:r>
      <w:r w:rsidR="005E6D6D" w:rsidRPr="00D6199B">
        <w:rPr>
          <w:i/>
        </w:rPr>
        <w:t>posterior tibial nerve stimulation</w:t>
      </w:r>
      <w:r w:rsidR="00C52388" w:rsidRPr="00D6199B">
        <w:rPr>
          <w:i/>
        </w:rPr>
        <w:t xml:space="preserve"> treatment for urinary incontinence, please refer to CP.MP.133</w:t>
      </w:r>
      <w:r w:rsidR="00B05DC7" w:rsidRPr="00D6199B">
        <w:rPr>
          <w:i/>
        </w:rPr>
        <w:t xml:space="preserve"> </w:t>
      </w:r>
      <w:r w:rsidR="005E6D6D" w:rsidRPr="00D6199B">
        <w:rPr>
          <w:i/>
        </w:rPr>
        <w:t>Posterior Tibial Nerve Stimulation for Voiding Dysfunction</w:t>
      </w:r>
      <w:r w:rsidR="007E0756" w:rsidRPr="00D6199B">
        <w:rPr>
          <w:i/>
        </w:rPr>
        <w:t>.</w:t>
      </w:r>
    </w:p>
    <w:p w14:paraId="472B0695" w14:textId="77777777" w:rsidR="009205D3" w:rsidRPr="00252AAE" w:rsidRDefault="009205D3" w:rsidP="00252AAE"/>
    <w:p w14:paraId="58A86D46" w14:textId="77777777" w:rsidR="00436595" w:rsidRPr="00F726BF" w:rsidRDefault="00436595">
      <w:pPr>
        <w:pStyle w:val="Heading2"/>
        <w:rPr>
          <w:u w:val="none"/>
        </w:rPr>
      </w:pPr>
      <w:r w:rsidRPr="00B777AF">
        <w:rPr>
          <w:u w:val="none"/>
        </w:rPr>
        <w:t>Policy/</w:t>
      </w:r>
      <w:r w:rsidRPr="00F726BF">
        <w:rPr>
          <w:u w:val="none"/>
        </w:rPr>
        <w:t>Criteria</w:t>
      </w:r>
    </w:p>
    <w:p w14:paraId="50750CE4" w14:textId="6F516247" w:rsidR="00436595" w:rsidRPr="00322549" w:rsidRDefault="00436595" w:rsidP="00C96847">
      <w:pPr>
        <w:numPr>
          <w:ilvl w:val="0"/>
          <w:numId w:val="11"/>
        </w:numPr>
        <w:ind w:left="360"/>
      </w:pPr>
      <w:r w:rsidRPr="00322549">
        <w:rPr>
          <w:bCs/>
          <w:color w:val="000000"/>
        </w:rPr>
        <w:t>It is the policy of health plans affiliated with Centene Corporation</w:t>
      </w:r>
      <w:r w:rsidRPr="00322549">
        <w:rPr>
          <w:bCs/>
          <w:color w:val="000000"/>
          <w:vertAlign w:val="superscript"/>
        </w:rPr>
        <w:t>®</w:t>
      </w:r>
      <w:r w:rsidRPr="00322549">
        <w:rPr>
          <w:bCs/>
          <w:color w:val="000000"/>
        </w:rPr>
        <w:t xml:space="preserve"> </w:t>
      </w:r>
      <w:r w:rsidRPr="00322549">
        <w:t xml:space="preserve">that </w:t>
      </w:r>
      <w:r w:rsidR="003978CD" w:rsidRPr="00322549">
        <w:t xml:space="preserve">a </w:t>
      </w:r>
      <w:r w:rsidR="003978CD" w:rsidRPr="00322549">
        <w:rPr>
          <w:i/>
        </w:rPr>
        <w:t>trial</w:t>
      </w:r>
      <w:r w:rsidR="003978CD" w:rsidRPr="00322549">
        <w:t xml:space="preserve"> of </w:t>
      </w:r>
      <w:r w:rsidR="003E4B67" w:rsidRPr="00322549">
        <w:t>Sacral neuromodulation (</w:t>
      </w:r>
      <w:r w:rsidR="0063034F" w:rsidRPr="00322549">
        <w:t>SNM</w:t>
      </w:r>
      <w:r w:rsidR="003E4B67" w:rsidRPr="00322549">
        <w:t>)</w:t>
      </w:r>
      <w:r w:rsidR="0063034F" w:rsidRPr="00322549">
        <w:t xml:space="preserve"> </w:t>
      </w:r>
      <w:r w:rsidR="007A0686" w:rsidRPr="00172878">
        <w:t>with a United States</w:t>
      </w:r>
      <w:r w:rsidR="00FB44DF" w:rsidRPr="00322549">
        <w:t xml:space="preserve"> Food and Drug Administration (FDA) approved device</w:t>
      </w:r>
      <w:r w:rsidR="007A0686" w:rsidRPr="00172878">
        <w:t xml:space="preserve"> </w:t>
      </w:r>
      <w:r w:rsidR="00747FF2" w:rsidRPr="00322549">
        <w:t>is</w:t>
      </w:r>
      <w:r w:rsidRPr="00322549">
        <w:t xml:space="preserve"> </w:t>
      </w:r>
      <w:r w:rsidRPr="00322549">
        <w:rPr>
          <w:b/>
        </w:rPr>
        <w:t>medically necessary</w:t>
      </w:r>
      <w:r w:rsidRPr="00322549">
        <w:t xml:space="preserve"> </w:t>
      </w:r>
      <w:r w:rsidR="00F726BF" w:rsidRPr="00322549">
        <w:t xml:space="preserve">to treat lower urinary tract dysfunction when </w:t>
      </w:r>
      <w:proofErr w:type="gramStart"/>
      <w:r w:rsidR="00F726BF" w:rsidRPr="00322549">
        <w:t>all of</w:t>
      </w:r>
      <w:proofErr w:type="gramEnd"/>
      <w:r w:rsidR="00F726BF" w:rsidRPr="00322549">
        <w:t xml:space="preserve"> the </w:t>
      </w:r>
      <w:r w:rsidR="00A3064A" w:rsidRPr="00322549">
        <w:t xml:space="preserve">following </w:t>
      </w:r>
      <w:r w:rsidR="004963AF" w:rsidRPr="00322549">
        <w:t>criteria</w:t>
      </w:r>
      <w:r w:rsidR="00F726BF" w:rsidRPr="00322549">
        <w:t xml:space="preserve"> are met</w:t>
      </w:r>
      <w:r w:rsidRPr="00322549">
        <w:t>:</w:t>
      </w:r>
      <w:r w:rsidR="00374244" w:rsidRPr="00322549">
        <w:t xml:space="preserve"> </w:t>
      </w:r>
    </w:p>
    <w:p w14:paraId="21828C25" w14:textId="7C611343" w:rsidR="00AF37A4" w:rsidRPr="00322549" w:rsidRDefault="00AF37A4" w:rsidP="00AF37A4">
      <w:pPr>
        <w:pStyle w:val="ListParagraph"/>
        <w:numPr>
          <w:ilvl w:val="1"/>
          <w:numId w:val="33"/>
        </w:numPr>
        <w:ind w:left="720"/>
        <w:rPr>
          <w:color w:val="000000"/>
        </w:rPr>
      </w:pPr>
      <w:r w:rsidRPr="00322549">
        <w:rPr>
          <w:color w:val="000000"/>
        </w:rPr>
        <w:t xml:space="preserve">Diagnosis is non-obstructive urinary retention or overactive bladder; </w:t>
      </w:r>
    </w:p>
    <w:p w14:paraId="357C6756" w14:textId="0EAC43AD" w:rsidR="009060F1" w:rsidRPr="00322549" w:rsidRDefault="009060F1" w:rsidP="00F726BF">
      <w:pPr>
        <w:pStyle w:val="ListParagraph"/>
        <w:numPr>
          <w:ilvl w:val="1"/>
          <w:numId w:val="33"/>
        </w:numPr>
        <w:ind w:left="720"/>
        <w:rPr>
          <w:color w:val="000000"/>
        </w:rPr>
      </w:pPr>
      <w:r w:rsidRPr="00322549">
        <w:rPr>
          <w:color w:val="000000"/>
        </w:rPr>
        <w:t>Symptoms of incontinence</w:t>
      </w:r>
      <w:r w:rsidR="00AF37A4" w:rsidRPr="00322549">
        <w:rPr>
          <w:color w:val="000000"/>
        </w:rPr>
        <w:t>,</w:t>
      </w:r>
      <w:r w:rsidR="000C281E" w:rsidRPr="00322549">
        <w:rPr>
          <w:color w:val="000000"/>
        </w:rPr>
        <w:t xml:space="preserve"> urgency/frequency</w:t>
      </w:r>
      <w:r w:rsidR="00AF37A4" w:rsidRPr="00322549">
        <w:rPr>
          <w:color w:val="000000"/>
        </w:rPr>
        <w:t>, or urinary retention</w:t>
      </w:r>
      <w:r w:rsidRPr="00322549">
        <w:rPr>
          <w:color w:val="000000"/>
        </w:rPr>
        <w:t xml:space="preserve"> have been present for at least </w:t>
      </w:r>
      <w:r w:rsidR="00A35DBA" w:rsidRPr="00322549">
        <w:rPr>
          <w:color w:val="000000"/>
        </w:rPr>
        <w:t>six</w:t>
      </w:r>
      <w:r w:rsidRPr="00322549">
        <w:rPr>
          <w:color w:val="000000"/>
        </w:rPr>
        <w:t xml:space="preserve"> months and have resulted in significant disability, such as the limited ability to work or participate in activities outside of the home</w:t>
      </w:r>
      <w:r w:rsidR="00F726BF" w:rsidRPr="00322549">
        <w:rPr>
          <w:color w:val="000000"/>
        </w:rPr>
        <w:t>;</w:t>
      </w:r>
    </w:p>
    <w:p w14:paraId="639998FC" w14:textId="189A02CA" w:rsidR="000C281E" w:rsidRPr="00322549" w:rsidRDefault="00FD5C4A" w:rsidP="00F726BF">
      <w:pPr>
        <w:pStyle w:val="ListParagraph"/>
        <w:numPr>
          <w:ilvl w:val="1"/>
          <w:numId w:val="33"/>
        </w:numPr>
        <w:ind w:left="720"/>
        <w:rPr>
          <w:color w:val="000000"/>
        </w:rPr>
      </w:pPr>
      <w:r w:rsidRPr="00322549">
        <w:rPr>
          <w:color w:val="000000"/>
        </w:rPr>
        <w:t>Symptoms</w:t>
      </w:r>
      <w:r w:rsidR="00F726BF" w:rsidRPr="00322549">
        <w:rPr>
          <w:color w:val="000000"/>
        </w:rPr>
        <w:t xml:space="preserve"> </w:t>
      </w:r>
      <w:r w:rsidRPr="00322549">
        <w:rPr>
          <w:color w:val="000000"/>
        </w:rPr>
        <w:t>are</w:t>
      </w:r>
      <w:r w:rsidR="00F726BF" w:rsidRPr="00322549">
        <w:rPr>
          <w:color w:val="000000"/>
        </w:rPr>
        <w:t xml:space="preserve"> not related to a neurologic condition;</w:t>
      </w:r>
    </w:p>
    <w:p w14:paraId="168EF2C3" w14:textId="763F79BE" w:rsidR="00DF14FF" w:rsidRPr="00322549" w:rsidRDefault="00DF14FF" w:rsidP="00665A06">
      <w:pPr>
        <w:pStyle w:val="ListParagraph"/>
        <w:numPr>
          <w:ilvl w:val="1"/>
          <w:numId w:val="33"/>
        </w:numPr>
        <w:ind w:left="720"/>
        <w:rPr>
          <w:color w:val="000000"/>
        </w:rPr>
      </w:pPr>
      <w:r w:rsidRPr="00322549">
        <w:rPr>
          <w:color w:val="000000"/>
        </w:rPr>
        <w:t>Failure of c</w:t>
      </w:r>
      <w:r w:rsidR="009060F1" w:rsidRPr="00322549">
        <w:rPr>
          <w:color w:val="000000"/>
        </w:rPr>
        <w:t>ons</w:t>
      </w:r>
      <w:r w:rsidR="009060F1" w:rsidRPr="00322549">
        <w:t>ervative measures</w:t>
      </w:r>
      <w:r w:rsidRPr="00322549">
        <w:t>, one of the following:</w:t>
      </w:r>
    </w:p>
    <w:p w14:paraId="0503D5F2" w14:textId="308B3A36" w:rsidR="000C281E" w:rsidRPr="00322549" w:rsidRDefault="00DF14FF" w:rsidP="00665A06">
      <w:pPr>
        <w:pStyle w:val="ListParagraph"/>
        <w:numPr>
          <w:ilvl w:val="2"/>
          <w:numId w:val="33"/>
        </w:numPr>
        <w:ind w:left="1080" w:hanging="360"/>
        <w:rPr>
          <w:color w:val="000000"/>
        </w:rPr>
      </w:pPr>
      <w:r w:rsidRPr="00322549">
        <w:rPr>
          <w:color w:val="000000"/>
        </w:rPr>
        <w:t xml:space="preserve">For urgency/frequency or incontinence, </w:t>
      </w:r>
      <w:r w:rsidR="009060F1" w:rsidRPr="00322549">
        <w:t>bladder training, pelvic floor physical therapy with biofeedback, and pharmacologic treatment</w:t>
      </w:r>
      <w:r w:rsidR="00F726BF" w:rsidRPr="00322549">
        <w:t>;</w:t>
      </w:r>
      <w:r w:rsidR="009060F1" w:rsidRPr="00322549">
        <w:t xml:space="preserve"> </w:t>
      </w:r>
    </w:p>
    <w:p w14:paraId="7F3353BE" w14:textId="1C9A8150" w:rsidR="00DF14FF" w:rsidRPr="00322549" w:rsidRDefault="00DF14FF" w:rsidP="00665A06">
      <w:pPr>
        <w:pStyle w:val="ListParagraph"/>
        <w:numPr>
          <w:ilvl w:val="2"/>
          <w:numId w:val="33"/>
        </w:numPr>
        <w:ind w:left="1080" w:hanging="360"/>
        <w:rPr>
          <w:color w:val="000000"/>
        </w:rPr>
      </w:pPr>
      <w:r w:rsidRPr="00322549">
        <w:t>For non-obstructive urinary retention, intermittent self-catheterization, unless not well-tolerated</w:t>
      </w:r>
      <w:r w:rsidR="00A24F79" w:rsidRPr="00322549">
        <w:t>, and pharmacologic treatment</w:t>
      </w:r>
      <w:r w:rsidR="0018602F" w:rsidRPr="00322549">
        <w:t>.</w:t>
      </w:r>
    </w:p>
    <w:p w14:paraId="0FB85633" w14:textId="77777777" w:rsidR="003978CD" w:rsidRDefault="003978CD" w:rsidP="00ED661E">
      <w:pPr>
        <w:pStyle w:val="ListParagraph"/>
        <w:tabs>
          <w:tab w:val="left" w:pos="720"/>
        </w:tabs>
        <w:rPr>
          <w:color w:val="000000"/>
        </w:rPr>
      </w:pPr>
    </w:p>
    <w:p w14:paraId="10D1D1F8" w14:textId="6103AAFF" w:rsidR="003978CD" w:rsidRPr="00FF7FB5" w:rsidRDefault="003978CD" w:rsidP="00ED661E">
      <w:pPr>
        <w:pStyle w:val="ListParagraph"/>
        <w:numPr>
          <w:ilvl w:val="0"/>
          <w:numId w:val="11"/>
        </w:numPr>
        <w:tabs>
          <w:tab w:val="left" w:pos="360"/>
        </w:tabs>
        <w:ind w:left="360"/>
        <w:rPr>
          <w:snapToGrid w:val="0"/>
          <w:color w:val="000000"/>
        </w:rPr>
      </w:pPr>
      <w:r w:rsidRPr="00FF7FB5">
        <w:rPr>
          <w:bCs/>
          <w:color w:val="000000"/>
        </w:rPr>
        <w:t xml:space="preserve">It is the policy of health plans affiliated with Centene Corporation </w:t>
      </w:r>
      <w:r w:rsidRPr="00FF7FB5">
        <w:t xml:space="preserve">that </w:t>
      </w:r>
      <w:r w:rsidRPr="00FF7FB5">
        <w:rPr>
          <w:i/>
        </w:rPr>
        <w:t>permanent placement</w:t>
      </w:r>
      <w:r w:rsidRPr="00FF7FB5">
        <w:t xml:space="preserve"> of SNM </w:t>
      </w:r>
      <w:r w:rsidR="00FB44DF" w:rsidRPr="00172878">
        <w:t xml:space="preserve">with a United States FDA approved device </w:t>
      </w:r>
      <w:r w:rsidRPr="00FF7FB5">
        <w:t xml:space="preserve">is </w:t>
      </w:r>
      <w:r w:rsidRPr="00FF7FB5">
        <w:rPr>
          <w:b/>
        </w:rPr>
        <w:t>medically necessary</w:t>
      </w:r>
      <w:r w:rsidRPr="00FF7FB5">
        <w:t xml:space="preserve"> to treat lower urinary tract dysfunction when both of the following criteria are met</w:t>
      </w:r>
      <w:r w:rsidR="0005520A" w:rsidRPr="00FF7FB5">
        <w:rPr>
          <w:color w:val="000000"/>
        </w:rPr>
        <w:t>:</w:t>
      </w:r>
    </w:p>
    <w:p w14:paraId="002D4D4A" w14:textId="17C77858" w:rsidR="003978CD" w:rsidRPr="0086468A" w:rsidRDefault="003978CD" w:rsidP="00ED661E">
      <w:pPr>
        <w:pStyle w:val="ListParagraph"/>
        <w:numPr>
          <w:ilvl w:val="1"/>
          <w:numId w:val="11"/>
        </w:numPr>
        <w:tabs>
          <w:tab w:val="left" w:pos="720"/>
        </w:tabs>
        <w:ind w:left="720"/>
        <w:rPr>
          <w:snapToGrid w:val="0"/>
          <w:color w:val="000000"/>
        </w:rPr>
      </w:pPr>
      <w:r w:rsidRPr="00FF7FB5">
        <w:rPr>
          <w:snapToGrid w:val="0"/>
          <w:color w:val="000000"/>
        </w:rPr>
        <w:t xml:space="preserve">Criteria </w:t>
      </w:r>
      <w:r w:rsidRPr="0086468A">
        <w:rPr>
          <w:snapToGrid w:val="0"/>
          <w:color w:val="000000"/>
        </w:rPr>
        <w:t xml:space="preserve">in section I </w:t>
      </w:r>
      <w:proofErr w:type="gramStart"/>
      <w:r w:rsidR="0099721C" w:rsidRPr="0086468A">
        <w:rPr>
          <w:snapToGrid w:val="0"/>
          <w:color w:val="000000"/>
        </w:rPr>
        <w:t>are</w:t>
      </w:r>
      <w:proofErr w:type="gramEnd"/>
      <w:r w:rsidRPr="0086468A">
        <w:rPr>
          <w:snapToGrid w:val="0"/>
          <w:color w:val="000000"/>
        </w:rPr>
        <w:t xml:space="preserve"> met; </w:t>
      </w:r>
    </w:p>
    <w:p w14:paraId="4EF5222B" w14:textId="67F2772E" w:rsidR="005E7A67" w:rsidRPr="0086468A" w:rsidRDefault="009060F1" w:rsidP="00ED661E">
      <w:pPr>
        <w:pStyle w:val="ListParagraph"/>
        <w:numPr>
          <w:ilvl w:val="1"/>
          <w:numId w:val="11"/>
        </w:numPr>
        <w:tabs>
          <w:tab w:val="left" w:pos="720"/>
        </w:tabs>
        <w:ind w:left="720"/>
        <w:rPr>
          <w:snapToGrid w:val="0"/>
          <w:color w:val="000000"/>
        </w:rPr>
      </w:pPr>
      <w:r w:rsidRPr="0086468A">
        <w:rPr>
          <w:color w:val="000000"/>
        </w:rPr>
        <w:t xml:space="preserve">A percutaneous stimulation test </w:t>
      </w:r>
      <w:r w:rsidR="001F3B60" w:rsidRPr="0086468A">
        <w:rPr>
          <w:color w:val="000000"/>
        </w:rPr>
        <w:t>provided a</w:t>
      </w:r>
      <w:r w:rsidR="00EB4385" w:rsidRPr="0086468A">
        <w:rPr>
          <w:color w:val="000000"/>
        </w:rPr>
        <w:t>t least a</w:t>
      </w:r>
      <w:r w:rsidR="001F3B60" w:rsidRPr="0086468A">
        <w:rPr>
          <w:color w:val="000000"/>
        </w:rPr>
        <w:t xml:space="preserve"> 50% reduction in incontinence</w:t>
      </w:r>
      <w:r w:rsidR="00C8420E" w:rsidRPr="0086468A">
        <w:rPr>
          <w:color w:val="000000"/>
        </w:rPr>
        <w:t>, retention,</w:t>
      </w:r>
      <w:r w:rsidR="00093A40" w:rsidRPr="0086468A">
        <w:rPr>
          <w:color w:val="000000"/>
        </w:rPr>
        <w:t xml:space="preserve"> or urgency/frequency</w:t>
      </w:r>
      <w:r w:rsidR="001F3B60" w:rsidRPr="0086468A">
        <w:rPr>
          <w:color w:val="000000"/>
        </w:rPr>
        <w:t xml:space="preserve"> symptoms</w:t>
      </w:r>
      <w:r w:rsidR="00F726BF" w:rsidRPr="0086468A">
        <w:rPr>
          <w:color w:val="000000"/>
        </w:rPr>
        <w:t xml:space="preserve"> prior to</w:t>
      </w:r>
      <w:r w:rsidRPr="0086468A">
        <w:rPr>
          <w:color w:val="000000"/>
        </w:rPr>
        <w:t xml:space="preserve"> permanent</w:t>
      </w:r>
      <w:r w:rsidR="00F726BF" w:rsidRPr="0086468A">
        <w:rPr>
          <w:color w:val="000000"/>
        </w:rPr>
        <w:t xml:space="preserve"> device</w:t>
      </w:r>
      <w:r w:rsidRPr="0086468A">
        <w:rPr>
          <w:color w:val="000000"/>
        </w:rPr>
        <w:t xml:space="preserve"> implantation</w:t>
      </w:r>
      <w:r w:rsidR="00F53209" w:rsidRPr="0086468A">
        <w:rPr>
          <w:color w:val="000000"/>
        </w:rPr>
        <w:t>.</w:t>
      </w:r>
    </w:p>
    <w:p w14:paraId="1FE1B0A4" w14:textId="77777777" w:rsidR="0063034F" w:rsidRPr="00F726BF" w:rsidRDefault="0063034F" w:rsidP="0063034F">
      <w:pPr>
        <w:tabs>
          <w:tab w:val="left" w:pos="1080"/>
        </w:tabs>
        <w:rPr>
          <w:snapToGrid w:val="0"/>
          <w:color w:val="000000"/>
        </w:rPr>
      </w:pPr>
    </w:p>
    <w:p w14:paraId="30423FBF" w14:textId="4297B864" w:rsidR="001F3B60" w:rsidRPr="00F726BF" w:rsidRDefault="001F3B60" w:rsidP="001F3B60">
      <w:pPr>
        <w:pStyle w:val="ListParagraph"/>
        <w:numPr>
          <w:ilvl w:val="0"/>
          <w:numId w:val="11"/>
        </w:numPr>
        <w:tabs>
          <w:tab w:val="left" w:pos="1080"/>
        </w:tabs>
        <w:ind w:left="360"/>
        <w:rPr>
          <w:snapToGrid w:val="0"/>
        </w:rPr>
      </w:pPr>
      <w:r w:rsidRPr="00F726BF">
        <w:rPr>
          <w:bCs/>
        </w:rPr>
        <w:lastRenderedPageBreak/>
        <w:t xml:space="preserve">It is the policy of health plans affiliated with Centene Corporation that </w:t>
      </w:r>
      <w:r w:rsidRPr="00F726BF">
        <w:t>injection of U</w:t>
      </w:r>
      <w:r w:rsidR="003819C3">
        <w:t xml:space="preserve">nited States </w:t>
      </w:r>
      <w:r w:rsidRPr="00F726BF">
        <w:t xml:space="preserve">FDA approved </w:t>
      </w:r>
      <w:r w:rsidR="00096553">
        <w:t>u</w:t>
      </w:r>
      <w:r w:rsidR="00096553" w:rsidRPr="00096553">
        <w:t xml:space="preserve">rethral bulking agents </w:t>
      </w:r>
      <w:r w:rsidR="00096553">
        <w:t>(</w:t>
      </w:r>
      <w:r w:rsidR="00CF4617" w:rsidRPr="00F726BF">
        <w:t>UBA</w:t>
      </w:r>
      <w:r w:rsidR="00096553">
        <w:t>)</w:t>
      </w:r>
      <w:r w:rsidRPr="00F726BF">
        <w:t xml:space="preserve"> </w:t>
      </w:r>
      <w:r w:rsidR="00F726BF">
        <w:t>is</w:t>
      </w:r>
      <w:r w:rsidRPr="00F726BF">
        <w:t xml:space="preserve"> </w:t>
      </w:r>
      <w:r w:rsidRPr="00F726BF">
        <w:rPr>
          <w:b/>
        </w:rPr>
        <w:t>medically necessary</w:t>
      </w:r>
      <w:r w:rsidRPr="00F726BF">
        <w:t xml:space="preserve"> </w:t>
      </w:r>
      <w:r w:rsidR="0010487C">
        <w:t xml:space="preserve">when </w:t>
      </w:r>
      <w:proofErr w:type="gramStart"/>
      <w:r w:rsidR="0010487C">
        <w:t>all of</w:t>
      </w:r>
      <w:proofErr w:type="gramEnd"/>
      <w:r w:rsidR="0010487C">
        <w:t xml:space="preserve"> the</w:t>
      </w:r>
      <w:r w:rsidRPr="00F726BF">
        <w:t xml:space="preserve"> following </w:t>
      </w:r>
      <w:r w:rsidR="004963AF">
        <w:t>criteria</w:t>
      </w:r>
      <w:r w:rsidR="0010487C">
        <w:t xml:space="preserve"> are met</w:t>
      </w:r>
      <w:r w:rsidR="00E006DF" w:rsidRPr="00F726BF">
        <w:t>:</w:t>
      </w:r>
      <w:r w:rsidRPr="00F726BF">
        <w:t xml:space="preserve"> </w:t>
      </w:r>
    </w:p>
    <w:p w14:paraId="789456C1" w14:textId="77777777" w:rsidR="00FF2EB2" w:rsidRPr="00FF7FB5" w:rsidRDefault="007B202A" w:rsidP="00560F46">
      <w:pPr>
        <w:pStyle w:val="ListParagraph"/>
        <w:numPr>
          <w:ilvl w:val="0"/>
          <w:numId w:val="34"/>
        </w:numPr>
        <w:ind w:left="720"/>
        <w:rPr>
          <w:lang w:val="en"/>
        </w:rPr>
      </w:pPr>
      <w:r w:rsidRPr="00F726BF">
        <w:rPr>
          <w:snapToGrid w:val="0"/>
        </w:rPr>
        <w:t xml:space="preserve">Diagnosis of </w:t>
      </w:r>
      <w:r w:rsidR="00E006DF" w:rsidRPr="00F726BF">
        <w:rPr>
          <w:snapToGrid w:val="0"/>
        </w:rPr>
        <w:t xml:space="preserve">persistent or recurrent </w:t>
      </w:r>
      <w:r w:rsidRPr="00F726BF">
        <w:rPr>
          <w:snapToGrid w:val="0"/>
        </w:rPr>
        <w:t xml:space="preserve">stress urinary incontinence </w:t>
      </w:r>
      <w:r w:rsidRPr="00F726BF">
        <w:t xml:space="preserve">due to </w:t>
      </w:r>
      <w:r w:rsidR="00FF2EB2">
        <w:t xml:space="preserve">one of the </w:t>
      </w:r>
      <w:r w:rsidR="00FF2EB2" w:rsidRPr="00FF7FB5">
        <w:t>following:</w:t>
      </w:r>
    </w:p>
    <w:p w14:paraId="6DD1182E" w14:textId="0481D8FC" w:rsidR="00FF2EB2" w:rsidRPr="00FF7FB5" w:rsidRDefault="00FF2EB2" w:rsidP="00665A06">
      <w:pPr>
        <w:pStyle w:val="ListParagraph"/>
        <w:numPr>
          <w:ilvl w:val="2"/>
          <w:numId w:val="11"/>
        </w:numPr>
        <w:ind w:left="1080" w:hanging="360"/>
        <w:rPr>
          <w:lang w:val="en"/>
        </w:rPr>
      </w:pPr>
      <w:r w:rsidRPr="00FF7FB5">
        <w:t>I</w:t>
      </w:r>
      <w:r w:rsidR="007B202A" w:rsidRPr="00FF7FB5">
        <w:t>ntrinsic sphincter</w:t>
      </w:r>
      <w:r w:rsidR="00F726BF" w:rsidRPr="00FF7FB5">
        <w:t xml:space="preserve"> deficiency</w:t>
      </w:r>
      <w:r w:rsidRPr="00FF7FB5">
        <w:t>;</w:t>
      </w:r>
    </w:p>
    <w:p w14:paraId="09999679" w14:textId="0A5A7521" w:rsidR="00FF2EB2" w:rsidRPr="00FF7FB5" w:rsidRDefault="00FF2EB2" w:rsidP="00665A06">
      <w:pPr>
        <w:pStyle w:val="ListParagraph"/>
        <w:numPr>
          <w:ilvl w:val="2"/>
          <w:numId w:val="11"/>
        </w:numPr>
        <w:ind w:left="1080" w:hanging="360"/>
        <w:rPr>
          <w:lang w:val="en"/>
        </w:rPr>
      </w:pPr>
      <w:r w:rsidRPr="00FF7FB5">
        <w:rPr>
          <w:snapToGrid w:val="0"/>
        </w:rPr>
        <w:t>P</w:t>
      </w:r>
      <w:r w:rsidR="007470D9" w:rsidRPr="00FF7FB5">
        <w:rPr>
          <w:snapToGrid w:val="0"/>
        </w:rPr>
        <w:t>o</w:t>
      </w:r>
      <w:r w:rsidR="007B202A" w:rsidRPr="00FF7FB5">
        <w:t>st</w:t>
      </w:r>
      <w:r w:rsidR="00866D80" w:rsidRPr="00FF7FB5">
        <w:t>-</w:t>
      </w:r>
      <w:r w:rsidR="00665A06" w:rsidRPr="00FF7FB5">
        <w:t>bladder support surgery</w:t>
      </w:r>
      <w:r w:rsidRPr="00FF7FB5">
        <w:t>;</w:t>
      </w:r>
      <w:r w:rsidR="00BE57EA" w:rsidRPr="00FF7FB5">
        <w:t xml:space="preserve"> </w:t>
      </w:r>
    </w:p>
    <w:p w14:paraId="642E59E0" w14:textId="397129B3" w:rsidR="00F726BF" w:rsidRPr="00FF7FB5" w:rsidRDefault="00611353" w:rsidP="00665A06">
      <w:pPr>
        <w:pStyle w:val="ListParagraph"/>
        <w:numPr>
          <w:ilvl w:val="2"/>
          <w:numId w:val="11"/>
        </w:numPr>
        <w:ind w:left="1080" w:hanging="360"/>
        <w:rPr>
          <w:lang w:val="en"/>
        </w:rPr>
      </w:pPr>
      <w:r w:rsidRPr="00FF7FB5">
        <w:t>Post-t</w:t>
      </w:r>
      <w:r w:rsidR="007B202A" w:rsidRPr="00FF7FB5">
        <w:t>raumatic or surgical injury</w:t>
      </w:r>
      <w:r w:rsidR="00F726BF" w:rsidRPr="00FF7FB5">
        <w:t xml:space="preserve">; </w:t>
      </w:r>
    </w:p>
    <w:p w14:paraId="613ACFDF" w14:textId="1AF7D8FF" w:rsidR="004236E9" w:rsidRDefault="00DE7209" w:rsidP="00FF2EB2">
      <w:pPr>
        <w:pStyle w:val="ListParagraph"/>
        <w:numPr>
          <w:ilvl w:val="0"/>
          <w:numId w:val="34"/>
        </w:numPr>
        <w:ind w:left="720"/>
        <w:rPr>
          <w:lang w:val="en"/>
        </w:rPr>
      </w:pPr>
      <w:r>
        <w:t>Failure of c</w:t>
      </w:r>
      <w:r w:rsidR="007470D9" w:rsidRPr="00F726BF">
        <w:t xml:space="preserve">onservative management </w:t>
      </w:r>
      <w:r w:rsidR="00F726BF">
        <w:rPr>
          <w:lang w:val="en"/>
        </w:rPr>
        <w:t>such as</w:t>
      </w:r>
      <w:r w:rsidR="00C60BFA" w:rsidRPr="00F726BF">
        <w:rPr>
          <w:lang w:val="en"/>
        </w:rPr>
        <w:t xml:space="preserve"> </w:t>
      </w:r>
      <w:r w:rsidR="00CE5CB4">
        <w:rPr>
          <w:lang w:val="en"/>
        </w:rPr>
        <w:t>pelvic floor therapy</w:t>
      </w:r>
      <w:r w:rsidR="00C60BFA" w:rsidRPr="00F726BF">
        <w:rPr>
          <w:lang w:val="en"/>
        </w:rPr>
        <w:t xml:space="preserve">, biofeedback, electrical stimulation, and </w:t>
      </w:r>
      <w:proofErr w:type="gramStart"/>
      <w:r w:rsidR="00C60BFA" w:rsidRPr="00F726BF">
        <w:rPr>
          <w:lang w:val="en"/>
        </w:rPr>
        <w:t>pharmacotherapies</w:t>
      </w:r>
      <w:proofErr w:type="gramEnd"/>
      <w:r w:rsidR="004236E9">
        <w:rPr>
          <w:lang w:val="en"/>
        </w:rPr>
        <w:t>;</w:t>
      </w:r>
      <w:r w:rsidR="0062021A" w:rsidRPr="00236909">
        <w:rPr>
          <w:lang w:val="en"/>
        </w:rPr>
        <w:t xml:space="preserve"> </w:t>
      </w:r>
    </w:p>
    <w:p w14:paraId="284594A0" w14:textId="20526211" w:rsidR="001F3B60" w:rsidRPr="00560F46" w:rsidRDefault="004B730E" w:rsidP="00FF2EB2">
      <w:pPr>
        <w:pStyle w:val="ListParagraph"/>
        <w:numPr>
          <w:ilvl w:val="0"/>
          <w:numId w:val="34"/>
        </w:numPr>
        <w:ind w:left="720"/>
        <w:rPr>
          <w:lang w:val="en"/>
        </w:rPr>
      </w:pPr>
      <w:r>
        <w:rPr>
          <w:lang w:val="en"/>
        </w:rPr>
        <w:t>Member/enrollee</w:t>
      </w:r>
      <w:r w:rsidR="004963AF">
        <w:rPr>
          <w:lang w:val="en"/>
        </w:rPr>
        <w:t xml:space="preserve"> is u</w:t>
      </w:r>
      <w:r w:rsidR="0062021A" w:rsidRPr="00236909">
        <w:rPr>
          <w:lang w:val="en"/>
        </w:rPr>
        <w:t>nable to tolerate surgery</w:t>
      </w:r>
      <w:r w:rsidR="000C281E">
        <w:rPr>
          <w:lang w:val="en"/>
        </w:rPr>
        <w:t xml:space="preserve"> or does not wish to have sur</w:t>
      </w:r>
      <w:r w:rsidR="00BE57EA">
        <w:rPr>
          <w:lang w:val="en"/>
        </w:rPr>
        <w:t>g</w:t>
      </w:r>
      <w:r w:rsidR="000C281E">
        <w:rPr>
          <w:lang w:val="en"/>
        </w:rPr>
        <w:t>e</w:t>
      </w:r>
      <w:r w:rsidR="00BE57EA">
        <w:rPr>
          <w:lang w:val="en"/>
        </w:rPr>
        <w:t>ry</w:t>
      </w:r>
      <w:r w:rsidR="00C60BFA" w:rsidRPr="00236909">
        <w:rPr>
          <w:lang w:val="en"/>
        </w:rPr>
        <w:t>.</w:t>
      </w:r>
      <w:r w:rsidR="00083F63" w:rsidRPr="00560F46">
        <w:rPr>
          <w:lang w:val="en"/>
        </w:rPr>
        <w:t xml:space="preserve"> </w:t>
      </w:r>
    </w:p>
    <w:p w14:paraId="10638636" w14:textId="100530A1" w:rsidR="001F0B5B" w:rsidRPr="00560F46" w:rsidRDefault="001F0B5B" w:rsidP="00560F46">
      <w:pPr>
        <w:ind w:left="360"/>
        <w:rPr>
          <w:vertAlign w:val="superscript"/>
          <w:lang w:val="en"/>
        </w:rPr>
      </w:pPr>
    </w:p>
    <w:p w14:paraId="55206F0D" w14:textId="77777777" w:rsidR="00A3064A" w:rsidRPr="00F726BF" w:rsidRDefault="00A3064A" w:rsidP="00FB0592">
      <w:pPr>
        <w:pStyle w:val="Heading2"/>
        <w:rPr>
          <w:b w:val="0"/>
          <w:bCs w:val="0"/>
          <w:u w:val="none"/>
        </w:rPr>
      </w:pPr>
    </w:p>
    <w:p w14:paraId="585130B8" w14:textId="0EB63D75" w:rsidR="00A3064A" w:rsidRPr="00F726BF" w:rsidRDefault="00A3064A" w:rsidP="00C7192D">
      <w:pPr>
        <w:pStyle w:val="Heading2"/>
        <w:numPr>
          <w:ilvl w:val="0"/>
          <w:numId w:val="11"/>
        </w:numPr>
        <w:ind w:left="360"/>
        <w:rPr>
          <w:b w:val="0"/>
          <w:color w:val="000000"/>
          <w:u w:val="none"/>
        </w:rPr>
      </w:pPr>
      <w:r w:rsidRPr="00F726BF">
        <w:rPr>
          <w:b w:val="0"/>
          <w:bCs w:val="0"/>
          <w:u w:val="none"/>
        </w:rPr>
        <w:t xml:space="preserve">It </w:t>
      </w:r>
      <w:r w:rsidRPr="00F726BF">
        <w:rPr>
          <w:b w:val="0"/>
          <w:u w:val="none"/>
        </w:rPr>
        <w:t>is the policy of health plans affiliated with Centene Corporation</w:t>
      </w:r>
      <w:r w:rsidRPr="00F726BF">
        <w:rPr>
          <w:b w:val="0"/>
          <w:bCs w:val="0"/>
          <w:u w:val="none"/>
        </w:rPr>
        <w:t xml:space="preserve"> that</w:t>
      </w:r>
      <w:r w:rsidR="00E5293C" w:rsidRPr="00F726BF">
        <w:rPr>
          <w:b w:val="0"/>
          <w:bCs w:val="0"/>
          <w:u w:val="none"/>
        </w:rPr>
        <w:t xml:space="preserve"> </w:t>
      </w:r>
      <w:r w:rsidR="00C7192D">
        <w:rPr>
          <w:b w:val="0"/>
          <w:bCs w:val="0"/>
          <w:u w:val="none"/>
        </w:rPr>
        <w:t xml:space="preserve">there is </w:t>
      </w:r>
      <w:proofErr w:type="gramStart"/>
      <w:r w:rsidR="00C7192D">
        <w:rPr>
          <w:b w:val="0"/>
          <w:bCs w:val="0"/>
          <w:u w:val="none"/>
        </w:rPr>
        <w:t xml:space="preserve">insufficient  </w:t>
      </w:r>
      <w:r w:rsidR="00C7192D" w:rsidRPr="00C7192D">
        <w:rPr>
          <w:b w:val="0"/>
          <w:bCs w:val="0"/>
          <w:u w:val="none"/>
        </w:rPr>
        <w:t>evidence</w:t>
      </w:r>
      <w:proofErr w:type="gramEnd"/>
      <w:r w:rsidR="00C7192D" w:rsidRPr="00C7192D">
        <w:rPr>
          <w:b w:val="0"/>
          <w:bCs w:val="0"/>
          <w:u w:val="none"/>
        </w:rPr>
        <w:t xml:space="preserve"> in the published peer-reviewed literature to support the use of </w:t>
      </w:r>
      <w:r w:rsidR="007C6B0A">
        <w:rPr>
          <w:b w:val="0"/>
          <w:color w:val="000000"/>
          <w:u w:val="none"/>
        </w:rPr>
        <w:t>UBA</w:t>
      </w:r>
      <w:r w:rsidR="00F459EA" w:rsidRPr="00F726BF">
        <w:rPr>
          <w:b w:val="0"/>
          <w:color w:val="000000"/>
          <w:u w:val="none"/>
        </w:rPr>
        <w:t xml:space="preserve"> injection</w:t>
      </w:r>
      <w:r w:rsidR="00FD5C4A">
        <w:rPr>
          <w:b w:val="0"/>
          <w:color w:val="000000"/>
          <w:u w:val="none"/>
        </w:rPr>
        <w:t xml:space="preserve"> of autologous fat</w:t>
      </w:r>
      <w:r w:rsidR="00F459EA" w:rsidRPr="00F726BF">
        <w:rPr>
          <w:b w:val="0"/>
          <w:color w:val="000000"/>
          <w:u w:val="none"/>
        </w:rPr>
        <w:t xml:space="preserve">, </w:t>
      </w:r>
      <w:r w:rsidR="00FD5C4A">
        <w:rPr>
          <w:b w:val="0"/>
          <w:color w:val="000000"/>
          <w:u w:val="none"/>
        </w:rPr>
        <w:t>non-</w:t>
      </w:r>
      <w:r w:rsidR="00F459EA" w:rsidRPr="00F726BF">
        <w:rPr>
          <w:b w:val="0"/>
          <w:color w:val="000000"/>
          <w:u w:val="none"/>
        </w:rPr>
        <w:t>FDA approved</w:t>
      </w:r>
      <w:r w:rsidR="00FD5C4A">
        <w:rPr>
          <w:b w:val="0"/>
          <w:color w:val="000000"/>
          <w:u w:val="none"/>
        </w:rPr>
        <w:t xml:space="preserve"> procedures</w:t>
      </w:r>
      <w:r w:rsidR="004236E9">
        <w:rPr>
          <w:b w:val="0"/>
          <w:color w:val="000000"/>
          <w:u w:val="none"/>
        </w:rPr>
        <w:t>,</w:t>
      </w:r>
      <w:r w:rsidR="00F459EA" w:rsidRPr="00F726BF">
        <w:rPr>
          <w:b w:val="0"/>
          <w:color w:val="000000"/>
          <w:u w:val="none"/>
        </w:rPr>
        <w:t xml:space="preserve"> </w:t>
      </w:r>
      <w:r w:rsidR="004236E9">
        <w:rPr>
          <w:b w:val="0"/>
          <w:color w:val="000000"/>
          <w:u w:val="none"/>
        </w:rPr>
        <w:t xml:space="preserve">and </w:t>
      </w:r>
      <w:r w:rsidR="003E3A21" w:rsidRPr="00F726BF">
        <w:rPr>
          <w:b w:val="0"/>
          <w:color w:val="000000"/>
          <w:u w:val="none"/>
        </w:rPr>
        <w:t>any other circumstances than those specified above</w:t>
      </w:r>
      <w:r w:rsidR="00C7192D">
        <w:rPr>
          <w:b w:val="0"/>
          <w:color w:val="000000"/>
          <w:u w:val="none"/>
        </w:rPr>
        <w:t>.</w:t>
      </w:r>
    </w:p>
    <w:p w14:paraId="3DC6EB5F" w14:textId="77777777" w:rsidR="00F459EA" w:rsidRPr="00F726BF" w:rsidRDefault="00F459EA" w:rsidP="00F459EA"/>
    <w:p w14:paraId="13405DE7" w14:textId="77777777" w:rsidR="00436595" w:rsidRDefault="00436595" w:rsidP="00FB0592">
      <w:pPr>
        <w:pStyle w:val="Heading2"/>
        <w:rPr>
          <w:u w:val="none"/>
        </w:rPr>
      </w:pPr>
      <w:r w:rsidRPr="00B777AF">
        <w:rPr>
          <w:u w:val="none"/>
        </w:rPr>
        <w:t>Background</w:t>
      </w:r>
    </w:p>
    <w:p w14:paraId="275F17D9" w14:textId="77777777" w:rsidR="005B0ADD" w:rsidRDefault="005B0ADD" w:rsidP="005B0ADD">
      <w:r>
        <w:t xml:space="preserve">The three major categories of treatment for urinary incontinence are behavioral, pharmacologic and surgical. The first choice should be the least invasive treatment with the fewest potential adverse complications for the patient. Before treatment begins, a complete evaluation and appropriate urodynamic testing should be completed. </w:t>
      </w:r>
    </w:p>
    <w:p w14:paraId="0622AAC4" w14:textId="77777777" w:rsidR="005B0ADD" w:rsidRDefault="005B0ADD" w:rsidP="007C03ED">
      <w:pPr>
        <w:rPr>
          <w:rStyle w:val="article-articlebody"/>
          <w:color w:val="1A1C1D"/>
          <w:lang w:val="en"/>
        </w:rPr>
      </w:pPr>
    </w:p>
    <w:p w14:paraId="7AFDC6E4" w14:textId="4ACDDFDB" w:rsidR="004236E9" w:rsidRPr="00560F46" w:rsidRDefault="004236E9" w:rsidP="007C03ED">
      <w:pPr>
        <w:rPr>
          <w:i/>
        </w:rPr>
      </w:pPr>
      <w:r w:rsidRPr="00560F46">
        <w:rPr>
          <w:i/>
        </w:rPr>
        <w:t xml:space="preserve">Sacral neuromodulation </w:t>
      </w:r>
      <w:r w:rsidR="006A0683">
        <w:rPr>
          <w:i/>
        </w:rPr>
        <w:t>(SNM)</w:t>
      </w:r>
    </w:p>
    <w:p w14:paraId="74C400AD" w14:textId="77777777" w:rsidR="00BE12C2" w:rsidRDefault="007C03ED" w:rsidP="00560F46">
      <w:r w:rsidRPr="007C03ED">
        <w:rPr>
          <w:rStyle w:val="article-articlebody"/>
          <w:color w:val="1A1C1D"/>
          <w:lang w:val="en"/>
        </w:rPr>
        <w:t>SNM</w:t>
      </w:r>
      <w:r>
        <w:rPr>
          <w:rStyle w:val="article-articlebody"/>
          <w:color w:val="1A1C1D"/>
          <w:lang w:val="en"/>
        </w:rPr>
        <w:t xml:space="preserve">, </w:t>
      </w:r>
      <w:r>
        <w:t xml:space="preserve">a minimally invasive </w:t>
      </w:r>
      <w:r w:rsidR="0092732A">
        <w:t xml:space="preserve">form of </w:t>
      </w:r>
      <w:r>
        <w:t xml:space="preserve">electrical stimulation, </w:t>
      </w:r>
      <w:r w:rsidR="00BE12C2">
        <w:rPr>
          <w:color w:val="000000"/>
        </w:rPr>
        <w:t xml:space="preserve">is delivered via the </w:t>
      </w:r>
      <w:proofErr w:type="spellStart"/>
      <w:r w:rsidR="00BE12C2" w:rsidRPr="00D60A7F">
        <w:rPr>
          <w:color w:val="000000"/>
        </w:rPr>
        <w:t>InterStim</w:t>
      </w:r>
      <w:proofErr w:type="spellEnd"/>
      <w:r w:rsidR="00BE12C2" w:rsidRPr="00D60A7F">
        <w:rPr>
          <w:color w:val="000000"/>
        </w:rPr>
        <w:t xml:space="preserve"> system</w:t>
      </w:r>
      <w:r w:rsidR="00BE12C2">
        <w:rPr>
          <w:color w:val="000000"/>
        </w:rPr>
        <w:t xml:space="preserve">. </w:t>
      </w:r>
    </w:p>
    <w:p w14:paraId="1E5AE3C3" w14:textId="77777777" w:rsidR="00B84577" w:rsidRDefault="00BE12C2" w:rsidP="00560F46">
      <w:pPr>
        <w:rPr>
          <w:rStyle w:val="article-articlebody"/>
          <w:color w:val="1A1C1D"/>
          <w:lang w:val="en"/>
        </w:rPr>
      </w:pPr>
      <w:r>
        <w:t xml:space="preserve">This </w:t>
      </w:r>
      <w:r>
        <w:rPr>
          <w:color w:val="000000"/>
        </w:rPr>
        <w:t xml:space="preserve">implantable system </w:t>
      </w:r>
      <w:r w:rsidR="007C03ED" w:rsidRPr="007C03ED">
        <w:rPr>
          <w:rStyle w:val="article-articlebody"/>
          <w:color w:val="1A1C1D"/>
          <w:lang w:val="en"/>
        </w:rPr>
        <w:t xml:space="preserve">involves chronic modulation of the S3 and, less frequently, the S4 nerve via a transforaminal route. </w:t>
      </w:r>
      <w:r w:rsidR="00E3525D">
        <w:rPr>
          <w:rStyle w:val="article-articlebody"/>
          <w:color w:val="1A1C1D"/>
          <w:lang w:val="en"/>
        </w:rPr>
        <w:t xml:space="preserve">A wire lead in the foramen is connected to a stimulation device. </w:t>
      </w:r>
      <w:r w:rsidR="007C03ED" w:rsidRPr="007C03ED">
        <w:rPr>
          <w:rStyle w:val="article-articlebody"/>
          <w:iCs/>
          <w:color w:val="1A1C1D"/>
          <w:lang w:val="en"/>
        </w:rPr>
        <w:t>Modulation</w:t>
      </w:r>
      <w:r w:rsidR="007C03ED" w:rsidRPr="007C03ED">
        <w:rPr>
          <w:rStyle w:val="article-articlebody"/>
          <w:color w:val="1A1C1D"/>
          <w:lang w:val="en"/>
        </w:rPr>
        <w:t xml:space="preserve"> implies that the therapy is thought to act indirectly, via a central afferent mechanism, targeting reflex centers in the spinal cord and pons, influencing reflexes between the bladder, urethral sphincter, and pelvic floor. </w:t>
      </w:r>
      <w:r w:rsidR="007C03ED" w:rsidRPr="007C03ED">
        <w:rPr>
          <w:rStyle w:val="article-articlebody"/>
          <w:iCs/>
          <w:color w:val="1A1C1D"/>
          <w:lang w:val="en"/>
        </w:rPr>
        <w:t>Stimulation</w:t>
      </w:r>
      <w:r w:rsidR="007C03ED" w:rsidRPr="007C03ED">
        <w:rPr>
          <w:rStyle w:val="article-articlebody"/>
          <w:color w:val="1A1C1D"/>
          <w:lang w:val="en"/>
        </w:rPr>
        <w:t xml:space="preserve"> implies a more direct effect on efferent nerves, as in functional electrical stimulation.</w:t>
      </w:r>
      <w:r w:rsidR="00B84577">
        <w:rPr>
          <w:rStyle w:val="article-articlebody"/>
          <w:color w:val="1A1C1D"/>
          <w:lang w:val="en"/>
        </w:rPr>
        <w:t xml:space="preserve"> </w:t>
      </w:r>
    </w:p>
    <w:p w14:paraId="1FE06D82" w14:textId="77777777" w:rsidR="00B84577" w:rsidRPr="00236909" w:rsidRDefault="00B84577" w:rsidP="00560F46">
      <w:pPr>
        <w:rPr>
          <w:rStyle w:val="article-articlebody"/>
          <w:color w:val="1A1C1D"/>
          <w:lang w:val="en"/>
        </w:rPr>
      </w:pPr>
    </w:p>
    <w:p w14:paraId="7FD5DA81" w14:textId="68476493" w:rsidR="00617009" w:rsidRPr="00560F46" w:rsidRDefault="00617009" w:rsidP="00560F46">
      <w:pPr>
        <w:rPr>
          <w:color w:val="000000"/>
        </w:rPr>
      </w:pPr>
      <w:r w:rsidRPr="00560F46">
        <w:rPr>
          <w:color w:val="000000"/>
        </w:rPr>
        <w:t xml:space="preserve">A distinct advantage of </w:t>
      </w:r>
      <w:r w:rsidR="00C260ED">
        <w:rPr>
          <w:color w:val="000000"/>
        </w:rPr>
        <w:t>SNM</w:t>
      </w:r>
      <w:r w:rsidRPr="00560F46">
        <w:rPr>
          <w:color w:val="000000"/>
        </w:rPr>
        <w:t xml:space="preserve"> is that it is tested for potential success prior to </w:t>
      </w:r>
      <w:r w:rsidR="003A4B76" w:rsidRPr="003A4B76">
        <w:rPr>
          <w:color w:val="000000"/>
        </w:rPr>
        <w:t>surgical implantation of a permanent device.</w:t>
      </w:r>
      <w:r w:rsidRPr="00560F46">
        <w:rPr>
          <w:color w:val="000000"/>
        </w:rPr>
        <w:t xml:space="preserve"> The </w:t>
      </w:r>
      <w:hyperlink r:id="rId17" w:anchor="tabs-4" w:history="1">
        <w:r w:rsidRPr="00236909">
          <w:rPr>
            <w:color w:val="000000"/>
          </w:rPr>
          <w:t>evaluation</w:t>
        </w:r>
      </w:hyperlink>
      <w:r w:rsidRPr="00236909">
        <w:rPr>
          <w:color w:val="000000"/>
        </w:rPr>
        <w:t xml:space="preserve"> gives patients and physicians an opportunity to find out in as few as </w:t>
      </w:r>
      <w:r w:rsidR="00F64F96">
        <w:rPr>
          <w:color w:val="000000"/>
        </w:rPr>
        <w:t>three</w:t>
      </w:r>
      <w:r w:rsidRPr="00236909">
        <w:rPr>
          <w:color w:val="000000"/>
        </w:rPr>
        <w:t xml:space="preserve"> to </w:t>
      </w:r>
      <w:r w:rsidR="00B8312D">
        <w:rPr>
          <w:color w:val="000000"/>
        </w:rPr>
        <w:t>seven</w:t>
      </w:r>
      <w:r w:rsidRPr="00236909">
        <w:rPr>
          <w:color w:val="000000"/>
        </w:rPr>
        <w:t> days whether adequate symptom reduction is achieved.</w:t>
      </w:r>
      <w:r w:rsidR="00B84577" w:rsidRPr="00560F46">
        <w:rPr>
          <w:color w:val="000000"/>
        </w:rPr>
        <w:t xml:space="preserve"> </w:t>
      </w:r>
      <w:r w:rsidRPr="00560F46">
        <w:rPr>
          <w:color w:val="000000"/>
        </w:rPr>
        <w:t xml:space="preserve">The most common adverse events experienced during clinical studies of patients with SNM included pain at implant sites, new pain, lead migration, infection, technical or device problems, adverse change in bowel or voiding function, and undesirable stimulation or sensations. Any of these may require additional surgery or cause return of symptoms. </w:t>
      </w:r>
    </w:p>
    <w:p w14:paraId="4A2C959A" w14:textId="77777777" w:rsidR="00617009" w:rsidRPr="00560F46" w:rsidRDefault="00617009" w:rsidP="00560F46">
      <w:pPr>
        <w:rPr>
          <w:color w:val="000000"/>
        </w:rPr>
      </w:pPr>
    </w:p>
    <w:p w14:paraId="2B740FD6" w14:textId="6E3E7D85" w:rsidR="00E04720" w:rsidRPr="00560F46" w:rsidRDefault="00E04720" w:rsidP="00560F46">
      <w:pPr>
        <w:rPr>
          <w:color w:val="000000"/>
        </w:rPr>
      </w:pPr>
      <w:r w:rsidRPr="00AB7EC6">
        <w:rPr>
          <w:color w:val="000000"/>
        </w:rPr>
        <w:t>In the United States,</w:t>
      </w:r>
      <w:r w:rsidR="007D7A76" w:rsidRPr="00AB7EC6">
        <w:rPr>
          <w:color w:val="000000"/>
        </w:rPr>
        <w:t xml:space="preserve"> SNM </w:t>
      </w:r>
      <w:r w:rsidRPr="00AB7EC6">
        <w:rPr>
          <w:color w:val="000000"/>
        </w:rPr>
        <w:t>is approved for the treatment of nonobstructive urinary retention. Success rates in general are not as promising as for urgency urinary incontinence and overactive bladder</w:t>
      </w:r>
      <w:r w:rsidR="00617009" w:rsidRPr="00AB7EC6">
        <w:rPr>
          <w:color w:val="000000"/>
        </w:rPr>
        <w:t xml:space="preserve">, </w:t>
      </w:r>
      <w:r w:rsidRPr="00AB7EC6">
        <w:rPr>
          <w:color w:val="000000"/>
        </w:rPr>
        <w:t>but it is reasonable to try prior to more invasive and permanent solutions</w:t>
      </w:r>
      <w:r w:rsidR="00617009" w:rsidRPr="00AB7EC6">
        <w:rPr>
          <w:color w:val="000000"/>
        </w:rPr>
        <w:t>.</w:t>
      </w:r>
      <w:r w:rsidR="0029750A" w:rsidRPr="00AB7EC6">
        <w:rPr>
          <w:color w:val="000000"/>
          <w:vertAlign w:val="superscript"/>
        </w:rPr>
        <w:t>1</w:t>
      </w:r>
      <w:r w:rsidR="00617009" w:rsidRPr="00560F46">
        <w:rPr>
          <w:color w:val="000000"/>
        </w:rPr>
        <w:t xml:space="preserve"> </w:t>
      </w:r>
    </w:p>
    <w:p w14:paraId="1E9044E2" w14:textId="77777777" w:rsidR="00B84577" w:rsidRPr="00560F46" w:rsidRDefault="00B84577" w:rsidP="00560F46"/>
    <w:p w14:paraId="1FAF5829" w14:textId="0230EB50" w:rsidR="003F620D" w:rsidRPr="00560F46" w:rsidRDefault="003F620D" w:rsidP="00560F46">
      <w:r w:rsidRPr="00560F46">
        <w:lastRenderedPageBreak/>
        <w:t xml:space="preserve">A </w:t>
      </w:r>
      <w:r w:rsidR="0035626B" w:rsidRPr="00560F46">
        <w:t xml:space="preserve">prospective </w:t>
      </w:r>
      <w:r w:rsidRPr="00560F46">
        <w:t xml:space="preserve">study has demonstrated that sacral nerve stimulation for refractory urinary urge incontinence had </w:t>
      </w:r>
      <w:r w:rsidR="00DA4F7C" w:rsidRPr="00560F46">
        <w:t xml:space="preserve">a positive </w:t>
      </w:r>
      <w:r w:rsidRPr="00560F46">
        <w:t>benefit of 30.8 months</w:t>
      </w:r>
      <w:proofErr w:type="gramStart"/>
      <w:r w:rsidRPr="00560F46">
        <w:t>.</w:t>
      </w:r>
      <w:r w:rsidR="006F3CB6">
        <w:rPr>
          <w:vertAlign w:val="superscript"/>
        </w:rPr>
        <w:t>4</w:t>
      </w:r>
      <w:proofErr w:type="gramEnd"/>
      <w:r w:rsidRPr="00560F46">
        <w:rPr>
          <w:vertAlign w:val="superscript"/>
        </w:rPr>
        <w:t xml:space="preserve"> </w:t>
      </w:r>
      <w:r w:rsidR="0010487C">
        <w:rPr>
          <w:vertAlign w:val="superscript"/>
        </w:rPr>
        <w:t xml:space="preserve"> </w:t>
      </w:r>
    </w:p>
    <w:p w14:paraId="24D5F05E" w14:textId="49A54D21" w:rsidR="0025415C" w:rsidRPr="00236909" w:rsidRDefault="0025415C" w:rsidP="00560F46">
      <w:pPr>
        <w:rPr>
          <w:vertAlign w:val="superscript"/>
        </w:rPr>
      </w:pPr>
      <w:r w:rsidRPr="00560F46">
        <w:t>A prospective</w:t>
      </w:r>
      <w:r w:rsidR="00C01E43">
        <w:t>,</w:t>
      </w:r>
      <w:r w:rsidRPr="00560F46">
        <w:t xml:space="preserve"> randomized</w:t>
      </w:r>
      <w:r w:rsidR="00C01E43">
        <w:t>,</w:t>
      </w:r>
      <w:r w:rsidRPr="00560F46">
        <w:t xml:space="preserve"> multicenter trial demonstrated that SNM has shown to be a safe and effective treatment for </w:t>
      </w:r>
      <w:r w:rsidR="0010487C">
        <w:rPr>
          <w:lang w:val="en"/>
        </w:rPr>
        <w:t>overactive bladder (</w:t>
      </w:r>
      <w:r w:rsidRPr="00236909">
        <w:t>OAB</w:t>
      </w:r>
      <w:r w:rsidR="0010487C">
        <w:t>)</w:t>
      </w:r>
      <w:r w:rsidRPr="00236909">
        <w:t xml:space="preserve"> patients </w:t>
      </w:r>
      <w:proofErr w:type="gramStart"/>
      <w:r w:rsidRPr="00236909">
        <w:t>with</w:t>
      </w:r>
      <w:r w:rsidR="008B0801">
        <w:t xml:space="preserve"> </w:t>
      </w:r>
      <w:r w:rsidRPr="00236909">
        <w:t xml:space="preserve"> mild</w:t>
      </w:r>
      <w:proofErr w:type="gramEnd"/>
      <w:r w:rsidRPr="00236909">
        <w:t xml:space="preserve"> to moderate symptoms. </w:t>
      </w:r>
      <w:r w:rsidR="00617009" w:rsidRPr="00560F46">
        <w:rPr>
          <w:color w:val="000000"/>
        </w:rPr>
        <w:t>In studies comparing patients who received SNM with patients who delayed implant</w:t>
      </w:r>
      <w:r w:rsidR="00C01E43">
        <w:rPr>
          <w:color w:val="000000"/>
        </w:rPr>
        <w:t>ation</w:t>
      </w:r>
      <w:r w:rsidR="00617009" w:rsidRPr="00560F46">
        <w:rPr>
          <w:color w:val="000000"/>
        </w:rPr>
        <w:t xml:space="preserve"> and continued standard management, those with SNM experienced significant improvements in quality of life.</w:t>
      </w:r>
      <w:r w:rsidR="000C5EDE">
        <w:rPr>
          <w:color w:val="000000"/>
          <w:vertAlign w:val="superscript"/>
        </w:rPr>
        <w:t>5</w:t>
      </w:r>
      <w:r w:rsidR="0010487C">
        <w:rPr>
          <w:color w:val="000000"/>
          <w:vertAlign w:val="superscript"/>
        </w:rPr>
        <w:t>,</w:t>
      </w:r>
      <w:r w:rsidR="000C5EDE">
        <w:rPr>
          <w:color w:val="000000"/>
          <w:vertAlign w:val="superscript"/>
        </w:rPr>
        <w:t>6</w:t>
      </w:r>
    </w:p>
    <w:p w14:paraId="3E7306F6" w14:textId="77777777" w:rsidR="007C03ED" w:rsidRPr="00560F46" w:rsidRDefault="007C03ED" w:rsidP="00560F46"/>
    <w:p w14:paraId="5DDEE9C6" w14:textId="289B8F65" w:rsidR="0000784D" w:rsidRPr="00560AC6" w:rsidRDefault="0000784D" w:rsidP="00560F46">
      <w:pPr>
        <w:rPr>
          <w:i/>
        </w:rPr>
      </w:pPr>
      <w:r w:rsidRPr="00560AC6">
        <w:rPr>
          <w:i/>
          <w:lang w:val="en"/>
        </w:rPr>
        <w:t>American Urologic</w:t>
      </w:r>
      <w:r w:rsidR="000E2B3D" w:rsidRPr="00560AC6">
        <w:rPr>
          <w:i/>
          <w:lang w:val="en"/>
        </w:rPr>
        <w:t>al</w:t>
      </w:r>
      <w:r w:rsidRPr="00560AC6">
        <w:rPr>
          <w:i/>
          <w:lang w:val="en"/>
        </w:rPr>
        <w:t xml:space="preserve"> Association</w:t>
      </w:r>
      <w:r w:rsidR="000E2B3D" w:rsidRPr="00560AC6">
        <w:rPr>
          <w:i/>
          <w:lang w:val="en"/>
        </w:rPr>
        <w:t xml:space="preserve"> (AUA)</w:t>
      </w:r>
      <w:r w:rsidR="00FA3131" w:rsidRPr="00560AC6">
        <w:rPr>
          <w:i/>
          <w:lang w:val="en"/>
        </w:rPr>
        <w:t>/</w:t>
      </w:r>
      <w:r w:rsidR="008C3845" w:rsidRPr="00560AC6">
        <w:rPr>
          <w:i/>
          <w:lang w:val="en"/>
        </w:rPr>
        <w:t xml:space="preserve">Society of Urodynamics, Female Pelvic Medicine &amp; Urogenital </w:t>
      </w:r>
      <w:r w:rsidR="00CE2A41" w:rsidRPr="00560AC6">
        <w:rPr>
          <w:i/>
          <w:lang w:val="en"/>
        </w:rPr>
        <w:t>Reconstruction (SUFU)</w:t>
      </w:r>
    </w:p>
    <w:p w14:paraId="4BBB4C09" w14:textId="11D49E0C" w:rsidR="0000784D" w:rsidRPr="003B3DFE" w:rsidRDefault="0048600E" w:rsidP="000E2B3D">
      <w:pPr>
        <w:rPr>
          <w:lang w:val="en"/>
        </w:rPr>
      </w:pPr>
      <w:r w:rsidRPr="00560AC6">
        <w:rPr>
          <w:lang w:val="en"/>
        </w:rPr>
        <w:t>AUA</w:t>
      </w:r>
      <w:r w:rsidR="00FA3131" w:rsidRPr="00560AC6">
        <w:rPr>
          <w:lang w:val="en"/>
        </w:rPr>
        <w:t>/SUFU</w:t>
      </w:r>
      <w:r w:rsidRPr="00560AC6">
        <w:rPr>
          <w:lang w:val="en"/>
        </w:rPr>
        <w:t xml:space="preserve"> recommendations state that c</w:t>
      </w:r>
      <w:r w:rsidR="0000784D" w:rsidRPr="00560AC6">
        <w:rPr>
          <w:lang w:val="en"/>
        </w:rPr>
        <w:t>linicians may offer SNM as third-line treatment</w:t>
      </w:r>
      <w:r w:rsidR="00BF1D2B" w:rsidRPr="00560AC6">
        <w:rPr>
          <w:lang w:val="en"/>
        </w:rPr>
        <w:t xml:space="preserve"> for </w:t>
      </w:r>
      <w:r w:rsidR="002F0C95" w:rsidRPr="00560AC6">
        <w:rPr>
          <w:lang w:val="en"/>
        </w:rPr>
        <w:t xml:space="preserve">carefully </w:t>
      </w:r>
      <w:r w:rsidR="006F0F37" w:rsidRPr="00560AC6">
        <w:rPr>
          <w:lang w:val="en"/>
        </w:rPr>
        <w:t xml:space="preserve">selected </w:t>
      </w:r>
      <w:r w:rsidR="00BF1D2B" w:rsidRPr="00560AC6">
        <w:rPr>
          <w:lang w:val="en"/>
        </w:rPr>
        <w:t>patients who</w:t>
      </w:r>
      <w:r w:rsidR="006F0F37" w:rsidRPr="00560AC6">
        <w:rPr>
          <w:lang w:val="en"/>
        </w:rPr>
        <w:t xml:space="preserve"> have </w:t>
      </w:r>
      <w:r w:rsidR="0000784D" w:rsidRPr="00560AC6">
        <w:rPr>
          <w:lang w:val="en"/>
        </w:rPr>
        <w:t>severe refractory OAB symptoms or who are not candidates for second-line therapy and are willing to undergo a surgical procedure. Recommendation (Grade C; benefits outweigh risk/burdens).</w:t>
      </w:r>
      <w:r w:rsidR="00D94958" w:rsidRPr="00560AC6">
        <w:rPr>
          <w:vertAlign w:val="superscript"/>
          <w:lang w:val="en"/>
        </w:rPr>
        <w:t>3</w:t>
      </w:r>
      <w:r w:rsidR="004469CE">
        <w:rPr>
          <w:vertAlign w:val="superscript"/>
          <w:lang w:val="en"/>
        </w:rPr>
        <w:t xml:space="preserve"> </w:t>
      </w:r>
    </w:p>
    <w:p w14:paraId="6B60DFD1" w14:textId="77777777" w:rsidR="00554E5E" w:rsidRPr="00560F46" w:rsidRDefault="00554E5E" w:rsidP="00560F46">
      <w:pPr>
        <w:rPr>
          <w:lang w:val="en"/>
        </w:rPr>
      </w:pPr>
    </w:p>
    <w:p w14:paraId="7E773A00" w14:textId="110B845B" w:rsidR="009A39DA" w:rsidRPr="00560F46" w:rsidRDefault="009A39DA" w:rsidP="00560F46">
      <w:pPr>
        <w:rPr>
          <w:i/>
          <w:lang w:val="en"/>
        </w:rPr>
      </w:pPr>
      <w:r w:rsidRPr="00560F46">
        <w:rPr>
          <w:i/>
          <w:lang w:val="en"/>
        </w:rPr>
        <w:t xml:space="preserve">National Institute for </w:t>
      </w:r>
      <w:r w:rsidR="006C700E">
        <w:rPr>
          <w:i/>
          <w:lang w:val="en"/>
        </w:rPr>
        <w:t>Health and Care Excellence</w:t>
      </w:r>
      <w:r w:rsidR="00D030F8">
        <w:rPr>
          <w:i/>
          <w:lang w:val="en"/>
        </w:rPr>
        <w:t xml:space="preserve"> (NICE)</w:t>
      </w:r>
    </w:p>
    <w:p w14:paraId="3EF9138D" w14:textId="045DA8E7" w:rsidR="00DA4F7C" w:rsidRPr="00560F46" w:rsidRDefault="00D030F8" w:rsidP="00560F46">
      <w:pPr>
        <w:rPr>
          <w:i/>
          <w:vertAlign w:val="superscript"/>
        </w:rPr>
      </w:pPr>
      <w:r>
        <w:rPr>
          <w:lang w:val="en"/>
        </w:rPr>
        <w:t>According to NICE, s</w:t>
      </w:r>
      <w:r w:rsidR="00614958" w:rsidRPr="00614958">
        <w:rPr>
          <w:lang w:val="en"/>
        </w:rPr>
        <w:t xml:space="preserve">acral nerve stimulation </w:t>
      </w:r>
      <w:r w:rsidR="007F09ED">
        <w:rPr>
          <w:lang w:val="en"/>
        </w:rPr>
        <w:t>(</w:t>
      </w:r>
      <w:r w:rsidR="009A39DA" w:rsidRPr="00560F46">
        <w:rPr>
          <w:lang w:val="en"/>
        </w:rPr>
        <w:t>SNS</w:t>
      </w:r>
      <w:r w:rsidR="007F09ED">
        <w:rPr>
          <w:lang w:val="en"/>
        </w:rPr>
        <w:t>)</w:t>
      </w:r>
      <w:r w:rsidR="009A39DA" w:rsidRPr="00560F46">
        <w:rPr>
          <w:lang w:val="en"/>
        </w:rPr>
        <w:t xml:space="preserve"> can be recommended for those with urge incontinence and urgency-frequency when </w:t>
      </w:r>
      <w:r w:rsidR="0010487C">
        <w:rPr>
          <w:lang w:val="en"/>
        </w:rPr>
        <w:t xml:space="preserve">the </w:t>
      </w:r>
      <w:r w:rsidR="009A39DA" w:rsidRPr="00236909">
        <w:rPr>
          <w:lang w:val="en"/>
        </w:rPr>
        <w:t xml:space="preserve">patient </w:t>
      </w:r>
      <w:r w:rsidR="009A39DA" w:rsidRPr="00560F46">
        <w:rPr>
          <w:color w:val="292526"/>
        </w:rPr>
        <w:t>understands what is involved and agrees to the treatment. SNS should only be tried when other treatments for incontinence have been unsuccessful, changes in daily lives</w:t>
      </w:r>
      <w:r w:rsidR="00BF2C09" w:rsidRPr="00560F46">
        <w:rPr>
          <w:color w:val="292526"/>
        </w:rPr>
        <w:t xml:space="preserve"> have been made</w:t>
      </w:r>
      <w:r w:rsidR="009A39DA" w:rsidRPr="00560F46">
        <w:rPr>
          <w:color w:val="292526"/>
        </w:rPr>
        <w:t>, or</w:t>
      </w:r>
      <w:r w:rsidR="00BF2C09" w:rsidRPr="00560F46">
        <w:rPr>
          <w:color w:val="292526"/>
        </w:rPr>
        <w:t xml:space="preserve"> </w:t>
      </w:r>
      <w:r w:rsidR="009A39DA" w:rsidRPr="00560F46">
        <w:rPr>
          <w:color w:val="292526"/>
        </w:rPr>
        <w:t>learning techniques to help control the bladder</w:t>
      </w:r>
      <w:r w:rsidR="00BF2C09" w:rsidRPr="00560F46">
        <w:rPr>
          <w:color w:val="292526"/>
        </w:rPr>
        <w:t>, have been put in place</w:t>
      </w:r>
      <w:r w:rsidR="009A39DA" w:rsidRPr="00560F46">
        <w:rPr>
          <w:color w:val="292526"/>
        </w:rPr>
        <w:t>.</w:t>
      </w:r>
      <w:r w:rsidR="007267DD">
        <w:rPr>
          <w:color w:val="292526"/>
          <w:vertAlign w:val="superscript"/>
        </w:rPr>
        <w:t>7</w:t>
      </w:r>
    </w:p>
    <w:p w14:paraId="746FE44F" w14:textId="77777777" w:rsidR="00514409" w:rsidRPr="00560F46" w:rsidRDefault="00514409">
      <w:pPr>
        <w:rPr>
          <w:bCs/>
          <w:i/>
        </w:rPr>
      </w:pPr>
    </w:p>
    <w:p w14:paraId="03968D9C" w14:textId="77777777" w:rsidR="00B01EF4" w:rsidRPr="00560F46" w:rsidRDefault="00B01EF4" w:rsidP="00C01E43">
      <w:pPr>
        <w:tabs>
          <w:tab w:val="left" w:pos="3765"/>
        </w:tabs>
        <w:rPr>
          <w:bCs/>
          <w:i/>
        </w:rPr>
      </w:pPr>
      <w:r w:rsidRPr="00560F46">
        <w:rPr>
          <w:bCs/>
          <w:i/>
        </w:rPr>
        <w:t xml:space="preserve">Periurethral Bulking Agents </w:t>
      </w:r>
      <w:r w:rsidR="00C01E43">
        <w:rPr>
          <w:bCs/>
          <w:i/>
        </w:rPr>
        <w:tab/>
      </w:r>
    </w:p>
    <w:p w14:paraId="41C34428" w14:textId="3354AD0A" w:rsidR="00B01EF4" w:rsidRPr="00560F46" w:rsidRDefault="00614958">
      <w:pPr>
        <w:rPr>
          <w:color w:val="000000"/>
          <w:vertAlign w:val="superscript"/>
        </w:rPr>
      </w:pPr>
      <w:r>
        <w:rPr>
          <w:bCs/>
        </w:rPr>
        <w:t>U</w:t>
      </w:r>
      <w:r w:rsidR="00A620FF" w:rsidRPr="00A620FF">
        <w:rPr>
          <w:bCs/>
        </w:rPr>
        <w:t>rethral bulking agent</w:t>
      </w:r>
      <w:r>
        <w:rPr>
          <w:bCs/>
        </w:rPr>
        <w:t xml:space="preserve"> (</w:t>
      </w:r>
      <w:r w:rsidR="00B01EF4" w:rsidRPr="00560F46">
        <w:rPr>
          <w:bCs/>
        </w:rPr>
        <w:t>UBA</w:t>
      </w:r>
      <w:r>
        <w:rPr>
          <w:bCs/>
        </w:rPr>
        <w:t>)</w:t>
      </w:r>
      <w:r w:rsidR="00B01EF4" w:rsidRPr="00560F46">
        <w:rPr>
          <w:bCs/>
        </w:rPr>
        <w:t xml:space="preserve"> </w:t>
      </w:r>
      <w:r w:rsidR="00B01EF4" w:rsidRPr="00560F46">
        <w:rPr>
          <w:color w:val="000000"/>
        </w:rPr>
        <w:t>therapy, also known as periurethral injection therapy, is rarely used as a primary treatment for</w:t>
      </w:r>
      <w:r w:rsidR="00236909">
        <w:rPr>
          <w:color w:val="000000"/>
        </w:rPr>
        <w:t xml:space="preserve"> stress </w:t>
      </w:r>
      <w:r w:rsidR="00F15F75">
        <w:rPr>
          <w:color w:val="000000"/>
        </w:rPr>
        <w:t>urinary</w:t>
      </w:r>
      <w:r w:rsidR="00236909">
        <w:rPr>
          <w:color w:val="000000"/>
        </w:rPr>
        <w:t xml:space="preserve"> incontinence</w:t>
      </w:r>
      <w:r w:rsidR="00B01EF4" w:rsidRPr="00236909">
        <w:rPr>
          <w:color w:val="000000"/>
        </w:rPr>
        <w:t xml:space="preserve"> </w:t>
      </w:r>
      <w:r w:rsidR="00236909">
        <w:rPr>
          <w:color w:val="000000"/>
        </w:rPr>
        <w:t>(</w:t>
      </w:r>
      <w:r w:rsidR="00B01EF4" w:rsidRPr="00236909">
        <w:rPr>
          <w:color w:val="000000"/>
        </w:rPr>
        <w:t>SUI</w:t>
      </w:r>
      <w:r w:rsidR="00236909">
        <w:rPr>
          <w:color w:val="000000"/>
        </w:rPr>
        <w:t>)</w:t>
      </w:r>
      <w:r w:rsidR="00B01EF4" w:rsidRPr="00236909">
        <w:rPr>
          <w:color w:val="000000"/>
        </w:rPr>
        <w:t xml:space="preserve"> but remains an option for women with persistent/recurrent SUI </w:t>
      </w:r>
      <w:r w:rsidR="00236909">
        <w:rPr>
          <w:color w:val="000000"/>
        </w:rPr>
        <w:t>who</w:t>
      </w:r>
      <w:r w:rsidR="00B01EF4" w:rsidRPr="00236909">
        <w:rPr>
          <w:color w:val="000000"/>
        </w:rPr>
        <w:t xml:space="preserve"> </w:t>
      </w:r>
      <w:r w:rsidR="0006119E">
        <w:rPr>
          <w:color w:val="000000"/>
        </w:rPr>
        <w:t xml:space="preserve">wish to avoid surgery or who </w:t>
      </w:r>
      <w:r w:rsidR="00B01EF4" w:rsidRPr="00236909">
        <w:rPr>
          <w:color w:val="000000"/>
        </w:rPr>
        <w:t>are unable to tolerate surgical procedure.</w:t>
      </w:r>
      <w:r w:rsidR="007267DD">
        <w:rPr>
          <w:color w:val="000000"/>
          <w:vertAlign w:val="superscript"/>
        </w:rPr>
        <w:t>8</w:t>
      </w:r>
      <w:r w:rsidR="00B01EF4" w:rsidRPr="00236909">
        <w:rPr>
          <w:color w:val="000000"/>
        </w:rPr>
        <w:t xml:space="preserve"> </w:t>
      </w:r>
      <w:r w:rsidR="00436A88" w:rsidRPr="00236909">
        <w:rPr>
          <w:color w:val="000000"/>
        </w:rPr>
        <w:t>Although UBA is an option for this t</w:t>
      </w:r>
      <w:r w:rsidR="00436A88" w:rsidRPr="00560F46">
        <w:rPr>
          <w:color w:val="000000"/>
        </w:rPr>
        <w:t xml:space="preserve">ype of incontinence, </w:t>
      </w:r>
      <w:r w:rsidR="00400579" w:rsidRPr="00560F46">
        <w:rPr>
          <w:color w:val="000000"/>
        </w:rPr>
        <w:t xml:space="preserve">it </w:t>
      </w:r>
      <w:r w:rsidR="00436A88" w:rsidRPr="00560F46">
        <w:rPr>
          <w:color w:val="000000"/>
        </w:rPr>
        <w:t xml:space="preserve">can be more invasive and usually requires repeat injections. </w:t>
      </w:r>
      <w:r w:rsidR="00B01EF4" w:rsidRPr="00560F46">
        <w:rPr>
          <w:color w:val="000000"/>
        </w:rPr>
        <w:t xml:space="preserve">The most common complications associated with UBA are urinary retention and urinary tract infection, </w:t>
      </w:r>
      <w:r w:rsidR="00236909">
        <w:rPr>
          <w:color w:val="000000"/>
        </w:rPr>
        <w:t>but</w:t>
      </w:r>
      <w:r w:rsidR="00B01EF4" w:rsidRPr="00236909">
        <w:rPr>
          <w:color w:val="000000"/>
        </w:rPr>
        <w:t xml:space="preserve"> these are easily managed.</w:t>
      </w:r>
      <w:r w:rsidR="00EB4AC1">
        <w:rPr>
          <w:color w:val="000000"/>
          <w:vertAlign w:val="superscript"/>
        </w:rPr>
        <w:t>3,</w:t>
      </w:r>
      <w:r w:rsidR="007267DD">
        <w:rPr>
          <w:color w:val="000000"/>
          <w:vertAlign w:val="superscript"/>
        </w:rPr>
        <w:t>9,</w:t>
      </w:r>
      <w:r w:rsidR="00D82F87">
        <w:rPr>
          <w:color w:val="000000"/>
          <w:vertAlign w:val="superscript"/>
        </w:rPr>
        <w:t>10</w:t>
      </w:r>
      <w:r w:rsidR="001C0CE1">
        <w:rPr>
          <w:color w:val="000000"/>
          <w:vertAlign w:val="superscript"/>
        </w:rPr>
        <w:t>,</w:t>
      </w:r>
      <w:r w:rsidR="00435226">
        <w:rPr>
          <w:color w:val="000000"/>
          <w:vertAlign w:val="superscript"/>
        </w:rPr>
        <w:t>1</w:t>
      </w:r>
      <w:r w:rsidR="00D82F87">
        <w:rPr>
          <w:color w:val="000000"/>
          <w:vertAlign w:val="superscript"/>
        </w:rPr>
        <w:t>1</w:t>
      </w:r>
    </w:p>
    <w:p w14:paraId="7B1A8BFE" w14:textId="77777777" w:rsidR="00400579" w:rsidRPr="00236909" w:rsidRDefault="00400579" w:rsidP="00400579">
      <w:pPr>
        <w:rPr>
          <w:lang w:val="en"/>
        </w:rPr>
      </w:pPr>
    </w:p>
    <w:p w14:paraId="44798AD5" w14:textId="6D265FFF" w:rsidR="002D48FA" w:rsidRPr="00560F46" w:rsidRDefault="00400579" w:rsidP="002D48FA">
      <w:pPr>
        <w:rPr>
          <w:color w:val="000000"/>
          <w:vertAlign w:val="superscript"/>
        </w:rPr>
      </w:pPr>
      <w:r w:rsidRPr="00560F46">
        <w:rPr>
          <w:lang w:val="en"/>
        </w:rPr>
        <w:t>Candidates for periurethral bulking agents also include women with intrinsic sphincter deficiency and men who are incontinent after prostate surgery. UBA used to treat intrinsic sphincteric deficiency is being performed less frequently in current practice. Surgical interventions are generally more efficacious in both, whereas injectable therapy can be considered in cases in which surgery is contraindicated or as an adjunct to surgery if symptoms persist. In women with severe intrinsic sphincter deficiency or urethral hypermobility, the best long-term results are obtained with a pubovaginal sling or retropubic bladder neck suspension procedure.</w:t>
      </w:r>
      <w:r w:rsidR="002D48FA" w:rsidRPr="00560F46">
        <w:rPr>
          <w:vertAlign w:val="superscript"/>
          <w:lang w:val="en"/>
        </w:rPr>
        <w:t>3</w:t>
      </w:r>
      <w:r w:rsidR="00607611">
        <w:rPr>
          <w:vertAlign w:val="superscript"/>
          <w:lang w:val="en"/>
        </w:rPr>
        <w:t>,</w:t>
      </w:r>
      <w:r w:rsidR="001D332A">
        <w:rPr>
          <w:vertAlign w:val="superscript"/>
          <w:lang w:val="en"/>
        </w:rPr>
        <w:t>9,</w:t>
      </w:r>
      <w:r w:rsidR="00D82F87">
        <w:rPr>
          <w:vertAlign w:val="superscript"/>
          <w:lang w:val="en"/>
        </w:rPr>
        <w:t>10</w:t>
      </w:r>
      <w:r w:rsidR="001E1921">
        <w:rPr>
          <w:vertAlign w:val="superscript"/>
          <w:lang w:val="en"/>
        </w:rPr>
        <w:t>,1</w:t>
      </w:r>
      <w:r w:rsidR="00D82F87">
        <w:rPr>
          <w:vertAlign w:val="superscript"/>
          <w:lang w:val="en"/>
        </w:rPr>
        <w:t>1</w:t>
      </w:r>
    </w:p>
    <w:p w14:paraId="05CFD517" w14:textId="77777777" w:rsidR="000E633F" w:rsidRPr="00236909" w:rsidRDefault="000E633F">
      <w:pPr>
        <w:rPr>
          <w:color w:val="000000"/>
        </w:rPr>
      </w:pPr>
    </w:p>
    <w:p w14:paraId="112E8051" w14:textId="3DC82FE6" w:rsidR="000E633F" w:rsidRPr="00560F46" w:rsidRDefault="000E633F" w:rsidP="000E633F">
      <w:pPr>
        <w:pStyle w:val="BodyTextIndent"/>
        <w:spacing w:after="0"/>
        <w:ind w:left="0" w:firstLine="0"/>
        <w:rPr>
          <w:rFonts w:ascii="Times New Roman" w:hAnsi="Times New Roman"/>
          <w:color w:val="000000"/>
          <w:sz w:val="24"/>
          <w:szCs w:val="24"/>
        </w:rPr>
      </w:pPr>
      <w:r w:rsidRPr="001A54BE">
        <w:rPr>
          <w:rFonts w:ascii="Times New Roman" w:hAnsi="Times New Roman"/>
          <w:color w:val="000000"/>
          <w:sz w:val="24"/>
          <w:szCs w:val="24"/>
        </w:rPr>
        <w:t>U</w:t>
      </w:r>
      <w:r w:rsidR="009D7539" w:rsidRPr="001A54BE">
        <w:rPr>
          <w:rFonts w:ascii="Times New Roman" w:hAnsi="Times New Roman"/>
          <w:color w:val="000000"/>
          <w:sz w:val="24"/>
          <w:szCs w:val="24"/>
        </w:rPr>
        <w:t xml:space="preserve">nited </w:t>
      </w:r>
      <w:r w:rsidRPr="001A54BE">
        <w:rPr>
          <w:rFonts w:ascii="Times New Roman" w:hAnsi="Times New Roman"/>
          <w:color w:val="000000"/>
          <w:sz w:val="24"/>
          <w:szCs w:val="24"/>
        </w:rPr>
        <w:t>S</w:t>
      </w:r>
      <w:r w:rsidR="009D7539" w:rsidRPr="001A54BE">
        <w:rPr>
          <w:rFonts w:ascii="Times New Roman" w:hAnsi="Times New Roman"/>
          <w:color w:val="000000"/>
          <w:sz w:val="24"/>
          <w:szCs w:val="24"/>
        </w:rPr>
        <w:t>tates</w:t>
      </w:r>
      <w:r w:rsidRPr="001A54BE">
        <w:rPr>
          <w:rFonts w:ascii="Times New Roman" w:hAnsi="Times New Roman"/>
          <w:color w:val="000000"/>
          <w:sz w:val="24"/>
          <w:szCs w:val="24"/>
        </w:rPr>
        <w:t xml:space="preserve"> </w:t>
      </w:r>
      <w:r w:rsidR="004400A5" w:rsidRPr="001A54BE">
        <w:rPr>
          <w:rFonts w:ascii="Times New Roman" w:hAnsi="Times New Roman"/>
          <w:color w:val="000000"/>
          <w:sz w:val="24"/>
          <w:szCs w:val="24"/>
        </w:rPr>
        <w:t>Food and Drug Administration (</w:t>
      </w:r>
      <w:r w:rsidRPr="001A54BE">
        <w:rPr>
          <w:rFonts w:ascii="Times New Roman" w:hAnsi="Times New Roman"/>
          <w:color w:val="000000"/>
          <w:sz w:val="24"/>
          <w:szCs w:val="24"/>
        </w:rPr>
        <w:t>FDA</w:t>
      </w:r>
      <w:r w:rsidR="004400A5" w:rsidRPr="001A54BE">
        <w:rPr>
          <w:rFonts w:ascii="Times New Roman" w:hAnsi="Times New Roman"/>
          <w:color w:val="000000"/>
          <w:sz w:val="24"/>
          <w:szCs w:val="24"/>
        </w:rPr>
        <w:t>)</w:t>
      </w:r>
      <w:r w:rsidRPr="001A54BE">
        <w:rPr>
          <w:rFonts w:ascii="Times New Roman" w:hAnsi="Times New Roman"/>
          <w:color w:val="000000"/>
          <w:sz w:val="24"/>
          <w:szCs w:val="24"/>
        </w:rPr>
        <w:t xml:space="preserve"> approved products for periurethral </w:t>
      </w:r>
      <w:proofErr w:type="gramStart"/>
      <w:r w:rsidRPr="001A54BE">
        <w:rPr>
          <w:rFonts w:ascii="Times New Roman" w:hAnsi="Times New Roman"/>
          <w:color w:val="000000"/>
          <w:sz w:val="24"/>
          <w:szCs w:val="24"/>
        </w:rPr>
        <w:t>injection</w:t>
      </w:r>
      <w:r w:rsidR="00EC0892">
        <w:rPr>
          <w:rFonts w:ascii="Times New Roman" w:hAnsi="Times New Roman"/>
          <w:color w:val="000000"/>
          <w:sz w:val="24"/>
          <w:szCs w:val="24"/>
        </w:rPr>
        <w:t xml:space="preserve"> </w:t>
      </w:r>
      <w:r w:rsidRPr="00560F46">
        <w:rPr>
          <w:rFonts w:ascii="Times New Roman" w:hAnsi="Times New Roman"/>
          <w:color w:val="000000"/>
          <w:sz w:val="24"/>
          <w:szCs w:val="24"/>
        </w:rPr>
        <w:t xml:space="preserve"> therapy</w:t>
      </w:r>
      <w:proofErr w:type="gramEnd"/>
      <w:r w:rsidRPr="00560F46">
        <w:rPr>
          <w:rFonts w:ascii="Times New Roman" w:hAnsi="Times New Roman"/>
          <w:color w:val="000000"/>
          <w:sz w:val="24"/>
          <w:szCs w:val="24"/>
        </w:rPr>
        <w:t xml:space="preserve"> include</w:t>
      </w:r>
      <w:r w:rsidR="00754CD1">
        <w:rPr>
          <w:rFonts w:ascii="Times New Roman" w:hAnsi="Times New Roman"/>
          <w:color w:val="000000"/>
          <w:sz w:val="24"/>
          <w:szCs w:val="24"/>
          <w:vertAlign w:val="superscript"/>
        </w:rPr>
        <w:t>19</w:t>
      </w:r>
      <w:r w:rsidR="00AE5E43">
        <w:rPr>
          <w:rFonts w:ascii="Times New Roman" w:hAnsi="Times New Roman"/>
          <w:color w:val="000000"/>
          <w:sz w:val="24"/>
          <w:szCs w:val="24"/>
          <w:vertAlign w:val="superscript"/>
        </w:rPr>
        <w:t>,2</w:t>
      </w:r>
      <w:r w:rsidR="003212BC">
        <w:rPr>
          <w:rFonts w:ascii="Times New Roman" w:hAnsi="Times New Roman"/>
          <w:color w:val="000000"/>
          <w:sz w:val="24"/>
          <w:szCs w:val="24"/>
          <w:vertAlign w:val="superscript"/>
        </w:rPr>
        <w:t>0,21,22</w:t>
      </w:r>
    </w:p>
    <w:p w14:paraId="3FFD564D" w14:textId="1C2285CF" w:rsidR="000E633F" w:rsidRPr="00560F46" w:rsidRDefault="000E633F" w:rsidP="00560F46">
      <w:pPr>
        <w:pStyle w:val="BodyTextIndent"/>
        <w:numPr>
          <w:ilvl w:val="0"/>
          <w:numId w:val="26"/>
        </w:numPr>
        <w:spacing w:after="0"/>
        <w:rPr>
          <w:rFonts w:ascii="Times New Roman" w:hAnsi="Times New Roman"/>
          <w:color w:val="000000"/>
          <w:sz w:val="24"/>
          <w:szCs w:val="24"/>
        </w:rPr>
      </w:pPr>
      <w:r w:rsidRPr="00560F46">
        <w:rPr>
          <w:rFonts w:ascii="Times New Roman" w:hAnsi="Times New Roman"/>
          <w:color w:val="000000"/>
          <w:sz w:val="24"/>
          <w:szCs w:val="24"/>
        </w:rPr>
        <w:t>Carbon-coated zirconium oxide beads suspended in a water-based gel (</w:t>
      </w:r>
      <w:proofErr w:type="spellStart"/>
      <w:r w:rsidRPr="00560F46">
        <w:rPr>
          <w:rFonts w:ascii="Times New Roman" w:hAnsi="Times New Roman"/>
          <w:color w:val="000000"/>
          <w:sz w:val="24"/>
          <w:szCs w:val="24"/>
        </w:rPr>
        <w:t>Durasphere</w:t>
      </w:r>
      <w:proofErr w:type="spellEnd"/>
      <w:r w:rsidRPr="00560F46">
        <w:rPr>
          <w:rFonts w:ascii="Times New Roman" w:hAnsi="Times New Roman"/>
          <w:color w:val="000000"/>
          <w:sz w:val="24"/>
          <w:szCs w:val="24"/>
        </w:rPr>
        <w:t xml:space="preserve"> EXP, FDA approved </w:t>
      </w:r>
      <w:r w:rsidR="008C177E">
        <w:rPr>
          <w:rFonts w:ascii="Times New Roman" w:hAnsi="Times New Roman"/>
          <w:color w:val="000000"/>
          <w:sz w:val="24"/>
          <w:szCs w:val="24"/>
        </w:rPr>
        <w:t xml:space="preserve">in </w:t>
      </w:r>
      <w:r w:rsidRPr="00560F46">
        <w:rPr>
          <w:rFonts w:ascii="Times New Roman" w:hAnsi="Times New Roman"/>
          <w:color w:val="000000"/>
          <w:sz w:val="24"/>
          <w:szCs w:val="24"/>
        </w:rPr>
        <w:t>1999)</w:t>
      </w:r>
    </w:p>
    <w:p w14:paraId="74E4AE9F" w14:textId="44AD8F29" w:rsidR="000E633F" w:rsidRPr="00560F46" w:rsidRDefault="000E633F" w:rsidP="00F70931">
      <w:pPr>
        <w:pStyle w:val="BodyTextIndent"/>
        <w:numPr>
          <w:ilvl w:val="0"/>
          <w:numId w:val="26"/>
        </w:numPr>
        <w:spacing w:after="0"/>
        <w:rPr>
          <w:rFonts w:ascii="Times New Roman" w:hAnsi="Times New Roman"/>
          <w:color w:val="000000"/>
          <w:sz w:val="24"/>
          <w:szCs w:val="24"/>
        </w:rPr>
      </w:pPr>
      <w:r w:rsidRPr="00560F46">
        <w:rPr>
          <w:rFonts w:ascii="Times New Roman" w:hAnsi="Times New Roman"/>
          <w:color w:val="000000"/>
          <w:sz w:val="24"/>
          <w:szCs w:val="24"/>
        </w:rPr>
        <w:t>Crosslinked polydimethylsiloxane (</w:t>
      </w:r>
      <w:proofErr w:type="spellStart"/>
      <w:r w:rsidRPr="00560F46">
        <w:rPr>
          <w:rFonts w:ascii="Times New Roman" w:hAnsi="Times New Roman"/>
          <w:color w:val="000000"/>
          <w:sz w:val="24"/>
          <w:szCs w:val="24"/>
        </w:rPr>
        <w:t>Macroplastique</w:t>
      </w:r>
      <w:proofErr w:type="spellEnd"/>
      <w:r w:rsidRPr="00560F46">
        <w:rPr>
          <w:rFonts w:ascii="Times New Roman" w:hAnsi="Times New Roman"/>
          <w:color w:val="000000"/>
          <w:sz w:val="24"/>
          <w:szCs w:val="24"/>
        </w:rPr>
        <w:t xml:space="preserve">, FDA approved </w:t>
      </w:r>
      <w:r w:rsidR="008C177E">
        <w:rPr>
          <w:rFonts w:ascii="Times New Roman" w:hAnsi="Times New Roman"/>
          <w:color w:val="000000"/>
          <w:sz w:val="24"/>
          <w:szCs w:val="24"/>
        </w:rPr>
        <w:t>October 30, 2006</w:t>
      </w:r>
      <w:r w:rsidRPr="00560F46">
        <w:rPr>
          <w:rFonts w:ascii="Times New Roman" w:hAnsi="Times New Roman"/>
          <w:color w:val="000000"/>
          <w:sz w:val="24"/>
          <w:szCs w:val="24"/>
        </w:rPr>
        <w:t>)</w:t>
      </w:r>
      <w:r w:rsidR="00F70931">
        <w:rPr>
          <w:rFonts w:ascii="Times New Roman" w:hAnsi="Times New Roman"/>
          <w:color w:val="000000"/>
          <w:sz w:val="24"/>
          <w:szCs w:val="24"/>
        </w:rPr>
        <w:t xml:space="preserve"> </w:t>
      </w:r>
    </w:p>
    <w:p w14:paraId="040C0420" w14:textId="74AE102E" w:rsidR="000E633F" w:rsidRPr="00AB7EC6" w:rsidRDefault="000E633F" w:rsidP="00236909">
      <w:pPr>
        <w:pStyle w:val="BodyTextIndent"/>
        <w:numPr>
          <w:ilvl w:val="0"/>
          <w:numId w:val="26"/>
        </w:numPr>
        <w:spacing w:after="0"/>
        <w:rPr>
          <w:rFonts w:ascii="Times New Roman" w:hAnsi="Times New Roman"/>
          <w:color w:val="000000"/>
          <w:sz w:val="24"/>
          <w:szCs w:val="24"/>
        </w:rPr>
      </w:pPr>
      <w:r w:rsidRPr="00AB7EC6">
        <w:rPr>
          <w:rFonts w:ascii="Times New Roman" w:hAnsi="Times New Roman"/>
          <w:color w:val="000000"/>
          <w:sz w:val="24"/>
          <w:szCs w:val="24"/>
        </w:rPr>
        <w:t xml:space="preserve">Calcium </w:t>
      </w:r>
      <w:proofErr w:type="spellStart"/>
      <w:r w:rsidRPr="00AB7EC6">
        <w:rPr>
          <w:rFonts w:ascii="Times New Roman" w:hAnsi="Times New Roman"/>
          <w:color w:val="000000"/>
          <w:sz w:val="24"/>
          <w:szCs w:val="24"/>
        </w:rPr>
        <w:t>hydroxylapatite</w:t>
      </w:r>
      <w:proofErr w:type="spellEnd"/>
      <w:r w:rsidRPr="00AB7EC6">
        <w:rPr>
          <w:rFonts w:ascii="Times New Roman" w:hAnsi="Times New Roman"/>
          <w:color w:val="000000"/>
          <w:sz w:val="24"/>
          <w:szCs w:val="24"/>
        </w:rPr>
        <w:t xml:space="preserve"> suspended in </w:t>
      </w:r>
      <w:proofErr w:type="gramStart"/>
      <w:r w:rsidRPr="00AB7EC6">
        <w:rPr>
          <w:rFonts w:ascii="Times New Roman" w:hAnsi="Times New Roman"/>
          <w:color w:val="000000"/>
          <w:sz w:val="24"/>
          <w:szCs w:val="24"/>
        </w:rPr>
        <w:t>a water</w:t>
      </w:r>
      <w:proofErr w:type="gramEnd"/>
      <w:r w:rsidRPr="00AB7EC6">
        <w:rPr>
          <w:rFonts w:ascii="Times New Roman" w:hAnsi="Times New Roman"/>
          <w:color w:val="000000"/>
          <w:sz w:val="24"/>
          <w:szCs w:val="24"/>
        </w:rPr>
        <w:t xml:space="preserve"> and glycerin gel (</w:t>
      </w:r>
      <w:proofErr w:type="spellStart"/>
      <w:r w:rsidRPr="00AB7EC6">
        <w:rPr>
          <w:rFonts w:ascii="Times New Roman" w:hAnsi="Times New Roman"/>
          <w:color w:val="000000"/>
          <w:sz w:val="24"/>
          <w:szCs w:val="24"/>
        </w:rPr>
        <w:t>Coaptite</w:t>
      </w:r>
      <w:proofErr w:type="spellEnd"/>
      <w:r w:rsidRPr="00AB7EC6">
        <w:rPr>
          <w:rFonts w:ascii="Times New Roman" w:hAnsi="Times New Roman"/>
          <w:color w:val="000000"/>
          <w:sz w:val="24"/>
          <w:szCs w:val="24"/>
        </w:rPr>
        <w:t>,</w:t>
      </w:r>
      <w:r w:rsidR="008C177E" w:rsidRPr="00AB7EC6">
        <w:rPr>
          <w:rFonts w:ascii="Times New Roman" w:hAnsi="Times New Roman"/>
          <w:color w:val="000000"/>
          <w:sz w:val="24"/>
          <w:szCs w:val="24"/>
        </w:rPr>
        <w:t xml:space="preserve"> FDA approved November 10, 2005</w:t>
      </w:r>
      <w:r w:rsidRPr="00AB7EC6">
        <w:rPr>
          <w:rFonts w:ascii="Times New Roman" w:hAnsi="Times New Roman"/>
          <w:color w:val="000000"/>
          <w:sz w:val="24"/>
          <w:szCs w:val="24"/>
        </w:rPr>
        <w:t>)</w:t>
      </w:r>
    </w:p>
    <w:p w14:paraId="19A4E7B3" w14:textId="5ABD3C3D" w:rsidR="007C0DEB" w:rsidRPr="00AB7EC6" w:rsidRDefault="00F70931" w:rsidP="00F70931">
      <w:pPr>
        <w:pStyle w:val="BodyTextIndent"/>
        <w:numPr>
          <w:ilvl w:val="0"/>
          <w:numId w:val="26"/>
        </w:numPr>
        <w:spacing w:after="0"/>
        <w:rPr>
          <w:rFonts w:ascii="Times New Roman" w:hAnsi="Times New Roman"/>
          <w:color w:val="000000"/>
          <w:sz w:val="24"/>
          <w:szCs w:val="24"/>
        </w:rPr>
      </w:pPr>
      <w:r w:rsidRPr="00AB7EC6">
        <w:rPr>
          <w:rFonts w:ascii="Times New Roman" w:hAnsi="Times New Roman"/>
          <w:color w:val="000000"/>
          <w:sz w:val="24"/>
          <w:szCs w:val="24"/>
        </w:rPr>
        <w:lastRenderedPageBreak/>
        <w:t>Polyacrylamide hydrogel (</w:t>
      </w:r>
      <w:proofErr w:type="spellStart"/>
      <w:r w:rsidRPr="00AB7EC6">
        <w:rPr>
          <w:rFonts w:ascii="Times New Roman" w:hAnsi="Times New Roman"/>
          <w:color w:val="000000"/>
          <w:sz w:val="24"/>
          <w:szCs w:val="24"/>
        </w:rPr>
        <w:t>Bulkamid</w:t>
      </w:r>
      <w:proofErr w:type="spellEnd"/>
      <w:r w:rsidRPr="00AB7EC6">
        <w:rPr>
          <w:rFonts w:ascii="Times New Roman" w:hAnsi="Times New Roman"/>
          <w:color w:val="000000"/>
          <w:sz w:val="24"/>
          <w:szCs w:val="24"/>
        </w:rPr>
        <w:t xml:space="preserve">): a homogeneous, stable hydrophilic polymer gel (FDA approved </w:t>
      </w:r>
      <w:r w:rsidR="008C177E" w:rsidRPr="00AB7EC6">
        <w:rPr>
          <w:rFonts w:ascii="Times New Roman" w:hAnsi="Times New Roman"/>
          <w:color w:val="000000"/>
          <w:sz w:val="24"/>
          <w:szCs w:val="24"/>
        </w:rPr>
        <w:t>January 28, 2020</w:t>
      </w:r>
      <w:r w:rsidRPr="00AB7EC6">
        <w:rPr>
          <w:rFonts w:ascii="Times New Roman" w:hAnsi="Times New Roman"/>
          <w:color w:val="000000"/>
          <w:sz w:val="24"/>
          <w:szCs w:val="24"/>
        </w:rPr>
        <w:t>)</w:t>
      </w:r>
    </w:p>
    <w:p w14:paraId="5C06E490" w14:textId="77777777" w:rsidR="000E633F" w:rsidRPr="00560F46" w:rsidRDefault="000E633F" w:rsidP="00560F46">
      <w:pPr>
        <w:pStyle w:val="BodyTextIndent"/>
        <w:spacing w:after="0"/>
        <w:ind w:left="0" w:firstLine="0"/>
        <w:rPr>
          <w:rFonts w:ascii="Times New Roman" w:hAnsi="Times New Roman"/>
          <w:color w:val="000000"/>
          <w:sz w:val="24"/>
          <w:szCs w:val="24"/>
        </w:rPr>
      </w:pPr>
    </w:p>
    <w:p w14:paraId="0F7B5736" w14:textId="5E6D8A2C" w:rsidR="000E633F" w:rsidRPr="00560F46" w:rsidRDefault="0019564A">
      <w:pPr>
        <w:rPr>
          <w:lang w:val="en"/>
        </w:rPr>
      </w:pPr>
      <w:r w:rsidRPr="00236909">
        <w:rPr>
          <w:lang w:val="en"/>
        </w:rPr>
        <w:t xml:space="preserve">Evidence in major reviews shows low efficacy rates compared with surgical incontinence therapies, a need for repeat treatments because of symptom recurrence, and problems with the </w:t>
      </w:r>
      <w:r w:rsidRPr="00AB7EC6">
        <w:rPr>
          <w:lang w:val="en"/>
        </w:rPr>
        <w:t>injection of some synthetic agents.</w:t>
      </w:r>
      <w:r w:rsidR="00F14F2F" w:rsidRPr="00C36379">
        <w:rPr>
          <w:vertAlign w:val="superscript"/>
          <w:lang w:val="en"/>
        </w:rPr>
        <w:t>8</w:t>
      </w:r>
      <w:r w:rsidRPr="00AB7EC6">
        <w:rPr>
          <w:lang w:val="en"/>
        </w:rPr>
        <w:t xml:space="preserve"> </w:t>
      </w:r>
      <w:r w:rsidR="0042659C" w:rsidRPr="00AB7EC6">
        <w:rPr>
          <w:lang w:val="en"/>
        </w:rPr>
        <w:t xml:space="preserve"> </w:t>
      </w:r>
    </w:p>
    <w:p w14:paraId="09CD5F81" w14:textId="77777777" w:rsidR="00D94417" w:rsidRPr="00560F46" w:rsidRDefault="00D94417" w:rsidP="00D94417">
      <w:pPr>
        <w:autoSpaceDE w:val="0"/>
        <w:autoSpaceDN w:val="0"/>
        <w:adjustRightInd w:val="0"/>
      </w:pPr>
    </w:p>
    <w:p w14:paraId="26D583C6" w14:textId="7FC2837A" w:rsidR="00D94417" w:rsidRPr="00560F46" w:rsidRDefault="00D94417" w:rsidP="00D94417">
      <w:pPr>
        <w:autoSpaceDE w:val="0"/>
        <w:autoSpaceDN w:val="0"/>
        <w:adjustRightInd w:val="0"/>
        <w:rPr>
          <w:bCs/>
          <w:vertAlign w:val="superscript"/>
        </w:rPr>
      </w:pPr>
      <w:r w:rsidRPr="00560F46">
        <w:t>Currently, there has been increased interest in autologous skeletal muscle derived stem cell injections for the treatment of SUI</w:t>
      </w:r>
      <w:r w:rsidR="00A91717">
        <w:t>,</w:t>
      </w:r>
      <w:r w:rsidRPr="00560F46">
        <w:t xml:space="preserve"> specifically due to intrinsic urinary incontinence. This therapy involves obtaining a biopsy of the patient’s skeletal muscle, which is then processed ex vivo to ensure a large quantity of myogenic cells in the product. The product is then injected into the urethral sphincter, </w:t>
      </w:r>
      <w:proofErr w:type="spellStart"/>
      <w:r w:rsidRPr="00560F46">
        <w:t>transurethrally</w:t>
      </w:r>
      <w:proofErr w:type="spellEnd"/>
      <w:r w:rsidRPr="00560F46">
        <w:t xml:space="preserve"> or </w:t>
      </w:r>
      <w:proofErr w:type="spellStart"/>
      <w:r w:rsidRPr="00560F46">
        <w:t>periurethrally</w:t>
      </w:r>
      <w:proofErr w:type="spellEnd"/>
      <w:r w:rsidRPr="00560F46">
        <w:t>. Additional peer-reviewed studies are necessary to confirm the efficacy of this treatment.</w:t>
      </w:r>
      <w:r w:rsidR="00F14F2F">
        <w:rPr>
          <w:vertAlign w:val="superscript"/>
        </w:rPr>
        <w:t>9</w:t>
      </w:r>
    </w:p>
    <w:p w14:paraId="682D0756" w14:textId="77777777" w:rsidR="00400579" w:rsidRDefault="00400579" w:rsidP="00170B14">
      <w:pPr>
        <w:rPr>
          <w:b/>
        </w:rPr>
      </w:pPr>
      <w:bookmarkStart w:id="1" w:name="Coding_Implications"/>
    </w:p>
    <w:p w14:paraId="227F683A" w14:textId="77777777" w:rsidR="00436595" w:rsidRPr="00B777AF" w:rsidRDefault="00436595" w:rsidP="00170B14">
      <w:pPr>
        <w:rPr>
          <w:b/>
        </w:rPr>
      </w:pPr>
      <w:r w:rsidRPr="00B777AF">
        <w:rPr>
          <w:b/>
        </w:rPr>
        <w:t>Coding Implications</w:t>
      </w:r>
    </w:p>
    <w:bookmarkEnd w:id="1"/>
    <w:p w14:paraId="0CCE47D3" w14:textId="5E2C4DAD" w:rsidR="00436595" w:rsidRPr="00ED2A84" w:rsidRDefault="00436595" w:rsidP="00AF5490">
      <w:r w:rsidRPr="00ED2A84">
        <w:t>This clinical policy references Current Procedural Terminology (CPT</w:t>
      </w:r>
      <w:r w:rsidRPr="00ED2A84">
        <w:rPr>
          <w:vertAlign w:val="superscript"/>
        </w:rPr>
        <w:t>®</w:t>
      </w:r>
      <w:r w:rsidRPr="00ED2A84">
        <w:t>). CPT</w:t>
      </w:r>
      <w:r w:rsidRPr="00ED2A84">
        <w:rPr>
          <w:vertAlign w:val="superscript"/>
        </w:rPr>
        <w:t>®</w:t>
      </w:r>
      <w:r w:rsidRPr="00ED2A84">
        <w:t xml:space="preserve"> is a registered trademark of the American Medical Association. All CPT codes and d</w:t>
      </w:r>
      <w:r w:rsidR="004F3694">
        <w:t>escriptions are copyrighted 20</w:t>
      </w:r>
      <w:r w:rsidR="0032451B">
        <w:t>2</w:t>
      </w:r>
      <w:r w:rsidR="009B526D">
        <w:t>4</w:t>
      </w:r>
      <w:r w:rsidRPr="00ED2A84">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60A61974" w14:textId="77777777" w:rsidR="00436595" w:rsidRPr="00A85489" w:rsidRDefault="00436595" w:rsidP="00AF5490"/>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08"/>
        <w:gridCol w:w="7816"/>
      </w:tblGrid>
      <w:tr w:rsidR="00436595" w:rsidRPr="00B777AF" w14:paraId="6CC53B4F" w14:textId="77777777" w:rsidTr="00895211">
        <w:trPr>
          <w:tblHeader/>
        </w:trPr>
        <w:tc>
          <w:tcPr>
            <w:tcW w:w="1108" w:type="dxa"/>
            <w:shd w:val="clear" w:color="auto" w:fill="00548C"/>
          </w:tcPr>
          <w:p w14:paraId="5F2B72FF" w14:textId="77777777" w:rsidR="00436595" w:rsidRPr="00601843" w:rsidRDefault="00436595" w:rsidP="00C10DF0">
            <w:pPr>
              <w:rPr>
                <w:b/>
                <w:bCs/>
                <w:color w:val="FFFFFF"/>
              </w:rPr>
            </w:pPr>
            <w:r w:rsidRPr="00601843">
              <w:rPr>
                <w:b/>
                <w:color w:val="FFFFFF"/>
              </w:rPr>
              <w:t>CPT</w:t>
            </w:r>
            <w:r w:rsidRPr="00601843">
              <w:rPr>
                <w:b/>
                <w:color w:val="FFFFFF"/>
                <w:vertAlign w:val="superscript"/>
              </w:rPr>
              <w:t>®</w:t>
            </w:r>
            <w:r w:rsidRPr="00601843">
              <w:rPr>
                <w:b/>
                <w:color w:val="FFFFFF"/>
              </w:rPr>
              <w:t xml:space="preserve"> Codes </w:t>
            </w:r>
          </w:p>
        </w:tc>
        <w:tc>
          <w:tcPr>
            <w:tcW w:w="7816" w:type="dxa"/>
            <w:shd w:val="clear" w:color="auto" w:fill="00548C"/>
          </w:tcPr>
          <w:p w14:paraId="20E78425" w14:textId="77777777" w:rsidR="00436595" w:rsidRPr="00601843" w:rsidRDefault="00436595" w:rsidP="00C10DF0">
            <w:pPr>
              <w:rPr>
                <w:b/>
                <w:bCs/>
                <w:color w:val="FFFFFF"/>
              </w:rPr>
            </w:pPr>
            <w:r w:rsidRPr="00601843">
              <w:rPr>
                <w:b/>
                <w:color w:val="FFFFFF"/>
              </w:rPr>
              <w:t>Description</w:t>
            </w:r>
          </w:p>
        </w:tc>
      </w:tr>
      <w:tr w:rsidR="00436595" w:rsidRPr="005144C0" w14:paraId="72E8A8A3" w14:textId="77777777" w:rsidTr="00895211">
        <w:tc>
          <w:tcPr>
            <w:tcW w:w="1108" w:type="dxa"/>
          </w:tcPr>
          <w:p w14:paraId="6581248E" w14:textId="77777777" w:rsidR="00436595" w:rsidRPr="00601843" w:rsidRDefault="00ED0685" w:rsidP="00C10DF0">
            <w:pPr>
              <w:rPr>
                <w:bCs/>
              </w:rPr>
            </w:pPr>
            <w:r>
              <w:rPr>
                <w:bCs/>
              </w:rPr>
              <w:t>51715</w:t>
            </w:r>
          </w:p>
        </w:tc>
        <w:tc>
          <w:tcPr>
            <w:tcW w:w="7816" w:type="dxa"/>
          </w:tcPr>
          <w:p w14:paraId="26645A4B" w14:textId="77777777" w:rsidR="00436595" w:rsidRPr="00601843" w:rsidRDefault="00ED0685" w:rsidP="00107069">
            <w:pPr>
              <w:rPr>
                <w:bCs/>
              </w:rPr>
            </w:pPr>
            <w:r>
              <w:rPr>
                <w:bCs/>
              </w:rPr>
              <w:t>Endoscopic injection of implant material into the submucosal tissue of the</w:t>
            </w:r>
            <w:r w:rsidR="00A10374">
              <w:rPr>
                <w:bCs/>
              </w:rPr>
              <w:t xml:space="preserve"> </w:t>
            </w:r>
            <w:r w:rsidR="00A10374" w:rsidRPr="00A10374">
              <w:rPr>
                <w:bCs/>
              </w:rPr>
              <w:t>urethra and/or bladder neck</w:t>
            </w:r>
            <w:r>
              <w:rPr>
                <w:bCs/>
              </w:rPr>
              <w:t xml:space="preserve"> </w:t>
            </w:r>
          </w:p>
        </w:tc>
      </w:tr>
      <w:tr w:rsidR="00ED0685" w:rsidRPr="005144C0" w14:paraId="22E3911B" w14:textId="77777777" w:rsidTr="00895211">
        <w:tc>
          <w:tcPr>
            <w:tcW w:w="1108" w:type="dxa"/>
          </w:tcPr>
          <w:p w14:paraId="629A7AA9" w14:textId="77777777" w:rsidR="00ED0685" w:rsidRDefault="00A35BFB" w:rsidP="00C10DF0">
            <w:pPr>
              <w:rPr>
                <w:bCs/>
              </w:rPr>
            </w:pPr>
            <w:r>
              <w:rPr>
                <w:bCs/>
              </w:rPr>
              <w:t>64561</w:t>
            </w:r>
          </w:p>
        </w:tc>
        <w:tc>
          <w:tcPr>
            <w:tcW w:w="7816" w:type="dxa"/>
          </w:tcPr>
          <w:p w14:paraId="5B609290" w14:textId="77777777" w:rsidR="00ED0685" w:rsidRPr="00601843" w:rsidRDefault="00A35BFB" w:rsidP="00C10DF0">
            <w:pPr>
              <w:rPr>
                <w:bCs/>
              </w:rPr>
            </w:pPr>
            <w:r>
              <w:t>Percutaneous implantation of neurostimulator electrode array; sacral nerve (transforaminal placement) including image guidance, if performed</w:t>
            </w:r>
          </w:p>
        </w:tc>
      </w:tr>
      <w:tr w:rsidR="00ED0685" w:rsidRPr="005144C0" w14:paraId="60E65FE2" w14:textId="77777777" w:rsidTr="00895211">
        <w:tc>
          <w:tcPr>
            <w:tcW w:w="1108" w:type="dxa"/>
          </w:tcPr>
          <w:p w14:paraId="0F4276C7" w14:textId="77777777" w:rsidR="00ED0685" w:rsidRDefault="00A35BFB" w:rsidP="00C10DF0">
            <w:pPr>
              <w:rPr>
                <w:bCs/>
              </w:rPr>
            </w:pPr>
            <w:r>
              <w:rPr>
                <w:bCs/>
              </w:rPr>
              <w:t>64581</w:t>
            </w:r>
          </w:p>
        </w:tc>
        <w:tc>
          <w:tcPr>
            <w:tcW w:w="7816" w:type="dxa"/>
          </w:tcPr>
          <w:p w14:paraId="03D36C17" w14:textId="4435240A" w:rsidR="00ED0685" w:rsidRPr="00601843" w:rsidRDefault="0074205A" w:rsidP="00C10DF0">
            <w:pPr>
              <w:rPr>
                <w:bCs/>
              </w:rPr>
            </w:pPr>
            <w:r>
              <w:t>Open</w:t>
            </w:r>
            <w:r w:rsidR="00A35BFB">
              <w:t xml:space="preserve"> implantation of neurostimulator electrode array; sacral nerve (transforaminal placement)</w:t>
            </w:r>
          </w:p>
        </w:tc>
      </w:tr>
      <w:tr w:rsidR="00972D74" w:rsidRPr="005144C0" w14:paraId="7FEA677C" w14:textId="77777777" w:rsidTr="00972D74">
        <w:tc>
          <w:tcPr>
            <w:tcW w:w="1108" w:type="dxa"/>
          </w:tcPr>
          <w:p w14:paraId="00F93D6B" w14:textId="77777777" w:rsidR="00972D74" w:rsidRDefault="00972D74" w:rsidP="00C10DF0">
            <w:pPr>
              <w:rPr>
                <w:bCs/>
              </w:rPr>
            </w:pPr>
            <w:r>
              <w:rPr>
                <w:bCs/>
              </w:rPr>
              <w:t>64585</w:t>
            </w:r>
          </w:p>
        </w:tc>
        <w:tc>
          <w:tcPr>
            <w:tcW w:w="7816" w:type="dxa"/>
          </w:tcPr>
          <w:p w14:paraId="74B5DCF4" w14:textId="77777777" w:rsidR="00972D74" w:rsidRPr="00895211" w:rsidRDefault="00972D74" w:rsidP="0075250D">
            <w:pPr>
              <w:rPr>
                <w:b/>
              </w:rPr>
            </w:pPr>
            <w:r w:rsidRPr="00972D74">
              <w:t>Revision or removal of peripheral neurostimulator electrode array</w:t>
            </w:r>
            <w:r w:rsidR="0075250D">
              <w:t xml:space="preserve"> </w:t>
            </w:r>
          </w:p>
        </w:tc>
      </w:tr>
      <w:tr w:rsidR="00972D74" w:rsidRPr="005144C0" w14:paraId="37BBB510" w14:textId="77777777" w:rsidTr="00895211">
        <w:tc>
          <w:tcPr>
            <w:tcW w:w="1108" w:type="dxa"/>
          </w:tcPr>
          <w:p w14:paraId="5E910C89" w14:textId="77777777" w:rsidR="00972D74" w:rsidRDefault="00972D74" w:rsidP="00C10DF0">
            <w:pPr>
              <w:rPr>
                <w:bCs/>
              </w:rPr>
            </w:pPr>
            <w:r>
              <w:rPr>
                <w:bCs/>
              </w:rPr>
              <w:t>64590</w:t>
            </w:r>
          </w:p>
        </w:tc>
        <w:tc>
          <w:tcPr>
            <w:tcW w:w="7816" w:type="dxa"/>
          </w:tcPr>
          <w:p w14:paraId="7D9AD3C9" w14:textId="0650DBC9" w:rsidR="00972D74" w:rsidRDefault="00972D74" w:rsidP="00C10DF0">
            <w:r w:rsidRPr="00972D74">
              <w:t>Insertion or replacement of peripheral</w:t>
            </w:r>
            <w:r w:rsidR="00B36994">
              <w:t>, sacral,</w:t>
            </w:r>
            <w:r w:rsidRPr="00972D74">
              <w:t xml:space="preserve"> or gastric neurostimulator pulse generator or receiver, </w:t>
            </w:r>
            <w:r w:rsidR="00F360E5" w:rsidRPr="00F360E5">
              <w:t>requiring pocket creation and connection between electrode array and pulse generator or receiver</w:t>
            </w:r>
          </w:p>
        </w:tc>
      </w:tr>
      <w:tr w:rsidR="00972D74" w:rsidRPr="005144C0" w14:paraId="15F8B810" w14:textId="77777777" w:rsidTr="00972D74">
        <w:tc>
          <w:tcPr>
            <w:tcW w:w="1108" w:type="dxa"/>
          </w:tcPr>
          <w:p w14:paraId="371E0825" w14:textId="77777777" w:rsidR="00972D74" w:rsidRDefault="00972D74" w:rsidP="00C10DF0">
            <w:pPr>
              <w:rPr>
                <w:bCs/>
              </w:rPr>
            </w:pPr>
            <w:r>
              <w:rPr>
                <w:bCs/>
              </w:rPr>
              <w:t>64595</w:t>
            </w:r>
          </w:p>
        </w:tc>
        <w:tc>
          <w:tcPr>
            <w:tcW w:w="7816" w:type="dxa"/>
          </w:tcPr>
          <w:p w14:paraId="162B4B69" w14:textId="3B736B07" w:rsidR="00972D74" w:rsidRPr="00895211" w:rsidRDefault="00972D74" w:rsidP="0075250D">
            <w:pPr>
              <w:rPr>
                <w:b/>
              </w:rPr>
            </w:pPr>
            <w:r w:rsidRPr="00972D74">
              <w:t>Revision or removal of peripheral</w:t>
            </w:r>
            <w:r w:rsidR="00E1160B">
              <w:t>, sacral,</w:t>
            </w:r>
            <w:r w:rsidRPr="00972D74">
              <w:t xml:space="preserve"> or gastric neurostimulator pulse generator or receiver</w:t>
            </w:r>
            <w:r w:rsidR="000633DE" w:rsidRPr="000633DE">
              <w:t>, with detachable connection to electrode array</w:t>
            </w:r>
            <w:r w:rsidR="0075250D">
              <w:t xml:space="preserve"> </w:t>
            </w:r>
          </w:p>
        </w:tc>
      </w:tr>
    </w:tbl>
    <w:p w14:paraId="01BA0B25" w14:textId="77777777" w:rsidR="00436595" w:rsidRDefault="00436595" w:rsidP="00AF5490"/>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26"/>
        <w:gridCol w:w="7798"/>
      </w:tblGrid>
      <w:tr w:rsidR="00436595" w:rsidRPr="00B777AF" w14:paraId="6D26EF00" w14:textId="77777777" w:rsidTr="00895211">
        <w:trPr>
          <w:tblHeader/>
        </w:trPr>
        <w:tc>
          <w:tcPr>
            <w:tcW w:w="1126" w:type="dxa"/>
            <w:shd w:val="clear" w:color="auto" w:fill="00548C"/>
          </w:tcPr>
          <w:p w14:paraId="594A28F0" w14:textId="77777777" w:rsidR="00436595" w:rsidRPr="00601843" w:rsidRDefault="00436595" w:rsidP="00556CBA">
            <w:pPr>
              <w:rPr>
                <w:b/>
                <w:bCs/>
                <w:color w:val="FFFFFF"/>
              </w:rPr>
            </w:pPr>
            <w:r w:rsidRPr="00601843">
              <w:rPr>
                <w:b/>
                <w:color w:val="FFFFFF"/>
              </w:rPr>
              <w:t xml:space="preserve">HCPCS Codes </w:t>
            </w:r>
          </w:p>
        </w:tc>
        <w:tc>
          <w:tcPr>
            <w:tcW w:w="7798" w:type="dxa"/>
            <w:shd w:val="clear" w:color="auto" w:fill="00548C"/>
          </w:tcPr>
          <w:p w14:paraId="0D115643" w14:textId="77777777" w:rsidR="00436595" w:rsidRPr="00601843" w:rsidRDefault="00436595" w:rsidP="00556CBA">
            <w:pPr>
              <w:rPr>
                <w:b/>
                <w:bCs/>
                <w:color w:val="FFFFFF"/>
              </w:rPr>
            </w:pPr>
            <w:r w:rsidRPr="00601843">
              <w:rPr>
                <w:b/>
                <w:color w:val="FFFFFF"/>
              </w:rPr>
              <w:t>Description</w:t>
            </w:r>
          </w:p>
        </w:tc>
      </w:tr>
      <w:tr w:rsidR="004A729E" w:rsidRPr="005144C0" w14:paraId="386E85DF" w14:textId="77777777" w:rsidTr="00895211">
        <w:tc>
          <w:tcPr>
            <w:tcW w:w="1126" w:type="dxa"/>
          </w:tcPr>
          <w:p w14:paraId="6FC65A2D" w14:textId="4E6D4D78" w:rsidR="004A729E" w:rsidRDefault="004A729E" w:rsidP="00556CBA">
            <w:pPr>
              <w:rPr>
                <w:bCs/>
              </w:rPr>
            </w:pPr>
            <w:r>
              <w:rPr>
                <w:bCs/>
              </w:rPr>
              <w:t>A4290</w:t>
            </w:r>
          </w:p>
        </w:tc>
        <w:tc>
          <w:tcPr>
            <w:tcW w:w="7798" w:type="dxa"/>
          </w:tcPr>
          <w:p w14:paraId="277E6ED4" w14:textId="72015750" w:rsidR="004A729E" w:rsidRPr="00972D74" w:rsidRDefault="005E0D57" w:rsidP="00FB59C4">
            <w:pPr>
              <w:rPr>
                <w:bCs/>
              </w:rPr>
            </w:pPr>
            <w:r w:rsidRPr="005E0D57">
              <w:rPr>
                <w:bCs/>
              </w:rPr>
              <w:t>Sacral nerve stimulation test lead, each</w:t>
            </w:r>
          </w:p>
        </w:tc>
      </w:tr>
      <w:tr w:rsidR="005E0D57" w:rsidRPr="005144C0" w14:paraId="255B607F" w14:textId="77777777" w:rsidTr="00895211">
        <w:tc>
          <w:tcPr>
            <w:tcW w:w="1126" w:type="dxa"/>
          </w:tcPr>
          <w:p w14:paraId="6749B1A6" w14:textId="5273A49F" w:rsidR="005E0D57" w:rsidRDefault="005E0D57" w:rsidP="00556CBA">
            <w:pPr>
              <w:rPr>
                <w:bCs/>
              </w:rPr>
            </w:pPr>
            <w:r>
              <w:rPr>
                <w:bCs/>
              </w:rPr>
              <w:t>L8603</w:t>
            </w:r>
          </w:p>
        </w:tc>
        <w:tc>
          <w:tcPr>
            <w:tcW w:w="7798" w:type="dxa"/>
          </w:tcPr>
          <w:p w14:paraId="113124BF" w14:textId="16D4063F" w:rsidR="005E0D57" w:rsidRPr="005E0D57" w:rsidRDefault="001F5B49" w:rsidP="00FB59C4">
            <w:pPr>
              <w:rPr>
                <w:bCs/>
              </w:rPr>
            </w:pPr>
            <w:r w:rsidRPr="001F5B49">
              <w:rPr>
                <w:bCs/>
              </w:rPr>
              <w:t>Injectable bulking agent, collagen implant, urinary tract, 2.5 ml syringe, includes shipping and necessary supplies</w:t>
            </w:r>
          </w:p>
        </w:tc>
      </w:tr>
      <w:tr w:rsidR="001F5B49" w:rsidRPr="005144C0" w14:paraId="0C4044AD" w14:textId="77777777" w:rsidTr="00895211">
        <w:tc>
          <w:tcPr>
            <w:tcW w:w="1126" w:type="dxa"/>
          </w:tcPr>
          <w:p w14:paraId="7E11221F" w14:textId="3DC705C0" w:rsidR="001F5B49" w:rsidRDefault="001F5B49" w:rsidP="00556CBA">
            <w:pPr>
              <w:rPr>
                <w:bCs/>
              </w:rPr>
            </w:pPr>
            <w:r>
              <w:rPr>
                <w:bCs/>
              </w:rPr>
              <w:t>L8606</w:t>
            </w:r>
          </w:p>
        </w:tc>
        <w:tc>
          <w:tcPr>
            <w:tcW w:w="7798" w:type="dxa"/>
          </w:tcPr>
          <w:p w14:paraId="7256EFF3" w14:textId="0EE527BD" w:rsidR="001F5B49" w:rsidRPr="001F5B49" w:rsidRDefault="001F5B49" w:rsidP="00FB59C4">
            <w:pPr>
              <w:rPr>
                <w:bCs/>
              </w:rPr>
            </w:pPr>
            <w:r w:rsidRPr="001F5B49">
              <w:rPr>
                <w:bCs/>
              </w:rPr>
              <w:t>Injectable bulking agent, synthetic implant, urinary tract, 1 ml syringe, includes shipping and necessary supplies</w:t>
            </w:r>
          </w:p>
        </w:tc>
      </w:tr>
      <w:tr w:rsidR="00972D74" w:rsidRPr="005144C0" w14:paraId="11F7BBE2" w14:textId="77777777" w:rsidTr="00895211">
        <w:tc>
          <w:tcPr>
            <w:tcW w:w="1126" w:type="dxa"/>
          </w:tcPr>
          <w:p w14:paraId="09ABC8B7" w14:textId="77777777" w:rsidR="00972D74" w:rsidRDefault="00972D74" w:rsidP="00556CBA">
            <w:pPr>
              <w:rPr>
                <w:bCs/>
              </w:rPr>
            </w:pPr>
            <w:r>
              <w:rPr>
                <w:bCs/>
              </w:rPr>
              <w:lastRenderedPageBreak/>
              <w:t>L8679</w:t>
            </w:r>
          </w:p>
        </w:tc>
        <w:tc>
          <w:tcPr>
            <w:tcW w:w="7798" w:type="dxa"/>
          </w:tcPr>
          <w:p w14:paraId="1E3FD5BF" w14:textId="77777777" w:rsidR="00972D74" w:rsidRDefault="00972D74" w:rsidP="00FB59C4">
            <w:pPr>
              <w:rPr>
                <w:bCs/>
              </w:rPr>
            </w:pPr>
            <w:r w:rsidRPr="00972D74">
              <w:rPr>
                <w:bCs/>
              </w:rPr>
              <w:t>Implantable neurostimulator, pulse generator, any type</w:t>
            </w:r>
          </w:p>
        </w:tc>
      </w:tr>
      <w:tr w:rsidR="00972D74" w:rsidRPr="005144C0" w14:paraId="3094EC9D" w14:textId="77777777" w:rsidTr="00895211">
        <w:tc>
          <w:tcPr>
            <w:tcW w:w="1126" w:type="dxa"/>
          </w:tcPr>
          <w:p w14:paraId="67EF891E" w14:textId="77777777" w:rsidR="00972D74" w:rsidRDefault="00972D74" w:rsidP="00556CBA">
            <w:pPr>
              <w:rPr>
                <w:bCs/>
              </w:rPr>
            </w:pPr>
            <w:r>
              <w:rPr>
                <w:bCs/>
              </w:rPr>
              <w:t>L8680</w:t>
            </w:r>
          </w:p>
        </w:tc>
        <w:tc>
          <w:tcPr>
            <w:tcW w:w="7798" w:type="dxa"/>
          </w:tcPr>
          <w:p w14:paraId="6B6C30B1" w14:textId="77777777" w:rsidR="00972D74" w:rsidRDefault="00972D74" w:rsidP="00FB59C4">
            <w:pPr>
              <w:rPr>
                <w:bCs/>
              </w:rPr>
            </w:pPr>
            <w:r w:rsidRPr="00972D74">
              <w:rPr>
                <w:bCs/>
              </w:rPr>
              <w:t>Implantable neurostimulator electrode, each</w:t>
            </w:r>
          </w:p>
        </w:tc>
      </w:tr>
      <w:tr w:rsidR="006E396B" w:rsidRPr="005144C0" w14:paraId="1CEAE33F" w14:textId="77777777" w:rsidTr="00D7315E">
        <w:tc>
          <w:tcPr>
            <w:tcW w:w="1126" w:type="dxa"/>
          </w:tcPr>
          <w:p w14:paraId="5C4615AE" w14:textId="77777777" w:rsidR="006E396B" w:rsidRDefault="006E396B" w:rsidP="00556CBA">
            <w:pPr>
              <w:rPr>
                <w:bCs/>
              </w:rPr>
            </w:pPr>
            <w:r>
              <w:rPr>
                <w:bCs/>
              </w:rPr>
              <w:t>L8681</w:t>
            </w:r>
          </w:p>
        </w:tc>
        <w:tc>
          <w:tcPr>
            <w:tcW w:w="7798" w:type="dxa"/>
          </w:tcPr>
          <w:p w14:paraId="07BA9B77" w14:textId="77777777" w:rsidR="006E396B" w:rsidRPr="00972D74" w:rsidRDefault="006E396B" w:rsidP="00FB59C4">
            <w:pPr>
              <w:rPr>
                <w:bCs/>
              </w:rPr>
            </w:pPr>
            <w:r w:rsidRPr="006E396B">
              <w:rPr>
                <w:bCs/>
              </w:rPr>
              <w:t>Patient programmer (external) for use with implantable programmable neurostimulator pulse generator, replacement only</w:t>
            </w:r>
          </w:p>
        </w:tc>
      </w:tr>
      <w:tr w:rsidR="00972D74" w:rsidRPr="005144C0" w14:paraId="21601970" w14:textId="77777777" w:rsidTr="00895211">
        <w:tc>
          <w:tcPr>
            <w:tcW w:w="1126" w:type="dxa"/>
          </w:tcPr>
          <w:p w14:paraId="7A1CB882" w14:textId="77777777" w:rsidR="00972D74" w:rsidRDefault="00641142" w:rsidP="00556CBA">
            <w:pPr>
              <w:rPr>
                <w:bCs/>
              </w:rPr>
            </w:pPr>
            <w:r>
              <w:rPr>
                <w:bCs/>
              </w:rPr>
              <w:t>L8682</w:t>
            </w:r>
          </w:p>
        </w:tc>
        <w:tc>
          <w:tcPr>
            <w:tcW w:w="7798" w:type="dxa"/>
          </w:tcPr>
          <w:p w14:paraId="3ADF3E26" w14:textId="77777777" w:rsidR="00972D74" w:rsidRDefault="00641142" w:rsidP="00641142">
            <w:pPr>
              <w:rPr>
                <w:bCs/>
              </w:rPr>
            </w:pPr>
            <w:r w:rsidRPr="00641142">
              <w:rPr>
                <w:bCs/>
              </w:rPr>
              <w:t>Implantable neurostimulator radiofrequency receiver</w:t>
            </w:r>
          </w:p>
        </w:tc>
      </w:tr>
      <w:tr w:rsidR="008F5896" w:rsidRPr="005144C0" w14:paraId="28D610FD" w14:textId="77777777" w:rsidTr="00D7315E">
        <w:tc>
          <w:tcPr>
            <w:tcW w:w="1126" w:type="dxa"/>
          </w:tcPr>
          <w:p w14:paraId="7EBCAB29" w14:textId="77777777" w:rsidR="008F5896" w:rsidRDefault="008F5896" w:rsidP="00556CBA">
            <w:pPr>
              <w:rPr>
                <w:bCs/>
              </w:rPr>
            </w:pPr>
            <w:r>
              <w:rPr>
                <w:bCs/>
              </w:rPr>
              <w:t>L8683</w:t>
            </w:r>
          </w:p>
        </w:tc>
        <w:tc>
          <w:tcPr>
            <w:tcW w:w="7798" w:type="dxa"/>
          </w:tcPr>
          <w:p w14:paraId="26FF3D0E" w14:textId="77777777" w:rsidR="008F5896" w:rsidRPr="00641142" w:rsidRDefault="008F5896" w:rsidP="00641142">
            <w:pPr>
              <w:rPr>
                <w:bCs/>
              </w:rPr>
            </w:pPr>
            <w:r w:rsidRPr="008F5896">
              <w:rPr>
                <w:bCs/>
              </w:rPr>
              <w:t>Radiofrequency transmitter (external) for use with implantable neurostimulator radiofrequency receiver</w:t>
            </w:r>
          </w:p>
        </w:tc>
      </w:tr>
      <w:tr w:rsidR="008F5896" w:rsidRPr="005144C0" w14:paraId="26FE31A1" w14:textId="77777777" w:rsidTr="00D7315E">
        <w:tc>
          <w:tcPr>
            <w:tcW w:w="1126" w:type="dxa"/>
          </w:tcPr>
          <w:p w14:paraId="375677A7" w14:textId="77777777" w:rsidR="008F5896" w:rsidRDefault="008F5896" w:rsidP="00556CBA">
            <w:pPr>
              <w:rPr>
                <w:bCs/>
              </w:rPr>
            </w:pPr>
            <w:r>
              <w:rPr>
                <w:bCs/>
              </w:rPr>
              <w:t>L8684</w:t>
            </w:r>
          </w:p>
        </w:tc>
        <w:tc>
          <w:tcPr>
            <w:tcW w:w="7798" w:type="dxa"/>
          </w:tcPr>
          <w:p w14:paraId="0B390EEC" w14:textId="77777777" w:rsidR="008F5896" w:rsidRPr="00641142" w:rsidRDefault="008F5896" w:rsidP="00641142">
            <w:pPr>
              <w:rPr>
                <w:bCs/>
              </w:rPr>
            </w:pPr>
            <w:r w:rsidRPr="008F5896">
              <w:rPr>
                <w:bCs/>
              </w:rPr>
              <w:t>Radiofrequency transmitter (external) for use with implantable sacral root neurostimulator receiver for bowel and bladder management, replacement</w:t>
            </w:r>
          </w:p>
        </w:tc>
      </w:tr>
      <w:tr w:rsidR="00641142" w:rsidRPr="005144C0" w14:paraId="4BB7BBD7" w14:textId="77777777" w:rsidTr="00D7315E">
        <w:tc>
          <w:tcPr>
            <w:tcW w:w="1126" w:type="dxa"/>
          </w:tcPr>
          <w:p w14:paraId="00C2A251" w14:textId="77777777" w:rsidR="00641142" w:rsidRDefault="00641142" w:rsidP="00556CBA">
            <w:pPr>
              <w:rPr>
                <w:bCs/>
              </w:rPr>
            </w:pPr>
            <w:r>
              <w:rPr>
                <w:bCs/>
              </w:rPr>
              <w:t>L8685</w:t>
            </w:r>
          </w:p>
        </w:tc>
        <w:tc>
          <w:tcPr>
            <w:tcW w:w="7798" w:type="dxa"/>
          </w:tcPr>
          <w:p w14:paraId="45D9B313" w14:textId="77777777" w:rsidR="00641142" w:rsidRDefault="00641142" w:rsidP="00FB59C4">
            <w:pPr>
              <w:rPr>
                <w:bCs/>
              </w:rPr>
            </w:pPr>
            <w:r w:rsidRPr="00641142">
              <w:rPr>
                <w:bCs/>
              </w:rPr>
              <w:t>Implantable neurostimulator pulse generator, single array, rechargeable, includes extension</w:t>
            </w:r>
          </w:p>
        </w:tc>
      </w:tr>
      <w:tr w:rsidR="00972D74" w:rsidRPr="005144C0" w14:paraId="1DE85B43" w14:textId="77777777" w:rsidTr="00895211">
        <w:tc>
          <w:tcPr>
            <w:tcW w:w="1126" w:type="dxa"/>
          </w:tcPr>
          <w:p w14:paraId="62AE0789" w14:textId="77777777" w:rsidR="00972D74" w:rsidRDefault="00972D74" w:rsidP="00556CBA">
            <w:pPr>
              <w:rPr>
                <w:bCs/>
              </w:rPr>
            </w:pPr>
            <w:r>
              <w:rPr>
                <w:bCs/>
              </w:rPr>
              <w:t>L8686</w:t>
            </w:r>
          </w:p>
        </w:tc>
        <w:tc>
          <w:tcPr>
            <w:tcW w:w="7798" w:type="dxa"/>
          </w:tcPr>
          <w:p w14:paraId="49640A34" w14:textId="77777777" w:rsidR="00972D74" w:rsidRDefault="00972D74" w:rsidP="00FB59C4">
            <w:pPr>
              <w:rPr>
                <w:bCs/>
              </w:rPr>
            </w:pPr>
            <w:r w:rsidRPr="00972D74">
              <w:rPr>
                <w:bCs/>
              </w:rPr>
              <w:t xml:space="preserve">Implantable neurostimulator pulse generator, single array, </w:t>
            </w:r>
            <w:proofErr w:type="spellStart"/>
            <w:r w:rsidRPr="00972D74">
              <w:rPr>
                <w:bCs/>
              </w:rPr>
              <w:t>nonrechargeable</w:t>
            </w:r>
            <w:proofErr w:type="spellEnd"/>
            <w:r w:rsidRPr="00972D74">
              <w:rPr>
                <w:bCs/>
              </w:rPr>
              <w:t>, includes extension</w:t>
            </w:r>
          </w:p>
        </w:tc>
      </w:tr>
      <w:tr w:rsidR="00D7315E" w:rsidRPr="005144C0" w14:paraId="7AC78CE2" w14:textId="77777777" w:rsidTr="00895211">
        <w:tc>
          <w:tcPr>
            <w:tcW w:w="1126" w:type="dxa"/>
          </w:tcPr>
          <w:p w14:paraId="7601E22B" w14:textId="77777777" w:rsidR="00D7315E" w:rsidRDefault="00D7315E" w:rsidP="00D7315E">
            <w:pPr>
              <w:rPr>
                <w:bCs/>
              </w:rPr>
            </w:pPr>
            <w:r>
              <w:rPr>
                <w:bCs/>
              </w:rPr>
              <w:t>L8687</w:t>
            </w:r>
          </w:p>
        </w:tc>
        <w:tc>
          <w:tcPr>
            <w:tcW w:w="7798" w:type="dxa"/>
          </w:tcPr>
          <w:p w14:paraId="414E7ABD" w14:textId="77777777" w:rsidR="00D7315E" w:rsidRPr="00972D74" w:rsidRDefault="00D1386D" w:rsidP="00FB59C4">
            <w:pPr>
              <w:rPr>
                <w:bCs/>
              </w:rPr>
            </w:pPr>
            <w:r w:rsidRPr="00D1386D">
              <w:rPr>
                <w:bCs/>
              </w:rPr>
              <w:t>Implantable neurostimulator pulse generator, dual array, rechargeable, includes extension</w:t>
            </w:r>
          </w:p>
        </w:tc>
      </w:tr>
      <w:tr w:rsidR="00641142" w:rsidRPr="005144C0" w14:paraId="53A89AC6" w14:textId="77777777" w:rsidTr="00D7315E">
        <w:tc>
          <w:tcPr>
            <w:tcW w:w="1126" w:type="dxa"/>
          </w:tcPr>
          <w:p w14:paraId="5474AD57" w14:textId="77777777" w:rsidR="00641142" w:rsidRDefault="00641142" w:rsidP="00D7315E">
            <w:pPr>
              <w:rPr>
                <w:bCs/>
              </w:rPr>
            </w:pPr>
            <w:r>
              <w:rPr>
                <w:bCs/>
              </w:rPr>
              <w:t>L8688</w:t>
            </w:r>
          </w:p>
        </w:tc>
        <w:tc>
          <w:tcPr>
            <w:tcW w:w="7798" w:type="dxa"/>
          </w:tcPr>
          <w:p w14:paraId="1B2ACA89" w14:textId="77777777" w:rsidR="00641142" w:rsidRPr="00D1386D" w:rsidRDefault="00641142" w:rsidP="00FB59C4">
            <w:pPr>
              <w:rPr>
                <w:bCs/>
              </w:rPr>
            </w:pPr>
            <w:r w:rsidRPr="00641142">
              <w:rPr>
                <w:bCs/>
              </w:rPr>
              <w:t xml:space="preserve">Implantable neurostimulator pulse generator, dual array, </w:t>
            </w:r>
            <w:proofErr w:type="spellStart"/>
            <w:r w:rsidRPr="00641142">
              <w:rPr>
                <w:bCs/>
              </w:rPr>
              <w:t>nonrechargeable</w:t>
            </w:r>
            <w:proofErr w:type="spellEnd"/>
            <w:r w:rsidRPr="00641142">
              <w:rPr>
                <w:bCs/>
              </w:rPr>
              <w:t>, includes extension</w:t>
            </w:r>
          </w:p>
        </w:tc>
      </w:tr>
      <w:tr w:rsidR="006E396B" w:rsidRPr="005144C0" w14:paraId="55682F23" w14:textId="77777777" w:rsidTr="00D7315E">
        <w:tc>
          <w:tcPr>
            <w:tcW w:w="1126" w:type="dxa"/>
          </w:tcPr>
          <w:p w14:paraId="06466FD5" w14:textId="77777777" w:rsidR="006E396B" w:rsidRDefault="006E396B" w:rsidP="00D7315E">
            <w:pPr>
              <w:rPr>
                <w:bCs/>
              </w:rPr>
            </w:pPr>
            <w:r>
              <w:rPr>
                <w:bCs/>
              </w:rPr>
              <w:t>L8689</w:t>
            </w:r>
          </w:p>
        </w:tc>
        <w:tc>
          <w:tcPr>
            <w:tcW w:w="7798" w:type="dxa"/>
          </w:tcPr>
          <w:p w14:paraId="573CDFF2" w14:textId="77777777" w:rsidR="006E396B" w:rsidRPr="00641142" w:rsidRDefault="006E396B" w:rsidP="00FB59C4">
            <w:pPr>
              <w:rPr>
                <w:bCs/>
              </w:rPr>
            </w:pPr>
            <w:r w:rsidRPr="006E396B">
              <w:rPr>
                <w:bCs/>
              </w:rPr>
              <w:t>External recharging system for battery (internal) for use with implantable neurostimulator, replacement only</w:t>
            </w:r>
          </w:p>
        </w:tc>
      </w:tr>
    </w:tbl>
    <w:p w14:paraId="74A3AC68" w14:textId="7C3358C4" w:rsidR="00436595" w:rsidRDefault="00436595" w:rsidP="00F5719E"/>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578"/>
        <w:gridCol w:w="810"/>
        <w:gridCol w:w="1260"/>
      </w:tblGrid>
      <w:tr w:rsidR="00436595" w:rsidRPr="00B777AF" w14:paraId="0AEB3EF0" w14:textId="77777777" w:rsidTr="00601843">
        <w:trPr>
          <w:tblHeader/>
        </w:trPr>
        <w:tc>
          <w:tcPr>
            <w:tcW w:w="7578" w:type="dxa"/>
            <w:tcBorders>
              <w:top w:val="single" w:sz="8" w:space="0" w:color="4F81BD"/>
            </w:tcBorders>
            <w:shd w:val="clear" w:color="auto" w:fill="00548C"/>
          </w:tcPr>
          <w:p w14:paraId="4619FA28" w14:textId="77777777" w:rsidR="00436595" w:rsidRPr="00601843" w:rsidRDefault="00436595" w:rsidP="00B777AF">
            <w:pPr>
              <w:rPr>
                <w:b/>
                <w:bCs/>
                <w:color w:val="FFFFFF"/>
              </w:rPr>
            </w:pPr>
            <w:bookmarkStart w:id="2" w:name="Revision_Log"/>
            <w:r w:rsidRPr="00601843">
              <w:rPr>
                <w:b/>
                <w:color w:val="FFFFFF"/>
              </w:rPr>
              <w:t>Reviews, Revisions, and Approvals</w:t>
            </w:r>
            <w:bookmarkEnd w:id="2"/>
          </w:p>
        </w:tc>
        <w:tc>
          <w:tcPr>
            <w:tcW w:w="810" w:type="dxa"/>
            <w:shd w:val="clear" w:color="auto" w:fill="00548C"/>
          </w:tcPr>
          <w:p w14:paraId="6D9EAB6B" w14:textId="77777777" w:rsidR="00436595" w:rsidRPr="00601843" w:rsidRDefault="00436595" w:rsidP="00601843">
            <w:pPr>
              <w:jc w:val="center"/>
              <w:rPr>
                <w:b/>
                <w:bCs/>
                <w:color w:val="FFFFFF"/>
              </w:rPr>
            </w:pPr>
            <w:r w:rsidRPr="00601843">
              <w:rPr>
                <w:b/>
                <w:color w:val="FFFFFF"/>
              </w:rPr>
              <w:t>Date</w:t>
            </w:r>
          </w:p>
        </w:tc>
        <w:tc>
          <w:tcPr>
            <w:tcW w:w="1260" w:type="dxa"/>
            <w:tcBorders>
              <w:top w:val="single" w:sz="8" w:space="0" w:color="4F81BD"/>
            </w:tcBorders>
            <w:shd w:val="clear" w:color="auto" w:fill="00548C"/>
          </w:tcPr>
          <w:p w14:paraId="7B230E5F" w14:textId="77777777" w:rsidR="00436595" w:rsidRPr="00601843" w:rsidRDefault="00436595" w:rsidP="00601843">
            <w:pPr>
              <w:jc w:val="center"/>
              <w:rPr>
                <w:b/>
                <w:bCs/>
                <w:color w:val="FFFFFF"/>
              </w:rPr>
            </w:pPr>
            <w:r w:rsidRPr="00601843">
              <w:rPr>
                <w:b/>
                <w:color w:val="FFFFFF"/>
              </w:rPr>
              <w:t>Approval Date</w:t>
            </w:r>
          </w:p>
        </w:tc>
      </w:tr>
      <w:tr w:rsidR="00436595" w14:paraId="408E6DA1" w14:textId="77777777" w:rsidTr="00601843">
        <w:tc>
          <w:tcPr>
            <w:tcW w:w="7578" w:type="dxa"/>
          </w:tcPr>
          <w:p w14:paraId="7DDA2A5E" w14:textId="77777777" w:rsidR="00436595" w:rsidRDefault="00CE12A1" w:rsidP="00560F46">
            <w:r>
              <w:t>Policy adopted from Health Net NMP#215</w:t>
            </w:r>
            <w:r w:rsidR="0064446E">
              <w:t>,</w:t>
            </w:r>
            <w:r>
              <w:t xml:space="preserve"> Urinary Incontinence Devices and Treatments</w:t>
            </w:r>
            <w:r w:rsidR="00896F62">
              <w:t xml:space="preserve">. </w:t>
            </w:r>
            <w:r w:rsidR="00687813">
              <w:rPr>
                <w:snapToGrid w:val="0"/>
                <w:color w:val="000000"/>
              </w:rPr>
              <w:t>Formerly, u</w:t>
            </w:r>
            <w:r w:rsidR="00687813">
              <w:rPr>
                <w:color w:val="000000"/>
              </w:rPr>
              <w:t>p to 5 UB</w:t>
            </w:r>
            <w:r w:rsidR="00CF4617">
              <w:rPr>
                <w:color w:val="000000"/>
              </w:rPr>
              <w:t>A t</w:t>
            </w:r>
            <w:r w:rsidR="00687813">
              <w:rPr>
                <w:color w:val="000000"/>
              </w:rPr>
              <w:t xml:space="preserve">reatments </w:t>
            </w:r>
            <w:r w:rsidR="00CF4617">
              <w:rPr>
                <w:color w:val="000000"/>
              </w:rPr>
              <w:t>were noted as</w:t>
            </w:r>
            <w:r w:rsidR="00687813">
              <w:rPr>
                <w:color w:val="000000"/>
              </w:rPr>
              <w:t xml:space="preserve"> covered, </w:t>
            </w:r>
            <w:r w:rsidR="00CF4617">
              <w:rPr>
                <w:color w:val="000000"/>
              </w:rPr>
              <w:t xml:space="preserve">and </w:t>
            </w:r>
            <w:r w:rsidR="00687813">
              <w:rPr>
                <w:color w:val="000000"/>
              </w:rPr>
              <w:t>beyond that would be considered a treatment failure.</w:t>
            </w:r>
            <w:r w:rsidR="00CF4617">
              <w:rPr>
                <w:color w:val="000000"/>
              </w:rPr>
              <w:t xml:space="preserve"> However, since this specific information could not be found in</w:t>
            </w:r>
            <w:r w:rsidR="00C4465D">
              <w:rPr>
                <w:color w:val="000000"/>
              </w:rPr>
              <w:t xml:space="preserve"> references,</w:t>
            </w:r>
            <w:r w:rsidR="00CF4617">
              <w:rPr>
                <w:color w:val="000000"/>
              </w:rPr>
              <w:t xml:space="preserve"> it was removed. </w:t>
            </w:r>
          </w:p>
        </w:tc>
        <w:tc>
          <w:tcPr>
            <w:tcW w:w="810" w:type="dxa"/>
          </w:tcPr>
          <w:p w14:paraId="3598464B" w14:textId="77777777" w:rsidR="00436595" w:rsidRDefault="004F3694" w:rsidP="00CE12A1">
            <w:pPr>
              <w:jc w:val="center"/>
            </w:pPr>
            <w:r>
              <w:t>0</w:t>
            </w:r>
            <w:r w:rsidR="006C6951">
              <w:t>4</w:t>
            </w:r>
            <w:r w:rsidR="00CE12A1">
              <w:t>/17</w:t>
            </w:r>
          </w:p>
        </w:tc>
        <w:tc>
          <w:tcPr>
            <w:tcW w:w="1260" w:type="dxa"/>
          </w:tcPr>
          <w:p w14:paraId="2DCD85B0" w14:textId="77777777" w:rsidR="00436595" w:rsidRDefault="004F3694" w:rsidP="00601843">
            <w:pPr>
              <w:jc w:val="center"/>
            </w:pPr>
            <w:r>
              <w:t>04/17</w:t>
            </w:r>
          </w:p>
        </w:tc>
      </w:tr>
      <w:tr w:rsidR="00E3292A" w14:paraId="280518F6" w14:textId="77777777" w:rsidTr="00601843">
        <w:tc>
          <w:tcPr>
            <w:tcW w:w="7578" w:type="dxa"/>
          </w:tcPr>
          <w:p w14:paraId="4F2FC571" w14:textId="6B720531" w:rsidR="00E3292A" w:rsidRDefault="000476E5" w:rsidP="002E7575">
            <w:r>
              <w:t>References reviewed and updated.</w:t>
            </w:r>
            <w:r w:rsidR="00B41353">
              <w:t xml:space="preserve">  Added ICD-10: </w:t>
            </w:r>
            <w:r w:rsidR="00BE1258">
              <w:t>R35.0</w:t>
            </w:r>
            <w:r w:rsidR="002E7575">
              <w:t xml:space="preserve">. </w:t>
            </w:r>
          </w:p>
        </w:tc>
        <w:tc>
          <w:tcPr>
            <w:tcW w:w="810" w:type="dxa"/>
          </w:tcPr>
          <w:p w14:paraId="76B67131" w14:textId="7A69D9E8" w:rsidR="00E3292A" w:rsidRDefault="000476E5" w:rsidP="00FD5C4A">
            <w:pPr>
              <w:jc w:val="center"/>
            </w:pPr>
            <w:r>
              <w:t>02/20</w:t>
            </w:r>
          </w:p>
        </w:tc>
        <w:tc>
          <w:tcPr>
            <w:tcW w:w="1260" w:type="dxa"/>
          </w:tcPr>
          <w:p w14:paraId="50214947" w14:textId="1F4DFAF5" w:rsidR="00E3292A" w:rsidRDefault="00FE065C" w:rsidP="00601843">
            <w:pPr>
              <w:jc w:val="center"/>
            </w:pPr>
            <w:r>
              <w:t>03/20</w:t>
            </w:r>
          </w:p>
        </w:tc>
      </w:tr>
      <w:tr w:rsidR="00570747" w14:paraId="5775400D" w14:textId="77777777" w:rsidTr="00601843">
        <w:tc>
          <w:tcPr>
            <w:tcW w:w="7578" w:type="dxa"/>
          </w:tcPr>
          <w:p w14:paraId="026BB5EE" w14:textId="6F12CDD1" w:rsidR="00570747" w:rsidRDefault="00570747" w:rsidP="002E7575">
            <w:r>
              <w:t>Annual reviewed completed; references reviewed and updated, codes reviewed.  Specialist reviewed.</w:t>
            </w:r>
            <w:r w:rsidR="00EF592E">
              <w:t xml:space="preserve"> Replaced “member” with “members/enrollees” in all instances.</w:t>
            </w:r>
          </w:p>
        </w:tc>
        <w:tc>
          <w:tcPr>
            <w:tcW w:w="810" w:type="dxa"/>
          </w:tcPr>
          <w:p w14:paraId="792F21DB" w14:textId="136032B1" w:rsidR="00570747" w:rsidRDefault="00570747" w:rsidP="00570747">
            <w:pPr>
              <w:jc w:val="center"/>
            </w:pPr>
            <w:r>
              <w:t>03/21</w:t>
            </w:r>
          </w:p>
        </w:tc>
        <w:tc>
          <w:tcPr>
            <w:tcW w:w="1260" w:type="dxa"/>
          </w:tcPr>
          <w:p w14:paraId="2032C9D2" w14:textId="141174CC" w:rsidR="00570747" w:rsidRDefault="005211A8" w:rsidP="00601843">
            <w:pPr>
              <w:jc w:val="center"/>
            </w:pPr>
            <w:r>
              <w:t>03/21</w:t>
            </w:r>
          </w:p>
        </w:tc>
      </w:tr>
      <w:tr w:rsidR="00C7192D" w14:paraId="46389CC3" w14:textId="77777777" w:rsidTr="00601843">
        <w:tc>
          <w:tcPr>
            <w:tcW w:w="7578" w:type="dxa"/>
          </w:tcPr>
          <w:p w14:paraId="2B5B98C0" w14:textId="7C5D0B08" w:rsidR="00C7192D" w:rsidRDefault="00C22811" w:rsidP="00C22811">
            <w:r>
              <w:t xml:space="preserve">Annual review. </w:t>
            </w:r>
            <w:r w:rsidR="00140982">
              <w:t>Replaced investigational language in IV, to “</w:t>
            </w:r>
            <w:proofErr w:type="gramStart"/>
            <w:r w:rsidR="00140982" w:rsidRPr="00140982">
              <w:t>insufficient  evidence</w:t>
            </w:r>
            <w:proofErr w:type="gramEnd"/>
            <w:r w:rsidR="00140982" w:rsidRPr="00140982">
              <w:t xml:space="preserve"> in the published peer-reviewed literature to support the use of UBA injection of autologous fat, non- FDA approved procedures, and any other circumstances than those specified above</w:t>
            </w:r>
            <w:r w:rsidR="000F6F48">
              <w:t>.”</w:t>
            </w:r>
            <w:r w:rsidR="003A4B76">
              <w:t xml:space="preserve"> </w:t>
            </w:r>
            <w:r w:rsidR="00972118">
              <w:t>Added HCPCS code A4290.</w:t>
            </w:r>
            <w:r>
              <w:t xml:space="preserve"> </w:t>
            </w:r>
            <w:r w:rsidR="00C7192D">
              <w:t>Changed “review date” in the header to “date of last revision” and “date” in the revision log header to “revision date.”</w:t>
            </w:r>
            <w:r w:rsidR="00D4692A">
              <w:t xml:space="preserve"> </w:t>
            </w:r>
            <w:r w:rsidR="00C7192D">
              <w:t>References reviewed, updated and reformatted.</w:t>
            </w:r>
            <w:r w:rsidR="0005520A">
              <w:t xml:space="preserve"> Reviewed by specialist.</w:t>
            </w:r>
          </w:p>
        </w:tc>
        <w:tc>
          <w:tcPr>
            <w:tcW w:w="810" w:type="dxa"/>
          </w:tcPr>
          <w:p w14:paraId="73FFC7B4" w14:textId="7024FDA8" w:rsidR="00C7192D" w:rsidRDefault="00C7192D" w:rsidP="00570747">
            <w:pPr>
              <w:jc w:val="center"/>
            </w:pPr>
            <w:r>
              <w:t>11/21</w:t>
            </w:r>
          </w:p>
        </w:tc>
        <w:tc>
          <w:tcPr>
            <w:tcW w:w="1260" w:type="dxa"/>
          </w:tcPr>
          <w:p w14:paraId="369D28F2" w14:textId="2770F36B" w:rsidR="00C7192D" w:rsidRDefault="007D17D5" w:rsidP="00601843">
            <w:pPr>
              <w:jc w:val="center"/>
            </w:pPr>
            <w:r>
              <w:t>11/21</w:t>
            </w:r>
          </w:p>
        </w:tc>
      </w:tr>
      <w:tr w:rsidR="0064016F" w14:paraId="56D8EF24" w14:textId="77777777" w:rsidTr="00601843">
        <w:tc>
          <w:tcPr>
            <w:tcW w:w="7578" w:type="dxa"/>
          </w:tcPr>
          <w:p w14:paraId="1157BB04" w14:textId="14989D14" w:rsidR="0064016F" w:rsidRDefault="0064016F" w:rsidP="00C22811">
            <w:r>
              <w:t xml:space="preserve">Annual review. </w:t>
            </w:r>
            <w:r w:rsidR="00A352FC">
              <w:t xml:space="preserve">Updated criteria section </w:t>
            </w:r>
            <w:r w:rsidR="00C0778C">
              <w:t>to clarify abbreviations.</w:t>
            </w:r>
            <w:r w:rsidR="005C7D36">
              <w:t xml:space="preserve"> </w:t>
            </w:r>
            <w:r w:rsidR="005C7D36" w:rsidRPr="005C7D36">
              <w:t>Criteria I.D. # 1 updated to include continence-support pessaries as a conservative measure.</w:t>
            </w:r>
            <w:r w:rsidR="00C0778C">
              <w:t xml:space="preserve"> </w:t>
            </w:r>
            <w:r w:rsidR="00A352FC">
              <w:t>Updat</w:t>
            </w:r>
            <w:r w:rsidR="00E514E4">
              <w:t>e</w:t>
            </w:r>
            <w:r w:rsidR="00A352FC">
              <w:t xml:space="preserve">d background with no impact on criteria. Removed ICD-10 codes. </w:t>
            </w:r>
            <w:r>
              <w:t xml:space="preserve">References reviewed and updated. </w:t>
            </w:r>
          </w:p>
        </w:tc>
        <w:tc>
          <w:tcPr>
            <w:tcW w:w="810" w:type="dxa"/>
          </w:tcPr>
          <w:p w14:paraId="6DAE3D20" w14:textId="7480DE82" w:rsidR="0064016F" w:rsidRDefault="0064016F" w:rsidP="00570747">
            <w:pPr>
              <w:jc w:val="center"/>
            </w:pPr>
            <w:r>
              <w:t>11/22</w:t>
            </w:r>
          </w:p>
        </w:tc>
        <w:tc>
          <w:tcPr>
            <w:tcW w:w="1260" w:type="dxa"/>
          </w:tcPr>
          <w:p w14:paraId="506BE910" w14:textId="43DABE64" w:rsidR="0064016F" w:rsidRDefault="00174B40" w:rsidP="00601843">
            <w:pPr>
              <w:jc w:val="center"/>
            </w:pPr>
            <w:r>
              <w:t>11/22</w:t>
            </w:r>
          </w:p>
        </w:tc>
      </w:tr>
      <w:tr w:rsidR="00507D3F" w14:paraId="0AA8C859" w14:textId="77777777" w:rsidTr="00601843">
        <w:tc>
          <w:tcPr>
            <w:tcW w:w="7578" w:type="dxa"/>
          </w:tcPr>
          <w:p w14:paraId="3DF128C1" w14:textId="0F1D1FA6" w:rsidR="00507D3F" w:rsidRDefault="00507D3F" w:rsidP="00C22811">
            <w:r>
              <w:t>Removed continence support pessaries from criteria I.D.1.</w:t>
            </w:r>
            <w:r w:rsidR="00AF0268">
              <w:t xml:space="preserve"> Revised order in which conservative therapies </w:t>
            </w:r>
            <w:r w:rsidR="001F53EC">
              <w:t xml:space="preserve">are listed in I.D.2. </w:t>
            </w:r>
          </w:p>
        </w:tc>
        <w:tc>
          <w:tcPr>
            <w:tcW w:w="810" w:type="dxa"/>
          </w:tcPr>
          <w:p w14:paraId="67B552D2" w14:textId="39711F1F" w:rsidR="00507D3F" w:rsidRDefault="00507D3F" w:rsidP="00570747">
            <w:pPr>
              <w:jc w:val="center"/>
            </w:pPr>
            <w:r>
              <w:t>06/23</w:t>
            </w:r>
          </w:p>
        </w:tc>
        <w:tc>
          <w:tcPr>
            <w:tcW w:w="1260" w:type="dxa"/>
          </w:tcPr>
          <w:p w14:paraId="323732E8" w14:textId="71B3B995" w:rsidR="00507D3F" w:rsidRDefault="00340A9A" w:rsidP="00601843">
            <w:pPr>
              <w:jc w:val="center"/>
            </w:pPr>
            <w:r>
              <w:t>06/23</w:t>
            </w:r>
          </w:p>
        </w:tc>
      </w:tr>
      <w:tr w:rsidR="003B3DFE" w14:paraId="59BE461C" w14:textId="77777777" w:rsidTr="00601843">
        <w:tc>
          <w:tcPr>
            <w:tcW w:w="7578" w:type="dxa"/>
          </w:tcPr>
          <w:p w14:paraId="67EEE029" w14:textId="2334EE1F" w:rsidR="003B3DFE" w:rsidRDefault="003B3DFE" w:rsidP="00C22811">
            <w:r>
              <w:lastRenderedPageBreak/>
              <w:t xml:space="preserve">Annual review. </w:t>
            </w:r>
            <w:r w:rsidRPr="00716913">
              <w:t xml:space="preserve">Added note under Description </w:t>
            </w:r>
            <w:proofErr w:type="gramStart"/>
            <w:r w:rsidRPr="00716913">
              <w:t>to refer</w:t>
            </w:r>
            <w:proofErr w:type="gramEnd"/>
            <w:r w:rsidRPr="00716913">
              <w:t xml:space="preserve"> to CP.MP.133 Posterior Tibial Nerve Stimulation for Voiding Dysfunction for posterior tibial nerve stimulation treatment for urinary incontinence</w:t>
            </w:r>
            <w:r>
              <w:t xml:space="preserve">. Updated criteria I.B. from, </w:t>
            </w:r>
            <w:r>
              <w:rPr>
                <w:color w:val="000000"/>
              </w:rPr>
              <w:t>urinary retention</w:t>
            </w:r>
            <w:r w:rsidRPr="00F726BF">
              <w:rPr>
                <w:color w:val="000000"/>
              </w:rPr>
              <w:t xml:space="preserve"> </w:t>
            </w:r>
            <w:proofErr w:type="gramStart"/>
            <w:r w:rsidRPr="00F726BF">
              <w:rPr>
                <w:color w:val="000000"/>
              </w:rPr>
              <w:t>have</w:t>
            </w:r>
            <w:proofErr w:type="gramEnd"/>
            <w:r w:rsidRPr="00F726BF">
              <w:rPr>
                <w:color w:val="000000"/>
              </w:rPr>
              <w:t xml:space="preserve"> been present for at </w:t>
            </w:r>
            <w:r w:rsidRPr="0047375A">
              <w:rPr>
                <w:color w:val="000000"/>
              </w:rPr>
              <w:t>least 12 months</w:t>
            </w:r>
            <w:r>
              <w:rPr>
                <w:color w:val="000000"/>
              </w:rPr>
              <w:t>, to, urinary retention</w:t>
            </w:r>
            <w:r w:rsidRPr="00F726BF">
              <w:rPr>
                <w:color w:val="000000"/>
              </w:rPr>
              <w:t xml:space="preserve"> </w:t>
            </w:r>
            <w:proofErr w:type="gramStart"/>
            <w:r w:rsidRPr="00F726BF">
              <w:rPr>
                <w:color w:val="000000"/>
              </w:rPr>
              <w:t>have</w:t>
            </w:r>
            <w:proofErr w:type="gramEnd"/>
            <w:r w:rsidRPr="00F726BF">
              <w:rPr>
                <w:color w:val="000000"/>
              </w:rPr>
              <w:t xml:space="preserve"> been present for at </w:t>
            </w:r>
            <w:r w:rsidRPr="0047375A">
              <w:rPr>
                <w:color w:val="000000"/>
              </w:rPr>
              <w:t xml:space="preserve">least </w:t>
            </w:r>
            <w:r>
              <w:rPr>
                <w:color w:val="000000"/>
              </w:rPr>
              <w:t>6</w:t>
            </w:r>
            <w:r w:rsidRPr="0047375A">
              <w:rPr>
                <w:color w:val="000000"/>
              </w:rPr>
              <w:t xml:space="preserve"> months</w:t>
            </w:r>
            <w:r>
              <w:rPr>
                <w:color w:val="000000"/>
              </w:rPr>
              <w:t>.</w:t>
            </w:r>
            <w:r w:rsidRPr="0047375A">
              <w:rPr>
                <w:color w:val="000000"/>
              </w:rPr>
              <w:t xml:space="preserve"> </w:t>
            </w:r>
            <w:r>
              <w:t>Minor rewording in Criteria with no clinical significance. Background updated with no impact on criteria. References reviewed and updated. Reviewed by external specialist.</w:t>
            </w:r>
          </w:p>
        </w:tc>
        <w:tc>
          <w:tcPr>
            <w:tcW w:w="810" w:type="dxa"/>
          </w:tcPr>
          <w:p w14:paraId="521A61BB" w14:textId="5345B162" w:rsidR="003B3DFE" w:rsidRDefault="003B3DFE" w:rsidP="00570747">
            <w:pPr>
              <w:jc w:val="center"/>
            </w:pPr>
            <w:r>
              <w:t>11/23</w:t>
            </w:r>
          </w:p>
        </w:tc>
        <w:tc>
          <w:tcPr>
            <w:tcW w:w="1260" w:type="dxa"/>
          </w:tcPr>
          <w:p w14:paraId="59241ECB" w14:textId="68BF810E" w:rsidR="003B3DFE" w:rsidRDefault="0091243A" w:rsidP="00601843">
            <w:pPr>
              <w:jc w:val="center"/>
            </w:pPr>
            <w:r>
              <w:t>11/23</w:t>
            </w:r>
          </w:p>
        </w:tc>
      </w:tr>
      <w:tr w:rsidR="00587AA1" w14:paraId="5E1119DE" w14:textId="77777777" w:rsidTr="00601843">
        <w:tc>
          <w:tcPr>
            <w:tcW w:w="7578" w:type="dxa"/>
          </w:tcPr>
          <w:p w14:paraId="23A0B0C5" w14:textId="210AE810" w:rsidR="00587AA1" w:rsidRDefault="00B6280A" w:rsidP="00C22811">
            <w:r>
              <w:t xml:space="preserve">Annual review. </w:t>
            </w:r>
            <w:r w:rsidRPr="00B6280A">
              <w:t xml:space="preserve">Added language to Criteria I. regarding a United Sates Food and Drug Administration (FDA) approved device. Minor rewording in Criteria I.B. with no impact </w:t>
            </w:r>
            <w:proofErr w:type="gramStart"/>
            <w:r w:rsidRPr="00B6280A">
              <w:t>to</w:t>
            </w:r>
            <w:proofErr w:type="gramEnd"/>
            <w:r w:rsidRPr="00B6280A">
              <w:t xml:space="preserve"> criteria. Added language to Criteria II. to include an FDA approved device. Updated verbiage in Criteria II.B. to state “at least” a 50% reduction in incontinence. Minor rewording in Criteria III. with no impact on criteria. Reworded Criteria III.B. for flow and changed Kegel exercises to pelvic floor therapy. Changed “patient” to “Member/enrollee” in Criteria III.C.</w:t>
            </w:r>
            <w:r>
              <w:t xml:space="preserve"> References reviewed and updated. </w:t>
            </w:r>
          </w:p>
        </w:tc>
        <w:tc>
          <w:tcPr>
            <w:tcW w:w="810" w:type="dxa"/>
          </w:tcPr>
          <w:p w14:paraId="66AA2A2A" w14:textId="12427305" w:rsidR="00587AA1" w:rsidRDefault="00587AA1" w:rsidP="00570747">
            <w:pPr>
              <w:jc w:val="center"/>
            </w:pPr>
            <w:r>
              <w:t>11/24</w:t>
            </w:r>
          </w:p>
        </w:tc>
        <w:tc>
          <w:tcPr>
            <w:tcW w:w="1260" w:type="dxa"/>
          </w:tcPr>
          <w:p w14:paraId="29207ABB" w14:textId="4C633BCC" w:rsidR="00587AA1" w:rsidRDefault="009855B8" w:rsidP="00601843">
            <w:pPr>
              <w:jc w:val="center"/>
            </w:pPr>
            <w:r>
              <w:t>11/24</w:t>
            </w:r>
          </w:p>
        </w:tc>
      </w:tr>
      <w:tr w:rsidR="00E92030" w14:paraId="25852A4C" w14:textId="77777777" w:rsidTr="00601843">
        <w:tc>
          <w:tcPr>
            <w:tcW w:w="7578" w:type="dxa"/>
          </w:tcPr>
          <w:p w14:paraId="0318AD8B" w14:textId="180B6DE3" w:rsidR="00E92030" w:rsidRDefault="00E92030" w:rsidP="00C22811">
            <w:r>
              <w:t>Annual review.</w:t>
            </w:r>
            <w:r w:rsidR="00CC57A5">
              <w:t xml:space="preserve"> Comment after III.C. removed.</w:t>
            </w:r>
            <w:r w:rsidR="00E65AEB">
              <w:t xml:space="preserve"> Misc. edits to background with no impact on criteria.</w:t>
            </w:r>
            <w:r w:rsidR="00CB580C">
              <w:t xml:space="preserve"> </w:t>
            </w:r>
            <w:r w:rsidR="00A84F02">
              <w:t xml:space="preserve">References reviewed and updated. </w:t>
            </w:r>
            <w:r w:rsidR="00D73065">
              <w:t>Reviewed by external specialist.</w:t>
            </w:r>
          </w:p>
        </w:tc>
        <w:tc>
          <w:tcPr>
            <w:tcW w:w="810" w:type="dxa"/>
          </w:tcPr>
          <w:p w14:paraId="64C6701B" w14:textId="0FE06125" w:rsidR="00E92030" w:rsidRDefault="00E92030" w:rsidP="00570747">
            <w:pPr>
              <w:jc w:val="center"/>
            </w:pPr>
            <w:r>
              <w:t>11/25</w:t>
            </w:r>
          </w:p>
        </w:tc>
        <w:tc>
          <w:tcPr>
            <w:tcW w:w="1260" w:type="dxa"/>
          </w:tcPr>
          <w:p w14:paraId="2BC7A802" w14:textId="7747153E" w:rsidR="00E92030" w:rsidRDefault="00186B77" w:rsidP="00601843">
            <w:pPr>
              <w:jc w:val="center"/>
            </w:pPr>
            <w:r>
              <w:t>11/25</w:t>
            </w:r>
          </w:p>
        </w:tc>
      </w:tr>
    </w:tbl>
    <w:p w14:paraId="4D9D1F94" w14:textId="77777777" w:rsidR="00E9503C" w:rsidRDefault="00E9503C" w:rsidP="00963062">
      <w:pPr>
        <w:pStyle w:val="Heading3"/>
      </w:pPr>
    </w:p>
    <w:p w14:paraId="1FD1498F" w14:textId="77777777" w:rsidR="00436595" w:rsidRDefault="00436595" w:rsidP="00963062">
      <w:pPr>
        <w:pStyle w:val="Heading3"/>
      </w:pPr>
      <w:r>
        <w:t>References</w:t>
      </w:r>
    </w:p>
    <w:p w14:paraId="3AFFAFCB" w14:textId="7F7D6B6C" w:rsidR="003D3A66" w:rsidRPr="00AB7EC6" w:rsidRDefault="00657E7B" w:rsidP="00657E7B">
      <w:pPr>
        <w:pStyle w:val="ListParagraph"/>
        <w:numPr>
          <w:ilvl w:val="0"/>
          <w:numId w:val="21"/>
        </w:numPr>
      </w:pPr>
      <w:proofErr w:type="spellStart"/>
      <w:r w:rsidRPr="00AB7EC6">
        <w:t>Lukacz</w:t>
      </w:r>
      <w:proofErr w:type="spellEnd"/>
      <w:r w:rsidRPr="00AB7EC6">
        <w:t xml:space="preserve"> ES. Female urinary incontinence: Treatment. UpToDate. </w:t>
      </w:r>
      <w:hyperlink r:id="rId18" w:history="1">
        <w:r w:rsidR="00F5719E" w:rsidRPr="00AB7EC6">
          <w:rPr>
            <w:rStyle w:val="Hyperlink"/>
          </w:rPr>
          <w:t>www.uptodate.com</w:t>
        </w:r>
      </w:hyperlink>
      <w:r w:rsidR="00F5719E" w:rsidRPr="00AB7EC6">
        <w:t xml:space="preserve">. </w:t>
      </w:r>
      <w:r w:rsidRPr="00AB7EC6">
        <w:t xml:space="preserve">Published </w:t>
      </w:r>
      <w:r w:rsidR="00F6692E">
        <w:t>June</w:t>
      </w:r>
      <w:r w:rsidR="00F6692E" w:rsidRPr="00AB7EC6">
        <w:t xml:space="preserve"> </w:t>
      </w:r>
      <w:r w:rsidR="009F1484" w:rsidRPr="00AB7EC6">
        <w:t>22, 202</w:t>
      </w:r>
      <w:r w:rsidR="008C034C">
        <w:t>5</w:t>
      </w:r>
      <w:r w:rsidRPr="00AB7EC6">
        <w:t xml:space="preserve">. Accessed </w:t>
      </w:r>
      <w:r w:rsidR="00CC0410">
        <w:t>September 23</w:t>
      </w:r>
      <w:r w:rsidR="000273EE" w:rsidRPr="00AB7EC6">
        <w:t>, 202</w:t>
      </w:r>
      <w:r w:rsidR="00CC0410">
        <w:t>5</w:t>
      </w:r>
      <w:r w:rsidRPr="00AB7EC6">
        <w:t>.</w:t>
      </w:r>
      <w:r w:rsidR="009269AF" w:rsidRPr="00AB7EC6">
        <w:t xml:space="preserve"> </w:t>
      </w:r>
    </w:p>
    <w:p w14:paraId="7E07C51A" w14:textId="26A99C87" w:rsidR="00304993" w:rsidRPr="00AB7EC6" w:rsidRDefault="000A11A4" w:rsidP="000A11A4">
      <w:pPr>
        <w:pStyle w:val="ListParagraph"/>
        <w:numPr>
          <w:ilvl w:val="0"/>
          <w:numId w:val="21"/>
        </w:numPr>
      </w:pPr>
      <w:r w:rsidRPr="00AB7EC6">
        <w:t>Morgan DM. Stress urinary incontinence in females: Persistent/recurrent symptoms after surgical treatment.</w:t>
      </w:r>
      <w:r w:rsidR="00212C19" w:rsidRPr="00AB7EC6">
        <w:t xml:space="preserve"> UpToDate.</w:t>
      </w:r>
      <w:r w:rsidRPr="00AB7EC6">
        <w:t xml:space="preserve"> </w:t>
      </w:r>
      <w:hyperlink r:id="rId19" w:history="1">
        <w:r w:rsidR="00212C19" w:rsidRPr="00AB7EC6">
          <w:rPr>
            <w:rStyle w:val="Hyperlink"/>
          </w:rPr>
          <w:t>www.uptodate.com</w:t>
        </w:r>
      </w:hyperlink>
      <w:r w:rsidR="00F5719E" w:rsidRPr="00AB7EC6">
        <w:t xml:space="preserve">. </w:t>
      </w:r>
      <w:r w:rsidRPr="00AB7EC6">
        <w:t xml:space="preserve">Published </w:t>
      </w:r>
      <w:r w:rsidR="00212C19" w:rsidRPr="00AB7EC6">
        <w:t>November 22,</w:t>
      </w:r>
      <w:r w:rsidRPr="00AB7EC6">
        <w:t xml:space="preserve"> 2022. Accessed </w:t>
      </w:r>
      <w:r w:rsidR="002B0CB6">
        <w:t>September</w:t>
      </w:r>
      <w:r w:rsidR="00D57708">
        <w:t xml:space="preserve"> 23</w:t>
      </w:r>
      <w:r w:rsidR="00E56617" w:rsidRPr="00AB7EC6">
        <w:t>, 202</w:t>
      </w:r>
      <w:r w:rsidR="00D57708">
        <w:t>5</w:t>
      </w:r>
      <w:r w:rsidRPr="00AB7EC6">
        <w:t xml:space="preserve">.  </w:t>
      </w:r>
    </w:p>
    <w:p w14:paraId="0B2165CB" w14:textId="347DA61E" w:rsidR="00A36B9E" w:rsidRPr="00AB7EC6" w:rsidRDefault="00CA176F" w:rsidP="00F962C0">
      <w:pPr>
        <w:numPr>
          <w:ilvl w:val="0"/>
          <w:numId w:val="21"/>
        </w:numPr>
        <w:tabs>
          <w:tab w:val="left" w:pos="-720"/>
          <w:tab w:val="left" w:pos="0"/>
          <w:tab w:val="left" w:pos="360"/>
          <w:tab w:val="left" w:pos="2160"/>
          <w:tab w:val="left" w:pos="2880"/>
          <w:tab w:val="left" w:pos="3600"/>
          <w:tab w:val="left" w:pos="4320"/>
        </w:tabs>
        <w:autoSpaceDE w:val="0"/>
        <w:autoSpaceDN w:val="0"/>
        <w:adjustRightInd w:val="0"/>
        <w:rPr>
          <w:rFonts w:cs="Verdana"/>
          <w:szCs w:val="22"/>
        </w:rPr>
      </w:pPr>
      <w:r w:rsidRPr="00AB7EC6">
        <w:rPr>
          <w:rFonts w:cs="Verdana"/>
          <w:szCs w:val="22"/>
        </w:rPr>
        <w:t xml:space="preserve">Gormley EA, Lightner DJ, Burgio </w:t>
      </w:r>
      <w:r w:rsidRPr="00AB7EC6">
        <w:rPr>
          <w:rFonts w:cs="Verdana"/>
          <w:szCs w:val="22"/>
          <w:lang w:val="en"/>
        </w:rPr>
        <w:t xml:space="preserve">KL, et al. Diagnosis and treatment of overactive bladder (non-neurogenic) in adults: AUA/SUFU Guideline. </w:t>
      </w:r>
      <w:r w:rsidRPr="00AB7EC6">
        <w:rPr>
          <w:rFonts w:cs="Verdana"/>
          <w:i/>
          <w:szCs w:val="22"/>
          <w:lang w:val="en"/>
        </w:rPr>
        <w:t>J Urol.</w:t>
      </w:r>
      <w:r w:rsidRPr="00AB7EC6">
        <w:rPr>
          <w:rFonts w:cs="Verdana"/>
          <w:szCs w:val="22"/>
          <w:lang w:val="en"/>
        </w:rPr>
        <w:t xml:space="preserve"> 2012;188(6 Suppl):2455 to 2463. </w:t>
      </w:r>
      <w:proofErr w:type="gramStart"/>
      <w:r w:rsidRPr="00AB7EC6">
        <w:rPr>
          <w:rFonts w:cs="Verdana"/>
          <w:szCs w:val="22"/>
          <w:lang w:val="en"/>
        </w:rPr>
        <w:t>doi:10.1016/j.juro</w:t>
      </w:r>
      <w:proofErr w:type="gramEnd"/>
      <w:r w:rsidRPr="00AB7EC6">
        <w:rPr>
          <w:rFonts w:cs="Verdana"/>
          <w:szCs w:val="22"/>
          <w:lang w:val="en"/>
        </w:rPr>
        <w:t>.2012.09.079</w:t>
      </w:r>
      <w:r w:rsidRPr="00AB7EC6">
        <w:rPr>
          <w:rFonts w:cs="Verdana"/>
          <w:szCs w:val="22"/>
        </w:rPr>
        <w:t xml:space="preserve"> </w:t>
      </w:r>
    </w:p>
    <w:p w14:paraId="1FAFF18E" w14:textId="30A20DDB" w:rsidR="00BE57EA" w:rsidRPr="00216A5E" w:rsidRDefault="00F962C0" w:rsidP="00216A5E">
      <w:pPr>
        <w:numPr>
          <w:ilvl w:val="0"/>
          <w:numId w:val="21"/>
        </w:numPr>
        <w:tabs>
          <w:tab w:val="left" w:pos="-720"/>
          <w:tab w:val="left" w:pos="0"/>
          <w:tab w:val="left" w:pos="360"/>
          <w:tab w:val="left" w:pos="2160"/>
          <w:tab w:val="left" w:pos="2880"/>
          <w:tab w:val="left" w:pos="3600"/>
          <w:tab w:val="left" w:pos="4320"/>
        </w:tabs>
        <w:autoSpaceDE w:val="0"/>
        <w:autoSpaceDN w:val="0"/>
        <w:adjustRightInd w:val="0"/>
        <w:rPr>
          <w:rFonts w:cs="Verdana"/>
          <w:szCs w:val="22"/>
        </w:rPr>
      </w:pPr>
      <w:r w:rsidRPr="00216A5E">
        <w:rPr>
          <w:shd w:val="clear" w:color="auto" w:fill="FFFFFF"/>
        </w:rPr>
        <w:t xml:space="preserve">Goldman HB, Lloyd JC, Noblett KL, et al. International Continence Society best practice statement for use of sacral neuromodulation. </w:t>
      </w:r>
      <w:proofErr w:type="spellStart"/>
      <w:r w:rsidRPr="00216A5E">
        <w:rPr>
          <w:i/>
          <w:shd w:val="clear" w:color="auto" w:fill="FFFFFF"/>
        </w:rPr>
        <w:t>Neurourol</w:t>
      </w:r>
      <w:proofErr w:type="spellEnd"/>
      <w:r w:rsidRPr="00216A5E">
        <w:rPr>
          <w:i/>
          <w:shd w:val="clear" w:color="auto" w:fill="FFFFFF"/>
        </w:rPr>
        <w:t xml:space="preserve"> </w:t>
      </w:r>
      <w:proofErr w:type="spellStart"/>
      <w:r w:rsidRPr="00216A5E">
        <w:rPr>
          <w:i/>
          <w:shd w:val="clear" w:color="auto" w:fill="FFFFFF"/>
        </w:rPr>
        <w:t>Urodyn</w:t>
      </w:r>
      <w:proofErr w:type="spellEnd"/>
      <w:r w:rsidRPr="00216A5E">
        <w:rPr>
          <w:shd w:val="clear" w:color="auto" w:fill="FFFFFF"/>
        </w:rPr>
        <w:t>. 2018;37(5):1823 to 1848. doi:10.1002/nau.23515</w:t>
      </w:r>
    </w:p>
    <w:p w14:paraId="3BD29300" w14:textId="3D07B58A" w:rsidR="000E633F" w:rsidRPr="00F5719E" w:rsidRDefault="00CF73EB" w:rsidP="00CF73EB">
      <w:pPr>
        <w:numPr>
          <w:ilvl w:val="0"/>
          <w:numId w:val="21"/>
        </w:numPr>
        <w:tabs>
          <w:tab w:val="left" w:pos="-720"/>
          <w:tab w:val="left" w:pos="0"/>
          <w:tab w:val="left" w:pos="360"/>
          <w:tab w:val="left" w:pos="2160"/>
          <w:tab w:val="left" w:pos="2880"/>
          <w:tab w:val="left" w:pos="3600"/>
          <w:tab w:val="left" w:pos="4320"/>
        </w:tabs>
        <w:autoSpaceDE w:val="0"/>
        <w:autoSpaceDN w:val="0"/>
        <w:adjustRightInd w:val="0"/>
        <w:rPr>
          <w:rFonts w:cs="Verdana"/>
          <w:szCs w:val="22"/>
        </w:rPr>
      </w:pPr>
      <w:r w:rsidRPr="00AB7EC6">
        <w:rPr>
          <w:rFonts w:cs="Verdana"/>
          <w:szCs w:val="22"/>
        </w:rPr>
        <w:t xml:space="preserve">Dray EV, Hall M, </w:t>
      </w:r>
      <w:proofErr w:type="spellStart"/>
      <w:r w:rsidRPr="00AB7EC6">
        <w:rPr>
          <w:rFonts w:cs="Verdana"/>
          <w:szCs w:val="22"/>
        </w:rPr>
        <w:t>Covalschi</w:t>
      </w:r>
      <w:proofErr w:type="spellEnd"/>
      <w:r w:rsidRPr="00AB7EC6">
        <w:rPr>
          <w:rFonts w:cs="Verdana"/>
          <w:szCs w:val="22"/>
        </w:rPr>
        <w:t xml:space="preserve"> D, Cameron AP. Can Urethral Bulking Agents Salvage</w:t>
      </w:r>
      <w:r w:rsidRPr="00F5719E">
        <w:rPr>
          <w:rFonts w:cs="Verdana"/>
          <w:szCs w:val="22"/>
        </w:rPr>
        <w:t xml:space="preserve"> Failed Slings?</w:t>
      </w:r>
      <w:r w:rsidR="00FB3112">
        <w:rPr>
          <w:rFonts w:cs="Verdana"/>
          <w:szCs w:val="22"/>
        </w:rPr>
        <w:t>.</w:t>
      </w:r>
      <w:r w:rsidRPr="00F5719E">
        <w:rPr>
          <w:rFonts w:cs="Verdana"/>
          <w:szCs w:val="22"/>
        </w:rPr>
        <w:t xml:space="preserve"> </w:t>
      </w:r>
      <w:r w:rsidRPr="00F5719E">
        <w:rPr>
          <w:rFonts w:cs="Verdana"/>
          <w:i/>
          <w:szCs w:val="22"/>
        </w:rPr>
        <w:t>Urology</w:t>
      </w:r>
      <w:r w:rsidRPr="00F5719E">
        <w:rPr>
          <w:rFonts w:cs="Verdana"/>
          <w:szCs w:val="22"/>
        </w:rPr>
        <w:t xml:space="preserve">. </w:t>
      </w:r>
      <w:proofErr w:type="gramStart"/>
      <w:r w:rsidRPr="00F5719E">
        <w:rPr>
          <w:rFonts w:cs="Verdana"/>
          <w:szCs w:val="22"/>
        </w:rPr>
        <w:t>2019;124:78</w:t>
      </w:r>
      <w:proofErr w:type="gramEnd"/>
      <w:r w:rsidRPr="00F5719E">
        <w:rPr>
          <w:rFonts w:cs="Verdana"/>
          <w:szCs w:val="22"/>
        </w:rPr>
        <w:t xml:space="preserve"> to 82. </w:t>
      </w:r>
      <w:proofErr w:type="gramStart"/>
      <w:r w:rsidRPr="00F5719E">
        <w:rPr>
          <w:rFonts w:cs="Verdana"/>
          <w:szCs w:val="22"/>
        </w:rPr>
        <w:t>doi:0.101</w:t>
      </w:r>
      <w:r w:rsidR="00D0617F">
        <w:rPr>
          <w:rFonts w:cs="Verdana"/>
          <w:szCs w:val="22"/>
        </w:rPr>
        <w:t>9</w:t>
      </w:r>
      <w:r w:rsidRPr="00F5719E">
        <w:rPr>
          <w:rFonts w:cs="Verdana"/>
          <w:szCs w:val="22"/>
        </w:rPr>
        <w:t>/j.urology</w:t>
      </w:r>
      <w:proofErr w:type="gramEnd"/>
      <w:r w:rsidRPr="00F5719E">
        <w:rPr>
          <w:rFonts w:cs="Verdana"/>
          <w:szCs w:val="22"/>
        </w:rPr>
        <w:t xml:space="preserve">.2018.09.019 </w:t>
      </w:r>
    </w:p>
    <w:p w14:paraId="185E4C9B" w14:textId="017B9583" w:rsidR="0019564A" w:rsidRPr="00DC77F3" w:rsidRDefault="00CE63E5" w:rsidP="00CE63E5">
      <w:pPr>
        <w:pStyle w:val="ListParagraph"/>
        <w:numPr>
          <w:ilvl w:val="0"/>
          <w:numId w:val="21"/>
        </w:numPr>
        <w:rPr>
          <w:u w:val="single"/>
        </w:rPr>
      </w:pPr>
      <w:proofErr w:type="spellStart"/>
      <w:r w:rsidRPr="00DC77F3">
        <w:t>Ghoniem</w:t>
      </w:r>
      <w:proofErr w:type="spellEnd"/>
      <w:r w:rsidRPr="00DC77F3">
        <w:t xml:space="preserve"> G, Boctor N. Update on Urethral Bulking Agents for Female Stress Urinary Incontinence due to Intrinsic Sphincter Deficiency. </w:t>
      </w:r>
      <w:r w:rsidRPr="00DC77F3">
        <w:rPr>
          <w:i/>
        </w:rPr>
        <w:t xml:space="preserve">J </w:t>
      </w:r>
      <w:proofErr w:type="spellStart"/>
      <w:r w:rsidRPr="00DC77F3">
        <w:rPr>
          <w:i/>
        </w:rPr>
        <w:t>Urol</w:t>
      </w:r>
      <w:proofErr w:type="spellEnd"/>
      <w:r w:rsidRPr="00DC77F3">
        <w:rPr>
          <w:i/>
        </w:rPr>
        <w:t xml:space="preserve"> Res</w:t>
      </w:r>
      <w:r w:rsidR="00717156" w:rsidRPr="00DC77F3">
        <w:rPr>
          <w:iCs/>
        </w:rPr>
        <w:t>. 2014;</w:t>
      </w:r>
      <w:r w:rsidRPr="00DC77F3">
        <w:t>1(2):</w:t>
      </w:r>
      <w:r w:rsidR="00AA6DF6" w:rsidRPr="00DC77F3">
        <w:t xml:space="preserve"> 1 to 7.</w:t>
      </w:r>
      <w:r w:rsidRPr="00DC77F3">
        <w:t xml:space="preserve"> </w:t>
      </w:r>
      <w:hyperlink r:id="rId20" w:history="1">
        <w:r w:rsidR="00523C6E" w:rsidRPr="00DC77F3">
          <w:rPr>
            <w:rStyle w:val="Hyperlink"/>
          </w:rPr>
          <w:t>https://escholarship.org/content/qt9dt57291/qt9dt57291_noSplash_c18758fbc805379975a8761fa575c5ee.pdf</w:t>
        </w:r>
      </w:hyperlink>
      <w:r w:rsidR="00523C6E" w:rsidRPr="00DC77F3">
        <w:t>.</w:t>
      </w:r>
      <w:r w:rsidR="001D0592" w:rsidRPr="00DC77F3">
        <w:t xml:space="preserve"> </w:t>
      </w:r>
      <w:r w:rsidR="00F66B0F" w:rsidRPr="00DC77F3">
        <w:t xml:space="preserve">Published March 04, </w:t>
      </w:r>
      <w:r w:rsidR="001D0592" w:rsidRPr="00DC77F3">
        <w:t xml:space="preserve">2014. </w:t>
      </w:r>
      <w:r w:rsidR="00F5719E" w:rsidRPr="00DC77F3">
        <w:t xml:space="preserve">Accessed </w:t>
      </w:r>
      <w:r w:rsidR="00074A60">
        <w:t>September 18</w:t>
      </w:r>
      <w:r w:rsidR="00777912" w:rsidRPr="00DC77F3">
        <w:t>, 202</w:t>
      </w:r>
      <w:r w:rsidR="00074A60">
        <w:t>5</w:t>
      </w:r>
      <w:r w:rsidR="00F5719E" w:rsidRPr="00DC77F3">
        <w:t>.</w:t>
      </w:r>
      <w:r w:rsidR="001D0592" w:rsidRPr="00DC77F3">
        <w:t xml:space="preserve"> </w:t>
      </w:r>
    </w:p>
    <w:p w14:paraId="74AD9578" w14:textId="2A9826F7" w:rsidR="004D36FD" w:rsidRPr="00DC77F3" w:rsidRDefault="00952884" w:rsidP="00952884">
      <w:pPr>
        <w:pStyle w:val="ListParagraph"/>
        <w:numPr>
          <w:ilvl w:val="0"/>
          <w:numId w:val="21"/>
        </w:numPr>
        <w:rPr>
          <w:shd w:val="clear" w:color="auto" w:fill="FFFFFF"/>
        </w:rPr>
      </w:pPr>
      <w:r w:rsidRPr="00DC77F3">
        <w:rPr>
          <w:shd w:val="clear" w:color="auto" w:fill="FFFFFF"/>
        </w:rPr>
        <w:t xml:space="preserve">Gross C, Habli M, Lindsell C, South M. Sacral neuromodulation for nonobstructive urinary retention: a meta-analysis. </w:t>
      </w:r>
      <w:r w:rsidRPr="00DC77F3">
        <w:rPr>
          <w:i/>
          <w:shd w:val="clear" w:color="auto" w:fill="FFFFFF"/>
        </w:rPr>
        <w:t>Female Pelvic Med</w:t>
      </w:r>
      <w:r w:rsidRPr="00DC77F3">
        <w:rPr>
          <w:shd w:val="clear" w:color="auto" w:fill="FFFFFF"/>
        </w:rPr>
        <w:t xml:space="preserve"> </w:t>
      </w:r>
      <w:proofErr w:type="spellStart"/>
      <w:r w:rsidRPr="00DC77F3">
        <w:rPr>
          <w:i/>
          <w:shd w:val="clear" w:color="auto" w:fill="FFFFFF"/>
        </w:rPr>
        <w:t>Reconstr</w:t>
      </w:r>
      <w:proofErr w:type="spellEnd"/>
      <w:r w:rsidRPr="00DC77F3">
        <w:rPr>
          <w:i/>
          <w:shd w:val="clear" w:color="auto" w:fill="FFFFFF"/>
        </w:rPr>
        <w:t xml:space="preserve"> Surg</w:t>
      </w:r>
      <w:r w:rsidRPr="00DC77F3">
        <w:rPr>
          <w:shd w:val="clear" w:color="auto" w:fill="FFFFFF"/>
        </w:rPr>
        <w:t xml:space="preserve">. 2010;16(4):249 to 253. </w:t>
      </w:r>
      <w:proofErr w:type="gramStart"/>
      <w:r w:rsidRPr="00DC77F3">
        <w:rPr>
          <w:shd w:val="clear" w:color="auto" w:fill="FFFFFF"/>
        </w:rPr>
        <w:t>doi:10.1097/SPV.0b013e3181df9b3f</w:t>
      </w:r>
      <w:proofErr w:type="gramEnd"/>
      <w:r w:rsidRPr="00DC77F3">
        <w:rPr>
          <w:shd w:val="clear" w:color="auto" w:fill="FFFFFF"/>
        </w:rPr>
        <w:t xml:space="preserve"> </w:t>
      </w:r>
    </w:p>
    <w:p w14:paraId="2D7C9B35" w14:textId="38A624E4" w:rsidR="00DF0B2E" w:rsidRPr="00DC77F3" w:rsidRDefault="00824A3F" w:rsidP="00563D0F">
      <w:pPr>
        <w:pStyle w:val="ListParagraph"/>
        <w:numPr>
          <w:ilvl w:val="0"/>
          <w:numId w:val="21"/>
        </w:numPr>
        <w:rPr>
          <w:shd w:val="clear" w:color="auto" w:fill="FFFFFF"/>
        </w:rPr>
      </w:pPr>
      <w:r w:rsidRPr="00DC77F3">
        <w:t xml:space="preserve">Gill </w:t>
      </w:r>
      <w:r w:rsidRPr="00DC77F3">
        <w:rPr>
          <w:shd w:val="clear" w:color="auto" w:fill="FFFFFF"/>
        </w:rPr>
        <w:t xml:space="preserve">BC. Injectable Bulking Agents for Incontinence. </w:t>
      </w:r>
      <w:proofErr w:type="spellStart"/>
      <w:r w:rsidRPr="00DC77F3">
        <w:rPr>
          <w:i/>
          <w:iCs/>
          <w:shd w:val="clear" w:color="auto" w:fill="FFFFFF"/>
        </w:rPr>
        <w:t>MedScape</w:t>
      </w:r>
      <w:proofErr w:type="spellEnd"/>
      <w:r w:rsidRPr="00DC77F3">
        <w:rPr>
          <w:shd w:val="clear" w:color="auto" w:fill="FFFFFF"/>
        </w:rPr>
        <w:t xml:space="preserve">. </w:t>
      </w:r>
      <w:hyperlink r:id="rId21" w:anchor="a1" w:history="1">
        <w:r w:rsidRPr="00DC77F3">
          <w:rPr>
            <w:rStyle w:val="Hyperlink"/>
            <w:shd w:val="clear" w:color="auto" w:fill="FFFFFF"/>
          </w:rPr>
          <w:t>https://emedicine.medscape.com/article/447068-overview#a1</w:t>
        </w:r>
      </w:hyperlink>
      <w:r w:rsidRPr="00DC77F3">
        <w:rPr>
          <w:shd w:val="clear" w:color="auto" w:fill="FFFFFF"/>
        </w:rPr>
        <w:t xml:space="preserve">. Published </w:t>
      </w:r>
      <w:r w:rsidR="00662B4D" w:rsidRPr="00DC77F3">
        <w:rPr>
          <w:shd w:val="clear" w:color="auto" w:fill="FFFFFF"/>
        </w:rPr>
        <w:t>October 31, 2023</w:t>
      </w:r>
      <w:r w:rsidRPr="00DC77F3">
        <w:rPr>
          <w:shd w:val="clear" w:color="auto" w:fill="FFFFFF"/>
        </w:rPr>
        <w:t xml:space="preserve">. Accessed </w:t>
      </w:r>
      <w:r w:rsidR="003E3A75">
        <w:rPr>
          <w:shd w:val="clear" w:color="auto" w:fill="FFFFFF"/>
        </w:rPr>
        <w:t>September 18</w:t>
      </w:r>
      <w:r w:rsidR="00BD2DC9" w:rsidRPr="00DC77F3">
        <w:rPr>
          <w:shd w:val="clear" w:color="auto" w:fill="FFFFFF"/>
        </w:rPr>
        <w:t>, 202</w:t>
      </w:r>
      <w:r w:rsidR="009767D6">
        <w:rPr>
          <w:shd w:val="clear" w:color="auto" w:fill="FFFFFF"/>
        </w:rPr>
        <w:t>5</w:t>
      </w:r>
      <w:r w:rsidRPr="00DC77F3">
        <w:rPr>
          <w:shd w:val="clear" w:color="auto" w:fill="FFFFFF"/>
        </w:rPr>
        <w:t>.</w:t>
      </w:r>
    </w:p>
    <w:p w14:paraId="306793E6" w14:textId="476F8FE6" w:rsidR="0000784D" w:rsidRPr="006B52B5" w:rsidRDefault="006B52B5" w:rsidP="00800E2D">
      <w:pPr>
        <w:pStyle w:val="ListParagraph"/>
        <w:numPr>
          <w:ilvl w:val="0"/>
          <w:numId w:val="21"/>
        </w:numPr>
        <w:rPr>
          <w:shd w:val="clear" w:color="auto" w:fill="FFFFFF"/>
        </w:rPr>
      </w:pPr>
      <w:r w:rsidRPr="006B52B5">
        <w:rPr>
          <w:shd w:val="clear" w:color="auto" w:fill="FFFFFF"/>
        </w:rPr>
        <w:lastRenderedPageBreak/>
        <w:t>Zhou S, Zhang K, Atala A, et al. Stem Cell Therapy for Treatment of Stress Urinary Incontinence: The Current Status and Challenges. </w:t>
      </w:r>
      <w:r w:rsidRPr="006B52B5">
        <w:rPr>
          <w:i/>
          <w:iCs/>
          <w:shd w:val="clear" w:color="auto" w:fill="FFFFFF"/>
        </w:rPr>
        <w:t>Stem Cells Int</w:t>
      </w:r>
      <w:r w:rsidRPr="006B52B5">
        <w:rPr>
          <w:shd w:val="clear" w:color="auto" w:fill="FFFFFF"/>
        </w:rPr>
        <w:t xml:space="preserve">. </w:t>
      </w:r>
      <w:proofErr w:type="gramStart"/>
      <w:r w:rsidRPr="006B52B5">
        <w:rPr>
          <w:shd w:val="clear" w:color="auto" w:fill="FFFFFF"/>
        </w:rPr>
        <w:t>2016;2016:7060975</w:t>
      </w:r>
      <w:proofErr w:type="gramEnd"/>
      <w:r w:rsidRPr="006B52B5">
        <w:rPr>
          <w:shd w:val="clear" w:color="auto" w:fill="FFFFFF"/>
        </w:rPr>
        <w:t>. doi:10.1155/2016/7060975</w:t>
      </w:r>
    </w:p>
    <w:p w14:paraId="10A1BC4B" w14:textId="32E1AC12" w:rsidR="0035626B" w:rsidRPr="00DC77F3" w:rsidRDefault="006B52B5" w:rsidP="00D26B81">
      <w:pPr>
        <w:pStyle w:val="ListParagraph"/>
        <w:numPr>
          <w:ilvl w:val="0"/>
          <w:numId w:val="21"/>
        </w:numPr>
        <w:rPr>
          <w:i/>
          <w:shd w:val="clear" w:color="auto" w:fill="FFFFFF"/>
        </w:rPr>
      </w:pPr>
      <w:r>
        <w:rPr>
          <w:shd w:val="clear" w:color="auto" w:fill="FFFFFF"/>
        </w:rPr>
        <w:t xml:space="preserve">Chung </w:t>
      </w:r>
      <w:r w:rsidRPr="006B52B5">
        <w:rPr>
          <w:shd w:val="clear" w:color="auto" w:fill="FFFFFF"/>
        </w:rPr>
        <w:t xml:space="preserve">E, Lee D, Gani J, et al. Position statement: a clinical approach to the management of </w:t>
      </w:r>
      <w:r w:rsidRPr="00DC77F3">
        <w:rPr>
          <w:shd w:val="clear" w:color="auto" w:fill="FFFFFF"/>
        </w:rPr>
        <w:t xml:space="preserve">adult non-neurogenic overactive bladder. </w:t>
      </w:r>
      <w:r w:rsidRPr="00DC77F3">
        <w:rPr>
          <w:i/>
          <w:shd w:val="clear" w:color="auto" w:fill="FFFFFF"/>
        </w:rPr>
        <w:t>Med J Aust</w:t>
      </w:r>
      <w:r w:rsidRPr="00DC77F3">
        <w:rPr>
          <w:shd w:val="clear" w:color="auto" w:fill="FFFFFF"/>
        </w:rPr>
        <w:t>. 2018;208(1):41 to 45. doi:10.5694/mja16.01097</w:t>
      </w:r>
    </w:p>
    <w:p w14:paraId="27C145A4" w14:textId="2D86FCC7" w:rsidR="0064446E" w:rsidRPr="00DC77F3" w:rsidRDefault="006B52B5" w:rsidP="00107069">
      <w:pPr>
        <w:pStyle w:val="ListParagraph"/>
        <w:numPr>
          <w:ilvl w:val="0"/>
          <w:numId w:val="21"/>
        </w:numPr>
      </w:pPr>
      <w:r w:rsidRPr="00DC77F3">
        <w:rPr>
          <w:shd w:val="clear" w:color="auto" w:fill="FFFFFF"/>
        </w:rPr>
        <w:t xml:space="preserve">Lightner </w:t>
      </w:r>
      <w:r w:rsidRPr="00DC77F3">
        <w:t xml:space="preserve">DJ, Gomelsky A, Souter L, Vasavada SP. Diagnosis and Treatment of Overactive Bladder (Non-Neurogenic) in Adults: AUA/SUFU Guideline amendment 2019. </w:t>
      </w:r>
      <w:r w:rsidRPr="00DC77F3">
        <w:rPr>
          <w:i/>
        </w:rPr>
        <w:t xml:space="preserve">J Urol. </w:t>
      </w:r>
      <w:proofErr w:type="gramStart"/>
      <w:r w:rsidRPr="00DC77F3">
        <w:rPr>
          <w:iCs/>
        </w:rPr>
        <w:t>2019;202:558</w:t>
      </w:r>
      <w:proofErr w:type="gramEnd"/>
      <w:r w:rsidRPr="00DC77F3">
        <w:rPr>
          <w:iCs/>
        </w:rPr>
        <w:t xml:space="preserve"> to 563</w:t>
      </w:r>
      <w:r w:rsidRPr="00DC77F3">
        <w:rPr>
          <w:i/>
        </w:rPr>
        <w:t xml:space="preserve">. </w:t>
      </w:r>
      <w:r w:rsidRPr="00DC77F3">
        <w:t>doi:10.1097/JU.0000000000000309</w:t>
      </w:r>
    </w:p>
    <w:p w14:paraId="3C99677D" w14:textId="1849B45D" w:rsidR="009339C5" w:rsidRPr="00DC77F3" w:rsidRDefault="009339C5" w:rsidP="0046172C">
      <w:pPr>
        <w:pStyle w:val="ListParagraph"/>
        <w:numPr>
          <w:ilvl w:val="0"/>
          <w:numId w:val="21"/>
        </w:numPr>
      </w:pPr>
      <w:proofErr w:type="spellStart"/>
      <w:r w:rsidRPr="00DC77F3">
        <w:t>Lukacz</w:t>
      </w:r>
      <w:proofErr w:type="spellEnd"/>
      <w:r w:rsidRPr="00DC77F3">
        <w:t xml:space="preserve"> ES. </w:t>
      </w:r>
      <w:r w:rsidR="00695562" w:rsidRPr="00DC77F3">
        <w:t>U</w:t>
      </w:r>
      <w:r w:rsidRPr="00DC77F3">
        <w:t xml:space="preserve">rgency </w:t>
      </w:r>
      <w:r w:rsidR="00695562" w:rsidRPr="00DC77F3">
        <w:t xml:space="preserve">urinary </w:t>
      </w:r>
      <w:r w:rsidRPr="00DC77F3">
        <w:t xml:space="preserve">incontinence/overactive bladder </w:t>
      </w:r>
      <w:r w:rsidR="00695562" w:rsidRPr="00DC77F3">
        <w:t xml:space="preserve">(OAB) </w:t>
      </w:r>
      <w:r w:rsidRPr="00DC77F3">
        <w:t xml:space="preserve">in </w:t>
      </w:r>
      <w:r w:rsidR="00695562" w:rsidRPr="00DC77F3">
        <w:t>females</w:t>
      </w:r>
      <w:r w:rsidR="00E54A83" w:rsidRPr="00DC77F3">
        <w:t>: Treatment</w:t>
      </w:r>
      <w:r w:rsidR="00695562" w:rsidRPr="00DC77F3">
        <w:t xml:space="preserve">. </w:t>
      </w:r>
      <w:r w:rsidRPr="00DC77F3">
        <w:t xml:space="preserve">UpToDate. </w:t>
      </w:r>
      <w:hyperlink r:id="rId22" w:history="1">
        <w:r w:rsidR="00695562" w:rsidRPr="00DC77F3">
          <w:rPr>
            <w:rStyle w:val="Hyperlink"/>
          </w:rPr>
          <w:t>www.uptodate.com</w:t>
        </w:r>
      </w:hyperlink>
      <w:r w:rsidR="00695562" w:rsidRPr="00DC77F3">
        <w:t xml:space="preserve">. </w:t>
      </w:r>
      <w:r w:rsidR="00E54A83" w:rsidRPr="00DC77F3">
        <w:t>P</w:t>
      </w:r>
      <w:r w:rsidR="00695562" w:rsidRPr="00DC77F3">
        <w:t xml:space="preserve">ublished </w:t>
      </w:r>
      <w:r w:rsidR="0049553F">
        <w:t>August 27</w:t>
      </w:r>
      <w:r w:rsidR="004804C3" w:rsidRPr="00DC77F3">
        <w:t>, 202</w:t>
      </w:r>
      <w:r w:rsidR="0049553F">
        <w:t>5</w:t>
      </w:r>
      <w:r w:rsidR="00695562" w:rsidRPr="00DC77F3">
        <w:t xml:space="preserve">. </w:t>
      </w:r>
      <w:r w:rsidR="0046172C" w:rsidRPr="00DC77F3">
        <w:t xml:space="preserve">Accessed </w:t>
      </w:r>
      <w:r w:rsidR="0049553F">
        <w:t>September</w:t>
      </w:r>
      <w:r w:rsidR="0049553F" w:rsidRPr="00DC77F3">
        <w:t xml:space="preserve"> </w:t>
      </w:r>
      <w:r w:rsidR="00C2568A">
        <w:t>23</w:t>
      </w:r>
      <w:r w:rsidR="004804C3" w:rsidRPr="00DC77F3">
        <w:t>, 202</w:t>
      </w:r>
      <w:r w:rsidR="00C2568A">
        <w:t>5</w:t>
      </w:r>
      <w:r w:rsidR="00DC5299" w:rsidRPr="00DC77F3">
        <w:t>.</w:t>
      </w:r>
      <w:r w:rsidR="00870AA7" w:rsidRPr="00DC77F3">
        <w:t xml:space="preserve"> </w:t>
      </w:r>
    </w:p>
    <w:p w14:paraId="6424081D" w14:textId="15E9F6B8" w:rsidR="00107069" w:rsidRPr="00DC77F3" w:rsidRDefault="002070F8" w:rsidP="00F5719E">
      <w:pPr>
        <w:pStyle w:val="ListParagraph"/>
        <w:numPr>
          <w:ilvl w:val="0"/>
          <w:numId w:val="21"/>
        </w:numPr>
      </w:pPr>
      <w:r w:rsidRPr="00DC77F3">
        <w:t xml:space="preserve">American College of Obstetricians and Gynecologists. Evaluation of Uncomplicated Stress Urinary Incontinence in Women Before Surgical Treatment. No. 603. </w:t>
      </w:r>
      <w:hyperlink r:id="rId23" w:history="1">
        <w:r w:rsidRPr="00DC77F3">
          <w:rPr>
            <w:rStyle w:val="Hyperlink"/>
          </w:rPr>
          <w:t>https://www.acog.org/clinical/clinical-guidance/committee-opinion/articles/2014/06/evaluation-of-uncomplicated-stress-urinary-incontinence-in-women-before-surgical-treatment</w:t>
        </w:r>
      </w:hyperlink>
      <w:r w:rsidRPr="00DC77F3">
        <w:t>. Published June 2014 (reaffirmed 202</w:t>
      </w:r>
      <w:r w:rsidR="008451B9" w:rsidRPr="00DC77F3">
        <w:t>4</w:t>
      </w:r>
      <w:r w:rsidRPr="00DC77F3">
        <w:t xml:space="preserve">). Accessed </w:t>
      </w:r>
      <w:r w:rsidR="00413638">
        <w:t>September 18</w:t>
      </w:r>
      <w:r w:rsidRPr="00DC77F3">
        <w:t>, 202</w:t>
      </w:r>
      <w:r w:rsidR="00413638">
        <w:t>5</w:t>
      </w:r>
      <w:r w:rsidRPr="00DC77F3">
        <w:t>.</w:t>
      </w:r>
    </w:p>
    <w:p w14:paraId="7C53A901" w14:textId="204F17EB" w:rsidR="006708F2" w:rsidRPr="00DC77F3" w:rsidRDefault="006B52B5" w:rsidP="00107069">
      <w:pPr>
        <w:pStyle w:val="ListParagraph"/>
        <w:numPr>
          <w:ilvl w:val="0"/>
          <w:numId w:val="21"/>
        </w:numPr>
      </w:pPr>
      <w:r w:rsidRPr="00DC77F3">
        <w:t xml:space="preserve">American College of Obstetricians and Gynecologists. Urinary Incontinence in Women. Practice Bulletin. No. 155. </w:t>
      </w:r>
      <w:hyperlink r:id="rId24" w:history="1">
        <w:r w:rsidRPr="00DC77F3">
          <w:rPr>
            <w:rStyle w:val="Hyperlink"/>
          </w:rPr>
          <w:t>https://www.acog.org/clinical/clinical-guidance/practice-bulletin/articles/2015/11/urinary-incontinence-in-women</w:t>
        </w:r>
      </w:hyperlink>
      <w:r w:rsidRPr="00DC77F3">
        <w:t>. Published November 2015 (reaffirmed 202</w:t>
      </w:r>
      <w:r w:rsidR="00C8495B">
        <w:t>5</w:t>
      </w:r>
      <w:r w:rsidRPr="00DC77F3">
        <w:t xml:space="preserve">). Accessed </w:t>
      </w:r>
      <w:proofErr w:type="gramStart"/>
      <w:r w:rsidR="00C8495B">
        <w:t>September</w:t>
      </w:r>
      <w:r w:rsidR="00B255EC" w:rsidRPr="00DC77F3">
        <w:t>,</w:t>
      </w:r>
      <w:proofErr w:type="gramEnd"/>
      <w:r w:rsidR="00B255EC" w:rsidRPr="00DC77F3">
        <w:t xml:space="preserve"> 202</w:t>
      </w:r>
      <w:r w:rsidR="00C8495B">
        <w:t>5</w:t>
      </w:r>
      <w:r w:rsidRPr="00DC77F3">
        <w:t>.</w:t>
      </w:r>
    </w:p>
    <w:p w14:paraId="34E96DA5" w14:textId="3407E1F4" w:rsidR="0000784D" w:rsidRPr="00DC77F3" w:rsidRDefault="0000784D" w:rsidP="00107069">
      <w:pPr>
        <w:pStyle w:val="ListParagraph"/>
        <w:numPr>
          <w:ilvl w:val="0"/>
          <w:numId w:val="21"/>
        </w:numPr>
      </w:pPr>
      <w:r w:rsidRPr="00DC77F3">
        <w:t xml:space="preserve">National </w:t>
      </w:r>
      <w:r w:rsidRPr="00DC77F3">
        <w:rPr>
          <w:lang w:val="en"/>
        </w:rPr>
        <w:t xml:space="preserve">Institute for </w:t>
      </w:r>
      <w:r w:rsidR="006C700E" w:rsidRPr="00DC77F3">
        <w:rPr>
          <w:lang w:val="en"/>
        </w:rPr>
        <w:t>Health and Care Excellence</w:t>
      </w:r>
      <w:r w:rsidRPr="00DC77F3">
        <w:rPr>
          <w:lang w:val="en"/>
        </w:rPr>
        <w:t>. Sacral nerve stimulation for urge incontinence and urgency-frequency</w:t>
      </w:r>
      <w:r w:rsidR="00431020" w:rsidRPr="00DC77F3">
        <w:rPr>
          <w:lang w:val="en"/>
        </w:rPr>
        <w:t xml:space="preserve"> -</w:t>
      </w:r>
      <w:r w:rsidR="00431020" w:rsidRPr="00DC77F3">
        <w:t xml:space="preserve"> </w:t>
      </w:r>
      <w:r w:rsidR="00431020" w:rsidRPr="00DC77F3">
        <w:rPr>
          <w:lang w:val="en"/>
        </w:rPr>
        <w:t>Interventional procedures guidance [IPG64].</w:t>
      </w:r>
      <w:r w:rsidR="00917820" w:rsidRPr="00DC77F3">
        <w:rPr>
          <w:lang w:val="en"/>
        </w:rPr>
        <w:t xml:space="preserve"> </w:t>
      </w:r>
      <w:hyperlink r:id="rId25" w:history="1">
        <w:r w:rsidR="006F4A83" w:rsidRPr="00DC77F3">
          <w:rPr>
            <w:rStyle w:val="Hyperlink"/>
            <w:lang w:val="en"/>
          </w:rPr>
          <w:t>https://www.nice.org.uk/guidance/ipg64</w:t>
        </w:r>
      </w:hyperlink>
      <w:r w:rsidR="006F4A83" w:rsidRPr="00DC77F3">
        <w:rPr>
          <w:lang w:val="en"/>
        </w:rPr>
        <w:t xml:space="preserve">. </w:t>
      </w:r>
      <w:r w:rsidR="00917820" w:rsidRPr="00DC77F3">
        <w:rPr>
          <w:lang w:val="en"/>
        </w:rPr>
        <w:t>Published</w:t>
      </w:r>
      <w:r w:rsidRPr="00DC77F3">
        <w:rPr>
          <w:lang w:val="en"/>
        </w:rPr>
        <w:t xml:space="preserve"> June </w:t>
      </w:r>
      <w:r w:rsidR="00E934D6" w:rsidRPr="00DC77F3">
        <w:rPr>
          <w:lang w:val="en"/>
        </w:rPr>
        <w:t xml:space="preserve">23, </w:t>
      </w:r>
      <w:r w:rsidRPr="00DC77F3">
        <w:rPr>
          <w:lang w:val="en"/>
        </w:rPr>
        <w:t xml:space="preserve">2004. </w:t>
      </w:r>
      <w:r w:rsidR="00C34683">
        <w:rPr>
          <w:lang w:val="en"/>
        </w:rPr>
        <w:t xml:space="preserve">Updated January 2012. </w:t>
      </w:r>
      <w:r w:rsidR="00E934D6" w:rsidRPr="00DC77F3">
        <w:rPr>
          <w:lang w:val="en"/>
        </w:rPr>
        <w:t xml:space="preserve">Accessed </w:t>
      </w:r>
      <w:r w:rsidR="00C34683">
        <w:rPr>
          <w:lang w:val="en"/>
        </w:rPr>
        <w:t>September 24</w:t>
      </w:r>
      <w:r w:rsidR="00D305FA" w:rsidRPr="00DC77F3">
        <w:rPr>
          <w:lang w:val="en"/>
        </w:rPr>
        <w:t>, 202</w:t>
      </w:r>
      <w:r w:rsidR="00C34683">
        <w:rPr>
          <w:lang w:val="en"/>
        </w:rPr>
        <w:t>5</w:t>
      </w:r>
      <w:r w:rsidR="009C303F" w:rsidRPr="00DC77F3">
        <w:rPr>
          <w:lang w:val="en"/>
        </w:rPr>
        <w:t>.</w:t>
      </w:r>
      <w:r w:rsidR="00AA481E" w:rsidRPr="00DC77F3">
        <w:rPr>
          <w:lang w:val="en"/>
        </w:rPr>
        <w:t xml:space="preserve"> </w:t>
      </w:r>
    </w:p>
    <w:p w14:paraId="7A202223" w14:textId="35AF17A8" w:rsidR="00554E5E" w:rsidRPr="00F5719E" w:rsidRDefault="00895B22" w:rsidP="00D80F55">
      <w:pPr>
        <w:pStyle w:val="ListParagraph"/>
        <w:numPr>
          <w:ilvl w:val="0"/>
          <w:numId w:val="21"/>
        </w:numPr>
        <w:tabs>
          <w:tab w:val="left" w:pos="360"/>
        </w:tabs>
      </w:pPr>
      <w:r w:rsidRPr="00F5719E">
        <w:t xml:space="preserve">Siegel S, Noblett K, Mangel J, et al. Results of a prospective, randomized multicenter study evaluating sacral neuromodulation with </w:t>
      </w:r>
      <w:proofErr w:type="spellStart"/>
      <w:r w:rsidRPr="00F5719E">
        <w:t>InterStim</w:t>
      </w:r>
      <w:proofErr w:type="spellEnd"/>
      <w:r w:rsidRPr="00F5719E">
        <w:t xml:space="preserve"> therapy compared to standard medical therapy at 6-months in subjects with mild symptoms of overactive bladder. </w:t>
      </w:r>
      <w:r w:rsidRPr="00F5719E">
        <w:rPr>
          <w:i/>
        </w:rPr>
        <w:t xml:space="preserve">Neurol </w:t>
      </w:r>
      <w:proofErr w:type="spellStart"/>
      <w:r w:rsidRPr="00F5719E">
        <w:rPr>
          <w:i/>
        </w:rPr>
        <w:t>Urodyn</w:t>
      </w:r>
      <w:proofErr w:type="spellEnd"/>
      <w:r w:rsidRPr="00F5719E">
        <w:rPr>
          <w:i/>
        </w:rPr>
        <w:t>.</w:t>
      </w:r>
      <w:r w:rsidRPr="00F5719E">
        <w:t xml:space="preserve"> 2015;34(3):224</w:t>
      </w:r>
      <w:r w:rsidR="00F37240" w:rsidRPr="00F5719E">
        <w:t xml:space="preserve"> to </w:t>
      </w:r>
      <w:r w:rsidR="00D80F55" w:rsidRPr="00F5719E">
        <w:t>2</w:t>
      </w:r>
      <w:r w:rsidRPr="00F5719E">
        <w:t xml:space="preserve">30. </w:t>
      </w:r>
      <w:r w:rsidR="00D80F55" w:rsidRPr="00F5719E">
        <w:t>doi:10.1002/nau.22544</w:t>
      </w:r>
      <w:r w:rsidR="009B4C92" w:rsidRPr="00F5719E">
        <w:t xml:space="preserve"> </w:t>
      </w:r>
    </w:p>
    <w:p w14:paraId="3DCA98B1" w14:textId="686CEC52" w:rsidR="00C7571E" w:rsidRPr="00F5719E" w:rsidRDefault="00C7571E" w:rsidP="00D80F55">
      <w:pPr>
        <w:pStyle w:val="ListParagraph"/>
        <w:numPr>
          <w:ilvl w:val="0"/>
          <w:numId w:val="21"/>
        </w:numPr>
        <w:tabs>
          <w:tab w:val="left" w:pos="360"/>
        </w:tabs>
      </w:pPr>
      <w:proofErr w:type="spellStart"/>
      <w:r w:rsidRPr="00F5719E">
        <w:t>Kirchin</w:t>
      </w:r>
      <w:proofErr w:type="spellEnd"/>
      <w:r w:rsidRPr="00F5719E">
        <w:t xml:space="preserve"> V, Page T, Keegan PE, et al. Urethral injection therapy for urinary incontinence in women.</w:t>
      </w:r>
      <w:r w:rsidR="00D80F55" w:rsidRPr="00F5719E">
        <w:t xml:space="preserve"> </w:t>
      </w:r>
      <w:r w:rsidRPr="00F5719E">
        <w:rPr>
          <w:i/>
        </w:rPr>
        <w:t>Cochrane Database Syst Rev</w:t>
      </w:r>
      <w:r w:rsidRPr="00F5719E">
        <w:t xml:space="preserve">. </w:t>
      </w:r>
      <w:r w:rsidR="00A734ED" w:rsidRPr="00F5719E">
        <w:t>2017;7</w:t>
      </w:r>
      <w:r w:rsidR="00EA2BE1" w:rsidRPr="00F5719E">
        <w:t xml:space="preserve">(7):CD003881. </w:t>
      </w:r>
      <w:r w:rsidR="00D80F55" w:rsidRPr="00F5719E">
        <w:t xml:space="preserve">Published </w:t>
      </w:r>
      <w:r w:rsidRPr="00F5719E">
        <w:t>2017 Jul 25</w:t>
      </w:r>
      <w:r w:rsidR="00D80F55" w:rsidRPr="00F5719E">
        <w:t xml:space="preserve">. </w:t>
      </w:r>
      <w:proofErr w:type="gramStart"/>
      <w:r w:rsidR="00D80F55" w:rsidRPr="00F5719E">
        <w:t>doi:10.1002/14651858.</w:t>
      </w:r>
      <w:r w:rsidRPr="00F5719E">
        <w:t>CD003881.pub4</w:t>
      </w:r>
      <w:proofErr w:type="gramEnd"/>
      <w:r w:rsidR="00EA2BE1" w:rsidRPr="00F5719E">
        <w:rPr>
          <w:rFonts w:ascii="Segoe UI" w:hAnsi="Segoe UI" w:cs="Segoe UI"/>
          <w:shd w:val="clear" w:color="auto" w:fill="FFFFFF"/>
        </w:rPr>
        <w:t xml:space="preserve"> </w:t>
      </w:r>
    </w:p>
    <w:p w14:paraId="203EDBB2" w14:textId="40757401" w:rsidR="00657E7B" w:rsidRPr="00172878" w:rsidRDefault="00C7571E" w:rsidP="006708F2">
      <w:pPr>
        <w:pStyle w:val="ListParagraph"/>
        <w:numPr>
          <w:ilvl w:val="0"/>
          <w:numId w:val="21"/>
        </w:numPr>
        <w:tabs>
          <w:tab w:val="left" w:pos="360"/>
        </w:tabs>
        <w:rPr>
          <w:b/>
          <w:bCs/>
          <w:u w:val="single"/>
        </w:rPr>
      </w:pPr>
      <w:r w:rsidRPr="00F5719E">
        <w:t xml:space="preserve">Siddiqui ZA, </w:t>
      </w:r>
      <w:proofErr w:type="spellStart"/>
      <w:r w:rsidRPr="00F5719E">
        <w:t>Abboudi</w:t>
      </w:r>
      <w:proofErr w:type="spellEnd"/>
      <w:r w:rsidRPr="00F5719E">
        <w:t xml:space="preserve"> H, Crawford R, Shah S. Intraurethral bulking agents for the    management of female stress urinary incontinence: a systematic review. </w:t>
      </w:r>
      <w:r w:rsidRPr="00F5719E">
        <w:rPr>
          <w:i/>
        </w:rPr>
        <w:t xml:space="preserve">Int </w:t>
      </w:r>
      <w:proofErr w:type="spellStart"/>
      <w:r w:rsidRPr="00F5719E">
        <w:rPr>
          <w:i/>
        </w:rPr>
        <w:t>Urogynecol</w:t>
      </w:r>
      <w:proofErr w:type="spellEnd"/>
      <w:r w:rsidRPr="00F5719E">
        <w:rPr>
          <w:i/>
        </w:rPr>
        <w:t xml:space="preserve"> J.</w:t>
      </w:r>
      <w:r w:rsidRPr="00F5719E">
        <w:t xml:space="preserve"> 2017;28(9):1275</w:t>
      </w:r>
      <w:r w:rsidR="00F37240" w:rsidRPr="00F5719E">
        <w:t xml:space="preserve"> to </w:t>
      </w:r>
      <w:r w:rsidRPr="00F5719E">
        <w:t>1284. doi:10.1007/s00192-017-3278-7</w:t>
      </w:r>
      <w:r w:rsidR="00207937" w:rsidRPr="00F5719E">
        <w:t xml:space="preserve"> </w:t>
      </w:r>
      <w:bookmarkStart w:id="3" w:name="Important_Reminder"/>
    </w:p>
    <w:p w14:paraId="40292EC9" w14:textId="6FE78097" w:rsidR="00B35F16" w:rsidRPr="00172878" w:rsidRDefault="00B35F16" w:rsidP="006708F2">
      <w:pPr>
        <w:pStyle w:val="ListParagraph"/>
        <w:numPr>
          <w:ilvl w:val="0"/>
          <w:numId w:val="21"/>
        </w:numPr>
        <w:tabs>
          <w:tab w:val="left" w:pos="360"/>
        </w:tabs>
        <w:rPr>
          <w:b/>
          <w:bCs/>
          <w:u w:val="single"/>
        </w:rPr>
      </w:pPr>
      <w:r w:rsidRPr="005E6451">
        <w:t xml:space="preserve">U.S. Food and Drug Administration. </w:t>
      </w:r>
      <w:proofErr w:type="spellStart"/>
      <w:r w:rsidR="00CE2505" w:rsidRPr="005E6451">
        <w:t>Durasphere</w:t>
      </w:r>
      <w:proofErr w:type="spellEnd"/>
      <w:r w:rsidR="00CE2505" w:rsidRPr="005E6451">
        <w:t xml:space="preserve"> </w:t>
      </w:r>
      <w:r w:rsidR="00523E82" w:rsidRPr="005E6451">
        <w:t>Injectable Bulking Agent -</w:t>
      </w:r>
      <w:r w:rsidR="00764B19" w:rsidRPr="005E6451">
        <w:t xml:space="preserve"> </w:t>
      </w:r>
      <w:r w:rsidR="00523E82" w:rsidRPr="005E6451">
        <w:t>P98</w:t>
      </w:r>
      <w:r w:rsidR="004C3EA6" w:rsidRPr="005E6451">
        <w:t xml:space="preserve">0053. </w:t>
      </w:r>
      <w:r w:rsidR="00764B19" w:rsidRPr="005E6451">
        <w:t xml:space="preserve">Summary of Safety and Effectiveness Data. </w:t>
      </w:r>
      <w:hyperlink r:id="rId26" w:history="1">
        <w:r w:rsidR="004C3EA6" w:rsidRPr="005E6451">
          <w:rPr>
            <w:rStyle w:val="Hyperlink"/>
          </w:rPr>
          <w:t>https://www.accessdata.fda.gov/cdrh_docs/pdf/P980053b.pdf</w:t>
        </w:r>
      </w:hyperlink>
      <w:r w:rsidR="004C3EA6" w:rsidRPr="005E6451">
        <w:t xml:space="preserve">. Published September </w:t>
      </w:r>
      <w:r w:rsidR="00764B19" w:rsidRPr="005E6451">
        <w:t xml:space="preserve">13, 1999. Accessed </w:t>
      </w:r>
      <w:r w:rsidR="00790568">
        <w:t>September 19</w:t>
      </w:r>
      <w:r w:rsidR="00764B19" w:rsidRPr="005E6451">
        <w:t>, 202</w:t>
      </w:r>
      <w:r w:rsidR="00205DDD">
        <w:t>5</w:t>
      </w:r>
      <w:r w:rsidR="00764B19" w:rsidRPr="005E6451">
        <w:t xml:space="preserve">. </w:t>
      </w:r>
    </w:p>
    <w:p w14:paraId="5A0D964B" w14:textId="4FDB32B3" w:rsidR="00764B19" w:rsidRPr="005E6451" w:rsidRDefault="00664EFB" w:rsidP="006708F2">
      <w:pPr>
        <w:pStyle w:val="ListParagraph"/>
        <w:numPr>
          <w:ilvl w:val="0"/>
          <w:numId w:val="21"/>
        </w:numPr>
        <w:tabs>
          <w:tab w:val="left" w:pos="360"/>
        </w:tabs>
      </w:pPr>
      <w:r w:rsidRPr="00172878">
        <w:t xml:space="preserve">U.S. Food and Drug Administration. </w:t>
      </w:r>
      <w:proofErr w:type="spellStart"/>
      <w:r w:rsidRPr="00172878">
        <w:t>Macroplastique</w:t>
      </w:r>
      <w:proofErr w:type="spellEnd"/>
      <w:r w:rsidRPr="00172878">
        <w:t xml:space="preserve"> Implants</w:t>
      </w:r>
      <w:r w:rsidRPr="005E6451">
        <w:t xml:space="preserve"> - </w:t>
      </w:r>
      <w:proofErr w:type="spellStart"/>
      <w:r w:rsidR="0041767C" w:rsidRPr="005E6451">
        <w:t>P040050</w:t>
      </w:r>
      <w:proofErr w:type="spellEnd"/>
      <w:r w:rsidR="0041767C" w:rsidRPr="005E6451">
        <w:t xml:space="preserve">. </w:t>
      </w:r>
      <w:hyperlink r:id="rId27" w:history="1">
        <w:r w:rsidR="0041767C" w:rsidRPr="005E6451">
          <w:rPr>
            <w:rStyle w:val="Hyperlink"/>
          </w:rPr>
          <w:t>https://www.accessdata.fda.gov/scripts/cdrh/cfdocs/cfpma/pma.cfm?id=P040050</w:t>
        </w:r>
      </w:hyperlink>
      <w:r w:rsidR="0041767C" w:rsidRPr="005E6451">
        <w:t xml:space="preserve">. Published </w:t>
      </w:r>
      <w:r w:rsidR="00B42EF4" w:rsidRPr="005E6451">
        <w:t xml:space="preserve">October 30, 2006. Accessed </w:t>
      </w:r>
      <w:r w:rsidR="00205DDD">
        <w:t>September 19</w:t>
      </w:r>
      <w:r w:rsidR="00B42EF4" w:rsidRPr="005E6451">
        <w:t>, 202</w:t>
      </w:r>
      <w:r w:rsidR="00205DDD">
        <w:t>5</w:t>
      </w:r>
      <w:r w:rsidR="00B42EF4" w:rsidRPr="005E6451">
        <w:t xml:space="preserve">. </w:t>
      </w:r>
    </w:p>
    <w:p w14:paraId="4B370894" w14:textId="0D0BEE89" w:rsidR="00431EE9" w:rsidRPr="00172878" w:rsidRDefault="00B76FEF" w:rsidP="006708F2">
      <w:pPr>
        <w:pStyle w:val="ListParagraph"/>
        <w:numPr>
          <w:ilvl w:val="0"/>
          <w:numId w:val="21"/>
        </w:numPr>
        <w:tabs>
          <w:tab w:val="left" w:pos="360"/>
        </w:tabs>
        <w:rPr>
          <w:b/>
          <w:bCs/>
          <w:u w:val="single"/>
        </w:rPr>
      </w:pPr>
      <w:r w:rsidRPr="005E6451">
        <w:t>U.S. Food and Drug Administration.</w:t>
      </w:r>
      <w:r w:rsidR="00431EE9" w:rsidRPr="005E6451">
        <w:t xml:space="preserve"> </w:t>
      </w:r>
      <w:proofErr w:type="spellStart"/>
      <w:r w:rsidR="00431EE9" w:rsidRPr="005E6451">
        <w:t>Coaptite</w:t>
      </w:r>
      <w:proofErr w:type="spellEnd"/>
      <w:r w:rsidR="00F15E9E" w:rsidRPr="005E6451">
        <w:t xml:space="preserve"> – </w:t>
      </w:r>
      <w:proofErr w:type="spellStart"/>
      <w:r w:rsidR="00F15E9E" w:rsidRPr="005E6451">
        <w:t>P040047</w:t>
      </w:r>
      <w:proofErr w:type="spellEnd"/>
      <w:r w:rsidR="00F15E9E" w:rsidRPr="005E6451">
        <w:t>.</w:t>
      </w:r>
      <w:r w:rsidR="007760B3" w:rsidRPr="005E6451">
        <w:t xml:space="preserve"> Summary of Safety and Effectiveness Data.</w:t>
      </w:r>
      <w:r w:rsidR="00431EE9" w:rsidRPr="005E6451">
        <w:t xml:space="preserve"> </w:t>
      </w:r>
      <w:hyperlink r:id="rId28" w:history="1">
        <w:r w:rsidR="004031FC" w:rsidRPr="005E6451">
          <w:rPr>
            <w:rStyle w:val="Hyperlink"/>
          </w:rPr>
          <w:t>https://www.accessdata.fda.gov/cdrh_docs/pdf4/p040047b.pdf</w:t>
        </w:r>
      </w:hyperlink>
      <w:r w:rsidR="006832FE" w:rsidRPr="005E6451">
        <w:t>. Published November 10, 20</w:t>
      </w:r>
      <w:r w:rsidR="00B37419">
        <w:t>0</w:t>
      </w:r>
      <w:r w:rsidR="006832FE" w:rsidRPr="005E6451">
        <w:t xml:space="preserve">5. Accessed </w:t>
      </w:r>
      <w:r w:rsidR="006C44B8">
        <w:t>September 19</w:t>
      </w:r>
      <w:r w:rsidR="006832FE" w:rsidRPr="005E6451">
        <w:t>, 202</w:t>
      </w:r>
      <w:r w:rsidR="006C44B8">
        <w:t>5</w:t>
      </w:r>
      <w:r w:rsidR="006832FE" w:rsidRPr="005E6451">
        <w:t xml:space="preserve">. </w:t>
      </w:r>
    </w:p>
    <w:p w14:paraId="451312F3" w14:textId="46DF0638" w:rsidR="007760B3" w:rsidRPr="00172878" w:rsidRDefault="007003BD" w:rsidP="006708F2">
      <w:pPr>
        <w:pStyle w:val="ListParagraph"/>
        <w:numPr>
          <w:ilvl w:val="0"/>
          <w:numId w:val="21"/>
        </w:numPr>
        <w:tabs>
          <w:tab w:val="left" w:pos="360"/>
        </w:tabs>
      </w:pPr>
      <w:r w:rsidRPr="00172878">
        <w:lastRenderedPageBreak/>
        <w:t xml:space="preserve">U.S. Food and Drug Administration. </w:t>
      </w:r>
      <w:proofErr w:type="spellStart"/>
      <w:r w:rsidRPr="005E6451">
        <w:t>Bulkamid</w:t>
      </w:r>
      <w:proofErr w:type="spellEnd"/>
      <w:r w:rsidR="00CD2DE4" w:rsidRPr="005E6451">
        <w:t xml:space="preserve"> Urethral Bulking System - P170023. </w:t>
      </w:r>
      <w:hyperlink r:id="rId29" w:history="1">
        <w:r w:rsidR="00EF613F" w:rsidRPr="005E6451">
          <w:rPr>
            <w:rStyle w:val="Hyperlink"/>
          </w:rPr>
          <w:t>https://www.accessdata.fda.gov/scripts/cdrh/cfdocs/cfpma/pma.cfm?id=P170023</w:t>
        </w:r>
      </w:hyperlink>
      <w:r w:rsidR="00EF613F" w:rsidRPr="005E6451">
        <w:t xml:space="preserve">. Published January 28, 2020. Accessed </w:t>
      </w:r>
      <w:r w:rsidR="005A0076">
        <w:t>September</w:t>
      </w:r>
      <w:r w:rsidR="00B37419">
        <w:t xml:space="preserve"> 19</w:t>
      </w:r>
      <w:r w:rsidR="00EF613F" w:rsidRPr="005E6451">
        <w:t>, 202</w:t>
      </w:r>
      <w:r w:rsidR="00B37419">
        <w:t>5</w:t>
      </w:r>
      <w:r w:rsidR="00EF613F" w:rsidRPr="005E6451">
        <w:t xml:space="preserve">.   </w:t>
      </w:r>
    </w:p>
    <w:p w14:paraId="1BA1ADB6" w14:textId="2F0D13FE" w:rsidR="00992A3D" w:rsidRPr="00172878" w:rsidRDefault="00992A3D" w:rsidP="006708F2">
      <w:pPr>
        <w:pStyle w:val="ListParagraph"/>
        <w:numPr>
          <w:ilvl w:val="0"/>
          <w:numId w:val="21"/>
        </w:numPr>
        <w:tabs>
          <w:tab w:val="left" w:pos="360"/>
        </w:tabs>
      </w:pPr>
      <w:r w:rsidRPr="00172878">
        <w:t>Sikora M, Gamper M, Zivanovic I, et al. Current Treatment of Stress Urinary Incontinence by Bulking Agents and Laser Therapy-An Update. </w:t>
      </w:r>
      <w:r w:rsidRPr="00172878">
        <w:rPr>
          <w:i/>
          <w:iCs/>
        </w:rPr>
        <w:t>J Clin Med</w:t>
      </w:r>
      <w:r w:rsidRPr="00172878">
        <w:t>. 2024;13(5):1377. Published 2024 Feb 28. doi:10.3390/jcm13051377</w:t>
      </w:r>
    </w:p>
    <w:p w14:paraId="33AB5904" w14:textId="77777777" w:rsidR="00146590" w:rsidRDefault="00146590" w:rsidP="00146C6E">
      <w:pPr>
        <w:rPr>
          <w:b/>
          <w:bCs/>
          <w:u w:val="single"/>
        </w:rPr>
      </w:pPr>
    </w:p>
    <w:p w14:paraId="5665DF95" w14:textId="51115035" w:rsidR="00436595" w:rsidRPr="00146C6E" w:rsidRDefault="00436595" w:rsidP="00146C6E">
      <w:pPr>
        <w:rPr>
          <w:b/>
          <w:u w:val="single"/>
        </w:rPr>
      </w:pPr>
      <w:r w:rsidRPr="00146C6E">
        <w:rPr>
          <w:b/>
          <w:bCs/>
          <w:u w:val="single"/>
        </w:rPr>
        <w:t>Important Reminder</w:t>
      </w:r>
      <w:bookmarkEnd w:id="3"/>
    </w:p>
    <w:p w14:paraId="1D3F2D73" w14:textId="77777777" w:rsidR="00436595" w:rsidRPr="00146C6E" w:rsidRDefault="00436595" w:rsidP="00146C6E">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1BBF51D9" w14:textId="77777777" w:rsidR="00436595" w:rsidRPr="00146C6E" w:rsidRDefault="00436595" w:rsidP="00146C6E"/>
    <w:p w14:paraId="15B3A6BC" w14:textId="77777777" w:rsidR="00436595" w:rsidRPr="00146C6E" w:rsidRDefault="00436595" w:rsidP="00146C6E">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281036EA" w14:textId="77777777" w:rsidR="00436595" w:rsidRPr="00146C6E" w:rsidRDefault="00436595" w:rsidP="00146C6E"/>
    <w:p w14:paraId="111786D4" w14:textId="77777777" w:rsidR="00436595" w:rsidRPr="00146C6E" w:rsidRDefault="00436595" w:rsidP="00146C6E">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E9C21FF" w14:textId="77777777" w:rsidR="00436595" w:rsidRPr="00146C6E" w:rsidRDefault="00436595" w:rsidP="00146C6E"/>
    <w:p w14:paraId="56D10934" w14:textId="13203729" w:rsidR="00436595" w:rsidRPr="00146C6E" w:rsidRDefault="00436595" w:rsidP="00146C6E">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r w:rsidR="00EF592E">
        <w:t>members/enrollee</w:t>
      </w:r>
      <w:r w:rsidRPr="00146C6E">
        <w:t xml:space="preserve">s.  This clinical policy is not intended to recommend treatment for </w:t>
      </w:r>
      <w:r w:rsidR="00EF592E">
        <w:t>members/enrollee</w:t>
      </w:r>
      <w:r w:rsidRPr="00146C6E">
        <w:t xml:space="preserve">s. </w:t>
      </w:r>
      <w:r w:rsidR="00EF592E">
        <w:t>Members/enrollee</w:t>
      </w:r>
      <w:r w:rsidRPr="00146C6E">
        <w:t xml:space="preserve">s should consult with their treating physician in connection with diagnosis and treatment decisions. </w:t>
      </w:r>
    </w:p>
    <w:p w14:paraId="2C5AFA5E" w14:textId="77777777" w:rsidR="00436595" w:rsidRPr="00146C6E" w:rsidRDefault="00436595" w:rsidP="00146C6E"/>
    <w:p w14:paraId="39439FE5" w14:textId="77777777" w:rsidR="00436595" w:rsidRPr="00146C6E" w:rsidRDefault="00436595" w:rsidP="00146C6E">
      <w:r w:rsidRPr="00146C6E">
        <w:t>Providers referred to in this clinical policy are independent contractors who exercise independent judgment and over whom the Health Plan has no control or right of control.  Providers are not agents or employees of the Health Plan.</w:t>
      </w:r>
    </w:p>
    <w:p w14:paraId="7259F36C" w14:textId="77777777" w:rsidR="00436595" w:rsidRPr="00146C6E" w:rsidRDefault="00436595" w:rsidP="00146C6E"/>
    <w:p w14:paraId="7FDC7143" w14:textId="47BD59BE" w:rsidR="00436595" w:rsidRPr="00146C6E" w:rsidRDefault="00436595" w:rsidP="00146C6E">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EF592E">
        <w:t>members/enrollee</w:t>
      </w:r>
      <w:r w:rsidRPr="00146C6E">
        <w:t xml:space="preserve">s and their representatives are bound </w:t>
      </w:r>
      <w:proofErr w:type="gramStart"/>
      <w:r w:rsidRPr="00146C6E">
        <w:t>to</w:t>
      </w:r>
      <w:proofErr w:type="gramEnd"/>
      <w:r w:rsidRPr="00146C6E">
        <w:t xml:space="preserve"> the terms and conditions expressed herein through the terms of their contracts.  Where no such contract exists, providers, </w:t>
      </w:r>
      <w:r w:rsidR="00EF592E">
        <w:t>members/enrollee</w:t>
      </w:r>
      <w:r w:rsidRPr="00146C6E">
        <w:t xml:space="preserve">s and their representatives agree to be bound by such terms and conditions by providing services to </w:t>
      </w:r>
      <w:r w:rsidR="00EF592E">
        <w:t>members/enrollee</w:t>
      </w:r>
      <w:r w:rsidRPr="00146C6E">
        <w:t xml:space="preserve">s and/or submitting claims for payment for such services.  </w:t>
      </w:r>
    </w:p>
    <w:p w14:paraId="46F2216F" w14:textId="77777777" w:rsidR="00436595" w:rsidRPr="00146C6E" w:rsidRDefault="00436595" w:rsidP="00146C6E">
      <w:pPr>
        <w:autoSpaceDE w:val="0"/>
        <w:autoSpaceDN w:val="0"/>
        <w:adjustRightInd w:val="0"/>
        <w:rPr>
          <w:color w:val="000000"/>
        </w:rPr>
      </w:pPr>
    </w:p>
    <w:p w14:paraId="51F9702C" w14:textId="4628AA69" w:rsidR="00436595" w:rsidRPr="00146C6E" w:rsidRDefault="00436595" w:rsidP="00146C6E">
      <w:pPr>
        <w:autoSpaceDE w:val="0"/>
        <w:autoSpaceDN w:val="0"/>
        <w:adjustRightInd w:val="0"/>
        <w:rPr>
          <w:color w:val="000000"/>
        </w:rPr>
      </w:pPr>
      <w:r w:rsidRPr="00146C6E">
        <w:rPr>
          <w:b/>
          <w:color w:val="000000"/>
        </w:rPr>
        <w:t xml:space="preserve">Note: For Medicaid </w:t>
      </w:r>
      <w:r w:rsidR="00EF592E">
        <w:rPr>
          <w:b/>
          <w:color w:val="000000"/>
        </w:rPr>
        <w:t>members/enrollee</w:t>
      </w:r>
      <w:r w:rsidRPr="00146C6E">
        <w:rPr>
          <w:b/>
          <w:color w:val="000000"/>
        </w:rPr>
        <w:t>s</w:t>
      </w:r>
      <w:r w:rsidRPr="00146C6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69512172" w14:textId="77777777" w:rsidR="00436595" w:rsidRPr="00146C6E" w:rsidRDefault="00436595" w:rsidP="00146C6E"/>
    <w:p w14:paraId="687D0DF8" w14:textId="211E5690" w:rsidR="00436595" w:rsidRPr="00146C6E" w:rsidRDefault="00436595" w:rsidP="00146C6E">
      <w:pPr>
        <w:autoSpaceDE w:val="0"/>
        <w:autoSpaceDN w:val="0"/>
        <w:adjustRightInd w:val="0"/>
        <w:rPr>
          <w:color w:val="000000"/>
        </w:rPr>
      </w:pPr>
      <w:r w:rsidRPr="00146C6E">
        <w:rPr>
          <w:b/>
          <w:bCs/>
          <w:color w:val="000000"/>
        </w:rPr>
        <w:t xml:space="preserve">Note: For Medicare </w:t>
      </w:r>
      <w:r w:rsidR="00EF592E">
        <w:rPr>
          <w:b/>
          <w:bCs/>
          <w:color w:val="000000"/>
        </w:rPr>
        <w:t>members/enrollee</w:t>
      </w:r>
      <w:r w:rsidRPr="00146C6E">
        <w:rPr>
          <w:b/>
          <w:bCs/>
          <w:color w:val="000000"/>
        </w:rPr>
        <w:t xml:space="preserve">s, </w:t>
      </w:r>
      <w:r w:rsidRPr="00146C6E">
        <w:rPr>
          <w:color w:val="000000"/>
        </w:rPr>
        <w:t>to ensure consistency with the Medicare National Coverage Determinations (NCD) and Local Coverage Determinations (LCD), all applicable NCDs</w:t>
      </w:r>
      <w:r w:rsidR="004F3694">
        <w:rPr>
          <w:color w:val="000000"/>
        </w:rPr>
        <w:t>,</w:t>
      </w:r>
      <w:r w:rsidRPr="00146C6E">
        <w:rPr>
          <w:color w:val="000000"/>
        </w:rPr>
        <w:t xml:space="preserve"> LCDs</w:t>
      </w:r>
      <w:r w:rsidR="004F3694">
        <w:rPr>
          <w:color w:val="000000"/>
        </w:rPr>
        <w:t>,</w:t>
      </w:r>
      <w:r w:rsidRPr="00146C6E">
        <w:rPr>
          <w:color w:val="000000"/>
        </w:rPr>
        <w:t xml:space="preserve"> </w:t>
      </w:r>
      <w:r w:rsidR="00704FA1">
        <w:rPr>
          <w:color w:val="000000"/>
        </w:rPr>
        <w:t xml:space="preserve">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30" w:history="1">
        <w:r w:rsidRPr="00146C6E">
          <w:rPr>
            <w:color w:val="000000"/>
            <w:u w:val="single"/>
          </w:rPr>
          <w:t>http://www.cms.gov</w:t>
        </w:r>
      </w:hyperlink>
      <w:r w:rsidRPr="00146C6E">
        <w:rPr>
          <w:color w:val="000000"/>
        </w:rPr>
        <w:t xml:space="preserve"> for additional information. </w:t>
      </w:r>
    </w:p>
    <w:p w14:paraId="208DD117" w14:textId="77777777" w:rsidR="00436595" w:rsidRPr="00146C6E" w:rsidRDefault="00436595" w:rsidP="00146C6E">
      <w:pPr>
        <w:rPr>
          <w:iCs/>
        </w:rPr>
      </w:pPr>
    </w:p>
    <w:p w14:paraId="7B9B2BB4" w14:textId="77777777" w:rsidR="00436595" w:rsidRPr="00146C6E" w:rsidRDefault="004F3694" w:rsidP="00146C6E">
      <w:pPr>
        <w:rPr>
          <w:iCs/>
        </w:rPr>
      </w:pPr>
      <w:r>
        <w:rPr>
          <w:iCs/>
        </w:rPr>
        <w:t>©2017</w:t>
      </w:r>
      <w:r w:rsidR="00436595"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436595" w:rsidRPr="00146C6E">
        <w:rPr>
          <w:iCs/>
          <w:vertAlign w:val="superscript"/>
        </w:rPr>
        <w:t>®</w:t>
      </w:r>
      <w:r w:rsidR="00436595" w:rsidRPr="00146C6E">
        <w:rPr>
          <w:iCs/>
        </w:rPr>
        <w:t xml:space="preserve"> and Centene Corporation</w:t>
      </w:r>
      <w:r w:rsidR="00436595" w:rsidRPr="00146C6E">
        <w:rPr>
          <w:iCs/>
          <w:vertAlign w:val="superscript"/>
        </w:rPr>
        <w:t>®</w:t>
      </w:r>
      <w:r w:rsidR="00436595" w:rsidRPr="00146C6E">
        <w:rPr>
          <w:iCs/>
        </w:rPr>
        <w:t xml:space="preserve"> are registered trademarks exclusively owned by Centene Corporation.</w:t>
      </w:r>
    </w:p>
    <w:p w14:paraId="0AE89C1E" w14:textId="77777777" w:rsidR="00436595" w:rsidRDefault="00436595" w:rsidP="00AF5490"/>
    <w:sectPr w:rsidR="00436595"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8C48" w14:textId="77777777" w:rsidR="002A2A3C" w:rsidRDefault="002A2A3C">
      <w:r>
        <w:separator/>
      </w:r>
    </w:p>
  </w:endnote>
  <w:endnote w:type="continuationSeparator" w:id="0">
    <w:p w14:paraId="4B496E9D" w14:textId="77777777" w:rsidR="002A2A3C" w:rsidRDefault="002A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6950" w14:textId="77777777" w:rsidR="0099721C" w:rsidRDefault="0099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A804" w14:textId="79842489" w:rsidR="00436595" w:rsidRPr="00D574CA" w:rsidRDefault="00436595" w:rsidP="00D574CA">
    <w:pPr>
      <w:pStyle w:val="Footer"/>
      <w:jc w:val="center"/>
    </w:pPr>
    <w:r>
      <w:t xml:space="preserve">Page </w:t>
    </w:r>
    <w:r>
      <w:rPr>
        <w:b/>
        <w:bCs/>
      </w:rPr>
      <w:fldChar w:fldCharType="begin"/>
    </w:r>
    <w:r>
      <w:rPr>
        <w:b/>
        <w:bCs/>
      </w:rPr>
      <w:instrText xml:space="preserve"> PAGE </w:instrText>
    </w:r>
    <w:r>
      <w:rPr>
        <w:b/>
        <w:bCs/>
      </w:rPr>
      <w:fldChar w:fldCharType="separate"/>
    </w:r>
    <w:r w:rsidR="0016188B">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16188B">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67AD" w14:textId="305BF665" w:rsidR="00436595" w:rsidRDefault="00436595" w:rsidP="002C6AAB">
    <w:pPr>
      <w:pStyle w:val="Footer"/>
      <w:jc w:val="center"/>
    </w:pPr>
    <w:r>
      <w:t xml:space="preserve">Page </w:t>
    </w:r>
    <w:r w:rsidR="00CF30DE">
      <w:fldChar w:fldCharType="begin"/>
    </w:r>
    <w:r w:rsidR="00CF30DE">
      <w:instrText xml:space="preserve"> PAGE   \* MERGEFORMAT </w:instrText>
    </w:r>
    <w:r w:rsidR="00CF30DE">
      <w:fldChar w:fldCharType="separate"/>
    </w:r>
    <w:r w:rsidR="0016188B">
      <w:rPr>
        <w:noProof/>
      </w:rPr>
      <w:t>1</w:t>
    </w:r>
    <w:r w:rsidR="00CF30DE">
      <w:rPr>
        <w:noProof/>
      </w:rPr>
      <w:fldChar w:fldCharType="end"/>
    </w:r>
    <w:r>
      <w:t xml:space="preserve"> of </w:t>
    </w:r>
    <w:r w:rsidR="00E24011">
      <w:rPr>
        <w:noProof/>
      </w:rPr>
      <w:fldChar w:fldCharType="begin"/>
    </w:r>
    <w:r w:rsidR="00E24011">
      <w:rPr>
        <w:noProof/>
      </w:rPr>
      <w:instrText xml:space="preserve"> NUMPAGES   \* MERGEFORMAT </w:instrText>
    </w:r>
    <w:r w:rsidR="00E24011">
      <w:rPr>
        <w:noProof/>
      </w:rPr>
      <w:fldChar w:fldCharType="separate"/>
    </w:r>
    <w:r w:rsidR="0016188B">
      <w:rPr>
        <w:noProof/>
      </w:rPr>
      <w:t>8</w:t>
    </w:r>
    <w:r w:rsidR="00E240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5C90" w14:textId="77777777" w:rsidR="002A2A3C" w:rsidRDefault="002A2A3C">
      <w:r>
        <w:separator/>
      </w:r>
    </w:p>
  </w:footnote>
  <w:footnote w:type="continuationSeparator" w:id="0">
    <w:p w14:paraId="377163A8" w14:textId="77777777" w:rsidR="002A2A3C" w:rsidRDefault="002A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B054" w14:textId="77777777" w:rsidR="0099721C" w:rsidRDefault="0099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F402" w14:textId="6ED37FF4" w:rsidR="00436595" w:rsidRPr="00B777AF" w:rsidRDefault="00436595"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CF30DE">
      <w:rPr>
        <w:noProof/>
        <w:color w:val="00548C"/>
      </w:rPr>
      <w:drawing>
        <wp:inline distT="0" distB="0" distL="0" distR="0" wp14:anchorId="1B2629EA" wp14:editId="2222B5B3">
          <wp:extent cx="904875" cy="238125"/>
          <wp:effectExtent l="0" t="0" r="9525"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0332D6B5" w14:textId="77777777" w:rsidR="00436595" w:rsidRPr="00B777AF" w:rsidRDefault="00C4465D" w:rsidP="00B777AF">
    <w:pPr>
      <w:rPr>
        <w:color w:val="00548C"/>
      </w:rPr>
    </w:pPr>
    <w:r>
      <w:rPr>
        <w:rFonts w:ascii="Times New Roman Bold" w:hAnsi="Times New Roman Bold"/>
        <w:b/>
        <w:bCs/>
        <w:color w:val="00548C"/>
      </w:rPr>
      <w:t>Urinary Incontinence Devices and Treatments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C827" w14:textId="3F31A6A9" w:rsidR="00436595" w:rsidRDefault="00CF30DE" w:rsidP="00B777AF">
    <w:pPr>
      <w:pStyle w:val="Header"/>
      <w:jc w:val="right"/>
    </w:pPr>
    <w:r>
      <w:rPr>
        <w:noProof/>
      </w:rPr>
      <w:drawing>
        <wp:inline distT="0" distB="0" distL="0" distR="0" wp14:anchorId="28A156A4" wp14:editId="50859769">
          <wp:extent cx="1362075" cy="342900"/>
          <wp:effectExtent l="0" t="0" r="9525" b="0"/>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FF2"/>
    <w:multiLevelType w:val="hybridMultilevel"/>
    <w:tmpl w:val="8B54B1FE"/>
    <w:lvl w:ilvl="0" w:tplc="FA948C32">
      <w:start w:val="1"/>
      <w:numFmt w:val="decimal"/>
      <w:lvlText w:val="%1."/>
      <w:lvlJc w:val="left"/>
      <w:pPr>
        <w:tabs>
          <w:tab w:val="num" w:pos="432"/>
        </w:tabs>
        <w:ind w:left="432" w:hanging="432"/>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95920"/>
    <w:multiLevelType w:val="hybridMultilevel"/>
    <w:tmpl w:val="CADAA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66F5387"/>
    <w:multiLevelType w:val="hybridMultilevel"/>
    <w:tmpl w:val="78502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524BE8"/>
    <w:multiLevelType w:val="hybridMultilevel"/>
    <w:tmpl w:val="764814B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CDF5B0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F1A84"/>
    <w:multiLevelType w:val="hybridMultilevel"/>
    <w:tmpl w:val="36BAE41A"/>
    <w:lvl w:ilvl="0" w:tplc="750023B6">
      <w:start w:val="1"/>
      <w:numFmt w:val="upperLetter"/>
      <w:lvlText w:val="%1."/>
      <w:lvlJc w:val="left"/>
      <w:pPr>
        <w:ind w:left="144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77726"/>
    <w:multiLevelType w:val="hybridMultilevel"/>
    <w:tmpl w:val="B91AB496"/>
    <w:lvl w:ilvl="0" w:tplc="04090015">
      <w:start w:val="1"/>
      <w:numFmt w:val="upperLetter"/>
      <w:lvlText w:val="%1."/>
      <w:lvlJc w:val="left"/>
      <w:pPr>
        <w:ind w:left="720" w:hanging="360"/>
      </w:pPr>
    </w:lvl>
    <w:lvl w:ilvl="1" w:tplc="90AA5C0E">
      <w:start w:val="1"/>
      <w:numFmt w:val="upperLetter"/>
      <w:lvlText w:val="%2."/>
      <w:lvlJc w:val="left"/>
      <w:pPr>
        <w:ind w:left="1170" w:hanging="360"/>
      </w:pPr>
      <w:rPr>
        <w:b w:val="0"/>
        <w:bCs/>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F2D79"/>
    <w:multiLevelType w:val="hybridMultilevel"/>
    <w:tmpl w:val="89B44CDC"/>
    <w:lvl w:ilvl="0" w:tplc="04090015">
      <w:start w:val="1"/>
      <w:numFmt w:val="upperLetter"/>
      <w:lvlText w:val="%1."/>
      <w:lvlJc w:val="left"/>
      <w:pPr>
        <w:ind w:left="720" w:hanging="360"/>
      </w:pPr>
      <w:rPr>
        <w:rFonts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1D73760"/>
    <w:multiLevelType w:val="hybridMultilevel"/>
    <w:tmpl w:val="2416D2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93299"/>
    <w:multiLevelType w:val="hybridMultilevel"/>
    <w:tmpl w:val="CF50D7D4"/>
    <w:lvl w:ilvl="0" w:tplc="97C27554">
      <w:start w:val="1"/>
      <w:numFmt w:val="decimal"/>
      <w:lvlText w:val="%1."/>
      <w:lvlJc w:val="left"/>
      <w:pPr>
        <w:ind w:left="360" w:hanging="360"/>
      </w:pPr>
      <w:rPr>
        <w:b w:val="0"/>
        <w:bCs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1"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4C8"/>
    <w:multiLevelType w:val="hybridMultilevel"/>
    <w:tmpl w:val="44C21EAC"/>
    <w:lvl w:ilvl="0" w:tplc="B94AE1F2">
      <w:start w:val="1"/>
      <w:numFmt w:val="bullet"/>
      <w:lvlText w:val=""/>
      <w:lvlJc w:val="left"/>
      <w:pPr>
        <w:tabs>
          <w:tab w:val="num" w:pos="432"/>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8B8018A"/>
    <w:multiLevelType w:val="hybridMultilevel"/>
    <w:tmpl w:val="573024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52C88"/>
    <w:multiLevelType w:val="hybridMultilevel"/>
    <w:tmpl w:val="23FA749E"/>
    <w:lvl w:ilvl="0" w:tplc="04090015">
      <w:start w:val="1"/>
      <w:numFmt w:val="upperLetter"/>
      <w:lvlText w:val="%1."/>
      <w:lvlJc w:val="left"/>
      <w:pPr>
        <w:ind w:left="720" w:hanging="360"/>
      </w:pPr>
      <w:rPr>
        <w:rFonts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8E62E29"/>
    <w:multiLevelType w:val="hybridMultilevel"/>
    <w:tmpl w:val="2EF860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C5E41C0"/>
    <w:multiLevelType w:val="hybridMultilevel"/>
    <w:tmpl w:val="818AFC46"/>
    <w:lvl w:ilvl="0" w:tplc="FFFFFFFF">
      <w:start w:val="1"/>
      <w:numFmt w:val="decimal"/>
      <w:lvlText w:val="%1."/>
      <w:lvlJc w:val="left"/>
      <w:pPr>
        <w:ind w:left="36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E01856"/>
    <w:multiLevelType w:val="hybridMultilevel"/>
    <w:tmpl w:val="AB1A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E9C2127"/>
    <w:multiLevelType w:val="hybridMultilevel"/>
    <w:tmpl w:val="11D21268"/>
    <w:lvl w:ilvl="0" w:tplc="7A467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72D070B1"/>
    <w:multiLevelType w:val="hybridMultilevel"/>
    <w:tmpl w:val="F2AC69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1E3D0A"/>
    <w:multiLevelType w:val="hybridMultilevel"/>
    <w:tmpl w:val="9AF41962"/>
    <w:lvl w:ilvl="0" w:tplc="6BAC0802">
      <w:start w:val="1"/>
      <w:numFmt w:val="upperRoman"/>
      <w:lvlText w:val="%1."/>
      <w:lvlJc w:val="left"/>
      <w:pPr>
        <w:ind w:left="720" w:hanging="360"/>
      </w:pPr>
      <w:rPr>
        <w:rFonts w:cs="Times New Roman" w:hint="default"/>
        <w:b/>
        <w:i w:val="0"/>
      </w:rPr>
    </w:lvl>
    <w:lvl w:ilvl="1" w:tplc="2C16CFC8">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390805631">
    <w:abstractNumId w:val="37"/>
  </w:num>
  <w:num w:numId="2" w16cid:durableId="2053378140">
    <w:abstractNumId w:val="1"/>
  </w:num>
  <w:num w:numId="3" w16cid:durableId="50735525">
    <w:abstractNumId w:val="15"/>
  </w:num>
  <w:num w:numId="4" w16cid:durableId="1616670209">
    <w:abstractNumId w:val="20"/>
  </w:num>
  <w:num w:numId="5" w16cid:durableId="1017195544">
    <w:abstractNumId w:val="21"/>
  </w:num>
  <w:num w:numId="6" w16cid:durableId="1967858373">
    <w:abstractNumId w:val="31"/>
  </w:num>
  <w:num w:numId="7" w16cid:durableId="1184173029">
    <w:abstractNumId w:val="32"/>
  </w:num>
  <w:num w:numId="8" w16cid:durableId="1258634293">
    <w:abstractNumId w:val="3"/>
  </w:num>
  <w:num w:numId="9" w16cid:durableId="1414012895">
    <w:abstractNumId w:val="26"/>
  </w:num>
  <w:num w:numId="10" w16cid:durableId="104888775">
    <w:abstractNumId w:val="12"/>
  </w:num>
  <w:num w:numId="11" w16cid:durableId="1312251808">
    <w:abstractNumId w:val="36"/>
  </w:num>
  <w:num w:numId="12" w16cid:durableId="55707471">
    <w:abstractNumId w:val="19"/>
  </w:num>
  <w:num w:numId="13" w16cid:durableId="74400305">
    <w:abstractNumId w:val="16"/>
  </w:num>
  <w:num w:numId="14" w16cid:durableId="1794246280">
    <w:abstractNumId w:val="8"/>
  </w:num>
  <w:num w:numId="15" w16cid:durableId="317079310">
    <w:abstractNumId w:val="13"/>
  </w:num>
  <w:num w:numId="16" w16cid:durableId="1197044488">
    <w:abstractNumId w:val="34"/>
  </w:num>
  <w:num w:numId="17" w16cid:durableId="494612169">
    <w:abstractNumId w:val="27"/>
  </w:num>
  <w:num w:numId="18" w16cid:durableId="2059207466">
    <w:abstractNumId w:val="22"/>
  </w:num>
  <w:num w:numId="19" w16cid:durableId="582372923">
    <w:abstractNumId w:val="11"/>
  </w:num>
  <w:num w:numId="20" w16cid:durableId="808940260">
    <w:abstractNumId w:val="4"/>
  </w:num>
  <w:num w:numId="21" w16cid:durableId="1325086876">
    <w:abstractNumId w:val="18"/>
  </w:num>
  <w:num w:numId="22" w16cid:durableId="322245042">
    <w:abstractNumId w:val="7"/>
  </w:num>
  <w:num w:numId="23" w16cid:durableId="925500339">
    <w:abstractNumId w:val="33"/>
  </w:num>
  <w:num w:numId="24" w16cid:durableId="50542628">
    <w:abstractNumId w:val="6"/>
  </w:num>
  <w:num w:numId="25" w16cid:durableId="1150290260">
    <w:abstractNumId w:val="28"/>
  </w:num>
  <w:num w:numId="26" w16cid:durableId="1400065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1973302">
    <w:abstractNumId w:val="0"/>
  </w:num>
  <w:num w:numId="28" w16cid:durableId="954554404">
    <w:abstractNumId w:val="2"/>
  </w:num>
  <w:num w:numId="29" w16cid:durableId="399132207">
    <w:abstractNumId w:val="5"/>
  </w:num>
  <w:num w:numId="30" w16cid:durableId="782067517">
    <w:abstractNumId w:val="35"/>
  </w:num>
  <w:num w:numId="31" w16cid:durableId="285241712">
    <w:abstractNumId w:val="24"/>
  </w:num>
  <w:num w:numId="32" w16cid:durableId="2128503862">
    <w:abstractNumId w:val="17"/>
  </w:num>
  <w:num w:numId="33" w16cid:durableId="530845466">
    <w:abstractNumId w:val="10"/>
  </w:num>
  <w:num w:numId="34" w16cid:durableId="1937982914">
    <w:abstractNumId w:val="9"/>
  </w:num>
  <w:num w:numId="35" w16cid:durableId="605425876">
    <w:abstractNumId w:val="14"/>
  </w:num>
  <w:num w:numId="36" w16cid:durableId="674311390">
    <w:abstractNumId w:val="25"/>
  </w:num>
  <w:num w:numId="37" w16cid:durableId="1033770701">
    <w:abstractNumId w:val="29"/>
  </w:num>
  <w:num w:numId="38" w16cid:durableId="20746205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784D"/>
    <w:rsid w:val="0001159D"/>
    <w:rsid w:val="000273EE"/>
    <w:rsid w:val="000324CA"/>
    <w:rsid w:val="00032D3F"/>
    <w:rsid w:val="0003632D"/>
    <w:rsid w:val="000403C8"/>
    <w:rsid w:val="00040F6F"/>
    <w:rsid w:val="000465DE"/>
    <w:rsid w:val="0004733E"/>
    <w:rsid w:val="000473E6"/>
    <w:rsid w:val="000476E5"/>
    <w:rsid w:val="00052C29"/>
    <w:rsid w:val="0005520A"/>
    <w:rsid w:val="0005712E"/>
    <w:rsid w:val="00060509"/>
    <w:rsid w:val="000605EC"/>
    <w:rsid w:val="0006119E"/>
    <w:rsid w:val="00062086"/>
    <w:rsid w:val="000633DE"/>
    <w:rsid w:val="000634D7"/>
    <w:rsid w:val="000702F7"/>
    <w:rsid w:val="0007165C"/>
    <w:rsid w:val="00073639"/>
    <w:rsid w:val="00074A60"/>
    <w:rsid w:val="0008124C"/>
    <w:rsid w:val="00082692"/>
    <w:rsid w:val="00083740"/>
    <w:rsid w:val="00083F63"/>
    <w:rsid w:val="00084705"/>
    <w:rsid w:val="00093A40"/>
    <w:rsid w:val="00094136"/>
    <w:rsid w:val="00096553"/>
    <w:rsid w:val="0009797F"/>
    <w:rsid w:val="00097B57"/>
    <w:rsid w:val="000A11A4"/>
    <w:rsid w:val="000A42B9"/>
    <w:rsid w:val="000A7B64"/>
    <w:rsid w:val="000B5A10"/>
    <w:rsid w:val="000B6186"/>
    <w:rsid w:val="000C281E"/>
    <w:rsid w:val="000C3CB7"/>
    <w:rsid w:val="000C40BB"/>
    <w:rsid w:val="000C5EDE"/>
    <w:rsid w:val="000D09ED"/>
    <w:rsid w:val="000D3D6B"/>
    <w:rsid w:val="000D50DD"/>
    <w:rsid w:val="000E1DD1"/>
    <w:rsid w:val="000E2B3D"/>
    <w:rsid w:val="000E4441"/>
    <w:rsid w:val="000E633F"/>
    <w:rsid w:val="000F10C2"/>
    <w:rsid w:val="000F2C4E"/>
    <w:rsid w:val="000F6F48"/>
    <w:rsid w:val="001020AB"/>
    <w:rsid w:val="0010487C"/>
    <w:rsid w:val="00107069"/>
    <w:rsid w:val="00107EB8"/>
    <w:rsid w:val="001101EA"/>
    <w:rsid w:val="001116E4"/>
    <w:rsid w:val="001148A8"/>
    <w:rsid w:val="00114906"/>
    <w:rsid w:val="0011794B"/>
    <w:rsid w:val="00135CE0"/>
    <w:rsid w:val="00136DAE"/>
    <w:rsid w:val="00137BD6"/>
    <w:rsid w:val="00140982"/>
    <w:rsid w:val="0014316D"/>
    <w:rsid w:val="00146590"/>
    <w:rsid w:val="00146C6E"/>
    <w:rsid w:val="001518CE"/>
    <w:rsid w:val="001539CA"/>
    <w:rsid w:val="00153CB4"/>
    <w:rsid w:val="0015648E"/>
    <w:rsid w:val="001575D9"/>
    <w:rsid w:val="00157AF9"/>
    <w:rsid w:val="0016058F"/>
    <w:rsid w:val="0016188B"/>
    <w:rsid w:val="00167922"/>
    <w:rsid w:val="001709A3"/>
    <w:rsid w:val="00170B14"/>
    <w:rsid w:val="00172878"/>
    <w:rsid w:val="00174B40"/>
    <w:rsid w:val="001818D7"/>
    <w:rsid w:val="00182A0A"/>
    <w:rsid w:val="00185104"/>
    <w:rsid w:val="0018602F"/>
    <w:rsid w:val="00186B77"/>
    <w:rsid w:val="00187987"/>
    <w:rsid w:val="001900E6"/>
    <w:rsid w:val="001907AE"/>
    <w:rsid w:val="001909E1"/>
    <w:rsid w:val="00194C05"/>
    <w:rsid w:val="0019564A"/>
    <w:rsid w:val="001962BE"/>
    <w:rsid w:val="00196689"/>
    <w:rsid w:val="00196935"/>
    <w:rsid w:val="0019746F"/>
    <w:rsid w:val="001A33AC"/>
    <w:rsid w:val="001A54BE"/>
    <w:rsid w:val="001B7BAA"/>
    <w:rsid w:val="001C0CE1"/>
    <w:rsid w:val="001D0592"/>
    <w:rsid w:val="001D0B42"/>
    <w:rsid w:val="001D0D34"/>
    <w:rsid w:val="001D1069"/>
    <w:rsid w:val="001D1888"/>
    <w:rsid w:val="001D332A"/>
    <w:rsid w:val="001D70D4"/>
    <w:rsid w:val="001D7AB0"/>
    <w:rsid w:val="001E0DEA"/>
    <w:rsid w:val="001E1921"/>
    <w:rsid w:val="001E25BA"/>
    <w:rsid w:val="001E5E26"/>
    <w:rsid w:val="001E780C"/>
    <w:rsid w:val="001E7D12"/>
    <w:rsid w:val="001F0B5B"/>
    <w:rsid w:val="001F3B60"/>
    <w:rsid w:val="001F3DFA"/>
    <w:rsid w:val="001F439D"/>
    <w:rsid w:val="001F53EC"/>
    <w:rsid w:val="001F5B49"/>
    <w:rsid w:val="002002A7"/>
    <w:rsid w:val="002049DD"/>
    <w:rsid w:val="00205DDD"/>
    <w:rsid w:val="0020675F"/>
    <w:rsid w:val="002070F8"/>
    <w:rsid w:val="00207937"/>
    <w:rsid w:val="00212C19"/>
    <w:rsid w:val="00216A5E"/>
    <w:rsid w:val="00217445"/>
    <w:rsid w:val="00220736"/>
    <w:rsid w:val="0022411D"/>
    <w:rsid w:val="0022511E"/>
    <w:rsid w:val="002253F4"/>
    <w:rsid w:val="00230FE4"/>
    <w:rsid w:val="00233651"/>
    <w:rsid w:val="00236909"/>
    <w:rsid w:val="00236AF1"/>
    <w:rsid w:val="00243BCB"/>
    <w:rsid w:val="00252AAE"/>
    <w:rsid w:val="00254020"/>
    <w:rsid w:val="0025415C"/>
    <w:rsid w:val="0025452A"/>
    <w:rsid w:val="0025713E"/>
    <w:rsid w:val="0026232D"/>
    <w:rsid w:val="00264ACD"/>
    <w:rsid w:val="002752FA"/>
    <w:rsid w:val="0027756D"/>
    <w:rsid w:val="00285997"/>
    <w:rsid w:val="00291461"/>
    <w:rsid w:val="00291B19"/>
    <w:rsid w:val="0029750A"/>
    <w:rsid w:val="002A2A3C"/>
    <w:rsid w:val="002A39EE"/>
    <w:rsid w:val="002A5BFB"/>
    <w:rsid w:val="002A632D"/>
    <w:rsid w:val="002B0582"/>
    <w:rsid w:val="002B0CB6"/>
    <w:rsid w:val="002B7636"/>
    <w:rsid w:val="002C17E9"/>
    <w:rsid w:val="002C6AAB"/>
    <w:rsid w:val="002D019A"/>
    <w:rsid w:val="002D3F18"/>
    <w:rsid w:val="002D3F71"/>
    <w:rsid w:val="002D48FA"/>
    <w:rsid w:val="002D75DB"/>
    <w:rsid w:val="002D78C7"/>
    <w:rsid w:val="002D7F98"/>
    <w:rsid w:val="002E1CAE"/>
    <w:rsid w:val="002E48E7"/>
    <w:rsid w:val="002E7575"/>
    <w:rsid w:val="002F0C95"/>
    <w:rsid w:val="002F7EC9"/>
    <w:rsid w:val="00301E76"/>
    <w:rsid w:val="00304993"/>
    <w:rsid w:val="003140D6"/>
    <w:rsid w:val="003212BC"/>
    <w:rsid w:val="003214CF"/>
    <w:rsid w:val="00322549"/>
    <w:rsid w:val="00322CD5"/>
    <w:rsid w:val="0032451B"/>
    <w:rsid w:val="00336E37"/>
    <w:rsid w:val="00340A9A"/>
    <w:rsid w:val="00340D2E"/>
    <w:rsid w:val="00343543"/>
    <w:rsid w:val="003439CE"/>
    <w:rsid w:val="00344064"/>
    <w:rsid w:val="0034583E"/>
    <w:rsid w:val="00350F22"/>
    <w:rsid w:val="003520C8"/>
    <w:rsid w:val="0035626B"/>
    <w:rsid w:val="00357900"/>
    <w:rsid w:val="00360775"/>
    <w:rsid w:val="003613EC"/>
    <w:rsid w:val="00363CED"/>
    <w:rsid w:val="003654FD"/>
    <w:rsid w:val="00370249"/>
    <w:rsid w:val="00374244"/>
    <w:rsid w:val="00380567"/>
    <w:rsid w:val="003819C3"/>
    <w:rsid w:val="0038343C"/>
    <w:rsid w:val="003840CC"/>
    <w:rsid w:val="00393BDB"/>
    <w:rsid w:val="00395346"/>
    <w:rsid w:val="003974CA"/>
    <w:rsid w:val="003978CD"/>
    <w:rsid w:val="003A0461"/>
    <w:rsid w:val="003A1E18"/>
    <w:rsid w:val="003A358F"/>
    <w:rsid w:val="003A4B76"/>
    <w:rsid w:val="003A4E9C"/>
    <w:rsid w:val="003A59C1"/>
    <w:rsid w:val="003B3DFE"/>
    <w:rsid w:val="003B46CB"/>
    <w:rsid w:val="003B50C0"/>
    <w:rsid w:val="003C0351"/>
    <w:rsid w:val="003C57E1"/>
    <w:rsid w:val="003C77F9"/>
    <w:rsid w:val="003D08F8"/>
    <w:rsid w:val="003D11A8"/>
    <w:rsid w:val="003D3A66"/>
    <w:rsid w:val="003D7BE7"/>
    <w:rsid w:val="003E3A21"/>
    <w:rsid w:val="003E3A75"/>
    <w:rsid w:val="003E4B67"/>
    <w:rsid w:val="003F3D44"/>
    <w:rsid w:val="003F620D"/>
    <w:rsid w:val="003F68E8"/>
    <w:rsid w:val="00400579"/>
    <w:rsid w:val="00402FB9"/>
    <w:rsid w:val="004031FC"/>
    <w:rsid w:val="00404CA8"/>
    <w:rsid w:val="00405EAA"/>
    <w:rsid w:val="00407FBE"/>
    <w:rsid w:val="00413638"/>
    <w:rsid w:val="00415CD1"/>
    <w:rsid w:val="00416E77"/>
    <w:rsid w:val="0041767C"/>
    <w:rsid w:val="004236E9"/>
    <w:rsid w:val="0042659C"/>
    <w:rsid w:val="00431020"/>
    <w:rsid w:val="00431EE9"/>
    <w:rsid w:val="00432CA4"/>
    <w:rsid w:val="004334C5"/>
    <w:rsid w:val="00435226"/>
    <w:rsid w:val="00436595"/>
    <w:rsid w:val="00436A88"/>
    <w:rsid w:val="004400A5"/>
    <w:rsid w:val="00441308"/>
    <w:rsid w:val="0044227B"/>
    <w:rsid w:val="00443009"/>
    <w:rsid w:val="004469CE"/>
    <w:rsid w:val="00451125"/>
    <w:rsid w:val="00454B72"/>
    <w:rsid w:val="00455634"/>
    <w:rsid w:val="0046172C"/>
    <w:rsid w:val="00463D1B"/>
    <w:rsid w:val="00467F5C"/>
    <w:rsid w:val="00472C6C"/>
    <w:rsid w:val="0047375A"/>
    <w:rsid w:val="004804C3"/>
    <w:rsid w:val="00480C09"/>
    <w:rsid w:val="00485A46"/>
    <w:rsid w:val="0048600E"/>
    <w:rsid w:val="00493710"/>
    <w:rsid w:val="0049553F"/>
    <w:rsid w:val="00495640"/>
    <w:rsid w:val="004963AF"/>
    <w:rsid w:val="00496BCF"/>
    <w:rsid w:val="00497AED"/>
    <w:rsid w:val="004A0CA4"/>
    <w:rsid w:val="004A729E"/>
    <w:rsid w:val="004B00DF"/>
    <w:rsid w:val="004B6277"/>
    <w:rsid w:val="004B730E"/>
    <w:rsid w:val="004C3EA6"/>
    <w:rsid w:val="004D36FD"/>
    <w:rsid w:val="004D4B66"/>
    <w:rsid w:val="004D5737"/>
    <w:rsid w:val="004E0B99"/>
    <w:rsid w:val="004E38F3"/>
    <w:rsid w:val="004E67AA"/>
    <w:rsid w:val="004E7EF2"/>
    <w:rsid w:val="004F2BEA"/>
    <w:rsid w:val="004F3694"/>
    <w:rsid w:val="004F5E28"/>
    <w:rsid w:val="004F6394"/>
    <w:rsid w:val="004F67F3"/>
    <w:rsid w:val="00505830"/>
    <w:rsid w:val="00507152"/>
    <w:rsid w:val="00507D3F"/>
    <w:rsid w:val="00507DC0"/>
    <w:rsid w:val="005103B8"/>
    <w:rsid w:val="00514409"/>
    <w:rsid w:val="005144C0"/>
    <w:rsid w:val="005211A8"/>
    <w:rsid w:val="00523C6E"/>
    <w:rsid w:val="00523E82"/>
    <w:rsid w:val="00531D96"/>
    <w:rsid w:val="00535969"/>
    <w:rsid w:val="005423D4"/>
    <w:rsid w:val="005461DD"/>
    <w:rsid w:val="00550936"/>
    <w:rsid w:val="00550DCD"/>
    <w:rsid w:val="005537B0"/>
    <w:rsid w:val="00554E5E"/>
    <w:rsid w:val="00556CBA"/>
    <w:rsid w:val="00557980"/>
    <w:rsid w:val="00560AC6"/>
    <w:rsid w:val="00560F46"/>
    <w:rsid w:val="00563D0F"/>
    <w:rsid w:val="00570747"/>
    <w:rsid w:val="00574628"/>
    <w:rsid w:val="005776FD"/>
    <w:rsid w:val="00577A33"/>
    <w:rsid w:val="00583376"/>
    <w:rsid w:val="00587AA1"/>
    <w:rsid w:val="00595809"/>
    <w:rsid w:val="005A0076"/>
    <w:rsid w:val="005A65DC"/>
    <w:rsid w:val="005B0ADD"/>
    <w:rsid w:val="005B3C0A"/>
    <w:rsid w:val="005C06B5"/>
    <w:rsid w:val="005C17DF"/>
    <w:rsid w:val="005C1EEA"/>
    <w:rsid w:val="005C2901"/>
    <w:rsid w:val="005C3530"/>
    <w:rsid w:val="005C3607"/>
    <w:rsid w:val="005C5E88"/>
    <w:rsid w:val="005C7D36"/>
    <w:rsid w:val="005D009F"/>
    <w:rsid w:val="005D11E6"/>
    <w:rsid w:val="005D3ACF"/>
    <w:rsid w:val="005D5146"/>
    <w:rsid w:val="005D515E"/>
    <w:rsid w:val="005D6347"/>
    <w:rsid w:val="005D7B81"/>
    <w:rsid w:val="005E0D57"/>
    <w:rsid w:val="005E117C"/>
    <w:rsid w:val="005E2089"/>
    <w:rsid w:val="005E3B12"/>
    <w:rsid w:val="005E411E"/>
    <w:rsid w:val="005E4500"/>
    <w:rsid w:val="005E6451"/>
    <w:rsid w:val="005E6D6D"/>
    <w:rsid w:val="005E7A67"/>
    <w:rsid w:val="005F051C"/>
    <w:rsid w:val="00600263"/>
    <w:rsid w:val="00601843"/>
    <w:rsid w:val="00607611"/>
    <w:rsid w:val="00611353"/>
    <w:rsid w:val="00614958"/>
    <w:rsid w:val="00615A90"/>
    <w:rsid w:val="0061663A"/>
    <w:rsid w:val="00616915"/>
    <w:rsid w:val="00616B59"/>
    <w:rsid w:val="00617009"/>
    <w:rsid w:val="0062021A"/>
    <w:rsid w:val="00622C0C"/>
    <w:rsid w:val="0063034F"/>
    <w:rsid w:val="006309DB"/>
    <w:rsid w:val="0064016F"/>
    <w:rsid w:val="00641142"/>
    <w:rsid w:val="0064446E"/>
    <w:rsid w:val="006474BB"/>
    <w:rsid w:val="00651C6B"/>
    <w:rsid w:val="006547CD"/>
    <w:rsid w:val="00657E7B"/>
    <w:rsid w:val="00662B4D"/>
    <w:rsid w:val="00664EFB"/>
    <w:rsid w:val="00665A06"/>
    <w:rsid w:val="006664E9"/>
    <w:rsid w:val="006708F2"/>
    <w:rsid w:val="00676EFC"/>
    <w:rsid w:val="00681864"/>
    <w:rsid w:val="006832FE"/>
    <w:rsid w:val="00687813"/>
    <w:rsid w:val="006926B2"/>
    <w:rsid w:val="00695562"/>
    <w:rsid w:val="006A0683"/>
    <w:rsid w:val="006A17CE"/>
    <w:rsid w:val="006B52B5"/>
    <w:rsid w:val="006C3256"/>
    <w:rsid w:val="006C44B8"/>
    <w:rsid w:val="006C6951"/>
    <w:rsid w:val="006C700E"/>
    <w:rsid w:val="006C74DF"/>
    <w:rsid w:val="006D3022"/>
    <w:rsid w:val="006E396B"/>
    <w:rsid w:val="006E434E"/>
    <w:rsid w:val="006E6907"/>
    <w:rsid w:val="006F0907"/>
    <w:rsid w:val="006F0F37"/>
    <w:rsid w:val="006F2CDB"/>
    <w:rsid w:val="006F2DA7"/>
    <w:rsid w:val="006F3CB6"/>
    <w:rsid w:val="006F4A83"/>
    <w:rsid w:val="006F4D70"/>
    <w:rsid w:val="007003BD"/>
    <w:rsid w:val="00704FA1"/>
    <w:rsid w:val="00712AFF"/>
    <w:rsid w:val="007136D6"/>
    <w:rsid w:val="007154F3"/>
    <w:rsid w:val="00716913"/>
    <w:rsid w:val="00717156"/>
    <w:rsid w:val="007238AE"/>
    <w:rsid w:val="007267DD"/>
    <w:rsid w:val="00736BDA"/>
    <w:rsid w:val="0074205A"/>
    <w:rsid w:val="007435DF"/>
    <w:rsid w:val="00744250"/>
    <w:rsid w:val="007470D9"/>
    <w:rsid w:val="00747FF2"/>
    <w:rsid w:val="0075250D"/>
    <w:rsid w:val="00753F2D"/>
    <w:rsid w:val="00754CD1"/>
    <w:rsid w:val="00764B19"/>
    <w:rsid w:val="00764F06"/>
    <w:rsid w:val="00765347"/>
    <w:rsid w:val="00770AF3"/>
    <w:rsid w:val="00774138"/>
    <w:rsid w:val="007760B3"/>
    <w:rsid w:val="007764CE"/>
    <w:rsid w:val="00777912"/>
    <w:rsid w:val="00777921"/>
    <w:rsid w:val="00790568"/>
    <w:rsid w:val="00794B6D"/>
    <w:rsid w:val="007975FA"/>
    <w:rsid w:val="007A0686"/>
    <w:rsid w:val="007A0BCC"/>
    <w:rsid w:val="007A177A"/>
    <w:rsid w:val="007B07AE"/>
    <w:rsid w:val="007B202A"/>
    <w:rsid w:val="007B50D0"/>
    <w:rsid w:val="007B527F"/>
    <w:rsid w:val="007B6940"/>
    <w:rsid w:val="007B6DAC"/>
    <w:rsid w:val="007C03ED"/>
    <w:rsid w:val="007C0DEB"/>
    <w:rsid w:val="007C6B0A"/>
    <w:rsid w:val="007C7079"/>
    <w:rsid w:val="007C7087"/>
    <w:rsid w:val="007C70F1"/>
    <w:rsid w:val="007D17D5"/>
    <w:rsid w:val="007D4801"/>
    <w:rsid w:val="007D7A76"/>
    <w:rsid w:val="007E0756"/>
    <w:rsid w:val="007E1A8B"/>
    <w:rsid w:val="007F09ED"/>
    <w:rsid w:val="007F1F19"/>
    <w:rsid w:val="007F50A3"/>
    <w:rsid w:val="00800E2D"/>
    <w:rsid w:val="0080117B"/>
    <w:rsid w:val="0080552A"/>
    <w:rsid w:val="00816990"/>
    <w:rsid w:val="00824A3F"/>
    <w:rsid w:val="0083471E"/>
    <w:rsid w:val="008451B9"/>
    <w:rsid w:val="00846046"/>
    <w:rsid w:val="008514CF"/>
    <w:rsid w:val="00857C10"/>
    <w:rsid w:val="00860927"/>
    <w:rsid w:val="0086294D"/>
    <w:rsid w:val="0086468A"/>
    <w:rsid w:val="00866D80"/>
    <w:rsid w:val="00870AA7"/>
    <w:rsid w:val="00872742"/>
    <w:rsid w:val="00873DAA"/>
    <w:rsid w:val="00875924"/>
    <w:rsid w:val="00877EC7"/>
    <w:rsid w:val="0088041B"/>
    <w:rsid w:val="008825C3"/>
    <w:rsid w:val="00885A20"/>
    <w:rsid w:val="00890190"/>
    <w:rsid w:val="008909A7"/>
    <w:rsid w:val="00893EA7"/>
    <w:rsid w:val="00895211"/>
    <w:rsid w:val="00895B22"/>
    <w:rsid w:val="00896E94"/>
    <w:rsid w:val="00896F62"/>
    <w:rsid w:val="008B0705"/>
    <w:rsid w:val="008B0801"/>
    <w:rsid w:val="008C034C"/>
    <w:rsid w:val="008C177E"/>
    <w:rsid w:val="008C3845"/>
    <w:rsid w:val="008C6B3A"/>
    <w:rsid w:val="008D2F9F"/>
    <w:rsid w:val="008E405B"/>
    <w:rsid w:val="008F467D"/>
    <w:rsid w:val="008F5896"/>
    <w:rsid w:val="008F5CBF"/>
    <w:rsid w:val="00902C9B"/>
    <w:rsid w:val="00903B04"/>
    <w:rsid w:val="009060F1"/>
    <w:rsid w:val="00907FEA"/>
    <w:rsid w:val="0091243A"/>
    <w:rsid w:val="009135E0"/>
    <w:rsid w:val="00915CA4"/>
    <w:rsid w:val="00917820"/>
    <w:rsid w:val="009205D3"/>
    <w:rsid w:val="00921645"/>
    <w:rsid w:val="009269AF"/>
    <w:rsid w:val="0092732A"/>
    <w:rsid w:val="009339C5"/>
    <w:rsid w:val="00935B39"/>
    <w:rsid w:val="00941FF7"/>
    <w:rsid w:val="00945FD7"/>
    <w:rsid w:val="00947E0A"/>
    <w:rsid w:val="00950820"/>
    <w:rsid w:val="009513FE"/>
    <w:rsid w:val="00952884"/>
    <w:rsid w:val="00953700"/>
    <w:rsid w:val="00953801"/>
    <w:rsid w:val="00961071"/>
    <w:rsid w:val="00963062"/>
    <w:rsid w:val="009635BD"/>
    <w:rsid w:val="009636D5"/>
    <w:rsid w:val="0097171B"/>
    <w:rsid w:val="00972118"/>
    <w:rsid w:val="00972D74"/>
    <w:rsid w:val="009735FA"/>
    <w:rsid w:val="009738E7"/>
    <w:rsid w:val="009767D6"/>
    <w:rsid w:val="00977ECA"/>
    <w:rsid w:val="0098032E"/>
    <w:rsid w:val="009816E4"/>
    <w:rsid w:val="00982180"/>
    <w:rsid w:val="009855B8"/>
    <w:rsid w:val="00991C12"/>
    <w:rsid w:val="009923DB"/>
    <w:rsid w:val="00992557"/>
    <w:rsid w:val="009928B2"/>
    <w:rsid w:val="00992A3D"/>
    <w:rsid w:val="0099469F"/>
    <w:rsid w:val="00995C1D"/>
    <w:rsid w:val="0099721C"/>
    <w:rsid w:val="009A2D42"/>
    <w:rsid w:val="009A39DA"/>
    <w:rsid w:val="009B3A2F"/>
    <w:rsid w:val="009B4C92"/>
    <w:rsid w:val="009B526D"/>
    <w:rsid w:val="009B60C9"/>
    <w:rsid w:val="009C303F"/>
    <w:rsid w:val="009C61B2"/>
    <w:rsid w:val="009D3DCA"/>
    <w:rsid w:val="009D5928"/>
    <w:rsid w:val="009D7539"/>
    <w:rsid w:val="009E289E"/>
    <w:rsid w:val="009E3DAB"/>
    <w:rsid w:val="009E5A06"/>
    <w:rsid w:val="009E6F29"/>
    <w:rsid w:val="009F1484"/>
    <w:rsid w:val="009F7CBF"/>
    <w:rsid w:val="00A05CC5"/>
    <w:rsid w:val="00A10374"/>
    <w:rsid w:val="00A147F5"/>
    <w:rsid w:val="00A20F73"/>
    <w:rsid w:val="00A225DC"/>
    <w:rsid w:val="00A24F79"/>
    <w:rsid w:val="00A3064A"/>
    <w:rsid w:val="00A328E7"/>
    <w:rsid w:val="00A33E47"/>
    <w:rsid w:val="00A352FC"/>
    <w:rsid w:val="00A35BFB"/>
    <w:rsid w:val="00A35DBA"/>
    <w:rsid w:val="00A36B9E"/>
    <w:rsid w:val="00A40212"/>
    <w:rsid w:val="00A41969"/>
    <w:rsid w:val="00A41C9D"/>
    <w:rsid w:val="00A46287"/>
    <w:rsid w:val="00A579D7"/>
    <w:rsid w:val="00A60413"/>
    <w:rsid w:val="00A6149C"/>
    <w:rsid w:val="00A620FF"/>
    <w:rsid w:val="00A66784"/>
    <w:rsid w:val="00A734ED"/>
    <w:rsid w:val="00A80E4E"/>
    <w:rsid w:val="00A83658"/>
    <w:rsid w:val="00A84F02"/>
    <w:rsid w:val="00A85489"/>
    <w:rsid w:val="00A87B1F"/>
    <w:rsid w:val="00A911AE"/>
    <w:rsid w:val="00A91717"/>
    <w:rsid w:val="00A935EB"/>
    <w:rsid w:val="00A9731B"/>
    <w:rsid w:val="00AA336E"/>
    <w:rsid w:val="00AA428E"/>
    <w:rsid w:val="00AA481E"/>
    <w:rsid w:val="00AA6DF6"/>
    <w:rsid w:val="00AB36EE"/>
    <w:rsid w:val="00AB68C5"/>
    <w:rsid w:val="00AB7EC6"/>
    <w:rsid w:val="00AC0171"/>
    <w:rsid w:val="00AC6577"/>
    <w:rsid w:val="00AD0363"/>
    <w:rsid w:val="00AD15B2"/>
    <w:rsid w:val="00AD1AA6"/>
    <w:rsid w:val="00AD4320"/>
    <w:rsid w:val="00AD5487"/>
    <w:rsid w:val="00AD66C3"/>
    <w:rsid w:val="00AE5E43"/>
    <w:rsid w:val="00AF0268"/>
    <w:rsid w:val="00AF0F33"/>
    <w:rsid w:val="00AF1F2A"/>
    <w:rsid w:val="00AF30EF"/>
    <w:rsid w:val="00AF32D0"/>
    <w:rsid w:val="00AF37A4"/>
    <w:rsid w:val="00AF3DC5"/>
    <w:rsid w:val="00AF461F"/>
    <w:rsid w:val="00AF46AC"/>
    <w:rsid w:val="00AF5490"/>
    <w:rsid w:val="00B01EF4"/>
    <w:rsid w:val="00B02E04"/>
    <w:rsid w:val="00B04C71"/>
    <w:rsid w:val="00B05DC7"/>
    <w:rsid w:val="00B13354"/>
    <w:rsid w:val="00B16836"/>
    <w:rsid w:val="00B1793A"/>
    <w:rsid w:val="00B21B2A"/>
    <w:rsid w:val="00B255EC"/>
    <w:rsid w:val="00B35F16"/>
    <w:rsid w:val="00B36994"/>
    <w:rsid w:val="00B37419"/>
    <w:rsid w:val="00B41353"/>
    <w:rsid w:val="00B42A8A"/>
    <w:rsid w:val="00B42EF4"/>
    <w:rsid w:val="00B43569"/>
    <w:rsid w:val="00B43956"/>
    <w:rsid w:val="00B4633B"/>
    <w:rsid w:val="00B51DA8"/>
    <w:rsid w:val="00B6280A"/>
    <w:rsid w:val="00B76FEF"/>
    <w:rsid w:val="00B777AF"/>
    <w:rsid w:val="00B81789"/>
    <w:rsid w:val="00B81BD7"/>
    <w:rsid w:val="00B81ECE"/>
    <w:rsid w:val="00B82DBB"/>
    <w:rsid w:val="00B8312D"/>
    <w:rsid w:val="00B84577"/>
    <w:rsid w:val="00B92DF1"/>
    <w:rsid w:val="00BA30A6"/>
    <w:rsid w:val="00BA48E1"/>
    <w:rsid w:val="00BA6451"/>
    <w:rsid w:val="00BB1506"/>
    <w:rsid w:val="00BB2CBD"/>
    <w:rsid w:val="00BB35EE"/>
    <w:rsid w:val="00BB417D"/>
    <w:rsid w:val="00BB4354"/>
    <w:rsid w:val="00BC6E76"/>
    <w:rsid w:val="00BD1182"/>
    <w:rsid w:val="00BD2DC9"/>
    <w:rsid w:val="00BD36EC"/>
    <w:rsid w:val="00BE1258"/>
    <w:rsid w:val="00BE12C2"/>
    <w:rsid w:val="00BE2BB8"/>
    <w:rsid w:val="00BE2BDB"/>
    <w:rsid w:val="00BE57EA"/>
    <w:rsid w:val="00BF059A"/>
    <w:rsid w:val="00BF1D2B"/>
    <w:rsid w:val="00BF1E55"/>
    <w:rsid w:val="00BF2C09"/>
    <w:rsid w:val="00BF4150"/>
    <w:rsid w:val="00C01AA6"/>
    <w:rsid w:val="00C01E43"/>
    <w:rsid w:val="00C05EB7"/>
    <w:rsid w:val="00C06257"/>
    <w:rsid w:val="00C0778C"/>
    <w:rsid w:val="00C079B0"/>
    <w:rsid w:val="00C10803"/>
    <w:rsid w:val="00C10DF0"/>
    <w:rsid w:val="00C13871"/>
    <w:rsid w:val="00C14250"/>
    <w:rsid w:val="00C22811"/>
    <w:rsid w:val="00C2297C"/>
    <w:rsid w:val="00C2568A"/>
    <w:rsid w:val="00C260ED"/>
    <w:rsid w:val="00C34683"/>
    <w:rsid w:val="00C36379"/>
    <w:rsid w:val="00C400D9"/>
    <w:rsid w:val="00C4465D"/>
    <w:rsid w:val="00C4692A"/>
    <w:rsid w:val="00C52388"/>
    <w:rsid w:val="00C559C1"/>
    <w:rsid w:val="00C60BFA"/>
    <w:rsid w:val="00C64BB4"/>
    <w:rsid w:val="00C64E95"/>
    <w:rsid w:val="00C7192D"/>
    <w:rsid w:val="00C73CF5"/>
    <w:rsid w:val="00C7571E"/>
    <w:rsid w:val="00C75B38"/>
    <w:rsid w:val="00C75BD4"/>
    <w:rsid w:val="00C81965"/>
    <w:rsid w:val="00C833EF"/>
    <w:rsid w:val="00C8420E"/>
    <w:rsid w:val="00C8495B"/>
    <w:rsid w:val="00C86BA9"/>
    <w:rsid w:val="00C879A4"/>
    <w:rsid w:val="00C94B71"/>
    <w:rsid w:val="00C96847"/>
    <w:rsid w:val="00C97D08"/>
    <w:rsid w:val="00CA176F"/>
    <w:rsid w:val="00CA53B9"/>
    <w:rsid w:val="00CA5C08"/>
    <w:rsid w:val="00CB39FA"/>
    <w:rsid w:val="00CB580C"/>
    <w:rsid w:val="00CC0410"/>
    <w:rsid w:val="00CC5625"/>
    <w:rsid w:val="00CC57A5"/>
    <w:rsid w:val="00CD2DE4"/>
    <w:rsid w:val="00CE12A1"/>
    <w:rsid w:val="00CE2505"/>
    <w:rsid w:val="00CE2A41"/>
    <w:rsid w:val="00CE4733"/>
    <w:rsid w:val="00CE5CB4"/>
    <w:rsid w:val="00CE63E5"/>
    <w:rsid w:val="00CE6A7E"/>
    <w:rsid w:val="00CF2624"/>
    <w:rsid w:val="00CF30DE"/>
    <w:rsid w:val="00CF3DA8"/>
    <w:rsid w:val="00CF4617"/>
    <w:rsid w:val="00CF73EB"/>
    <w:rsid w:val="00D030F8"/>
    <w:rsid w:val="00D03C6B"/>
    <w:rsid w:val="00D0617F"/>
    <w:rsid w:val="00D07D19"/>
    <w:rsid w:val="00D1289B"/>
    <w:rsid w:val="00D1386D"/>
    <w:rsid w:val="00D16A02"/>
    <w:rsid w:val="00D17F51"/>
    <w:rsid w:val="00D20C16"/>
    <w:rsid w:val="00D20C4B"/>
    <w:rsid w:val="00D2244D"/>
    <w:rsid w:val="00D261A8"/>
    <w:rsid w:val="00D26B81"/>
    <w:rsid w:val="00D305FA"/>
    <w:rsid w:val="00D317E4"/>
    <w:rsid w:val="00D35BD3"/>
    <w:rsid w:val="00D36448"/>
    <w:rsid w:val="00D417DD"/>
    <w:rsid w:val="00D42A6F"/>
    <w:rsid w:val="00D4692A"/>
    <w:rsid w:val="00D47C19"/>
    <w:rsid w:val="00D514DF"/>
    <w:rsid w:val="00D5464F"/>
    <w:rsid w:val="00D54FDC"/>
    <w:rsid w:val="00D57333"/>
    <w:rsid w:val="00D574CA"/>
    <w:rsid w:val="00D57708"/>
    <w:rsid w:val="00D60A7F"/>
    <w:rsid w:val="00D60B25"/>
    <w:rsid w:val="00D6199B"/>
    <w:rsid w:val="00D63400"/>
    <w:rsid w:val="00D6655B"/>
    <w:rsid w:val="00D714DE"/>
    <w:rsid w:val="00D71BC4"/>
    <w:rsid w:val="00D73065"/>
    <w:rsid w:val="00D7315E"/>
    <w:rsid w:val="00D74F54"/>
    <w:rsid w:val="00D80055"/>
    <w:rsid w:val="00D80F55"/>
    <w:rsid w:val="00D82F87"/>
    <w:rsid w:val="00D903B8"/>
    <w:rsid w:val="00D94417"/>
    <w:rsid w:val="00D94958"/>
    <w:rsid w:val="00D952F1"/>
    <w:rsid w:val="00D9634F"/>
    <w:rsid w:val="00DA4F7C"/>
    <w:rsid w:val="00DA6BCD"/>
    <w:rsid w:val="00DB1DE9"/>
    <w:rsid w:val="00DB453B"/>
    <w:rsid w:val="00DB7073"/>
    <w:rsid w:val="00DC25B1"/>
    <w:rsid w:val="00DC2AAE"/>
    <w:rsid w:val="00DC5299"/>
    <w:rsid w:val="00DC61AE"/>
    <w:rsid w:val="00DC6D43"/>
    <w:rsid w:val="00DC77F3"/>
    <w:rsid w:val="00DD025A"/>
    <w:rsid w:val="00DD55AB"/>
    <w:rsid w:val="00DD6ADB"/>
    <w:rsid w:val="00DD7D7A"/>
    <w:rsid w:val="00DE1151"/>
    <w:rsid w:val="00DE1454"/>
    <w:rsid w:val="00DE18E2"/>
    <w:rsid w:val="00DE5A31"/>
    <w:rsid w:val="00DE7209"/>
    <w:rsid w:val="00DF0B2E"/>
    <w:rsid w:val="00DF14FF"/>
    <w:rsid w:val="00DF1E39"/>
    <w:rsid w:val="00DF32FF"/>
    <w:rsid w:val="00E006DF"/>
    <w:rsid w:val="00E02DB4"/>
    <w:rsid w:val="00E04045"/>
    <w:rsid w:val="00E04720"/>
    <w:rsid w:val="00E10FE1"/>
    <w:rsid w:val="00E1160B"/>
    <w:rsid w:val="00E117C1"/>
    <w:rsid w:val="00E14D42"/>
    <w:rsid w:val="00E24011"/>
    <w:rsid w:val="00E2585E"/>
    <w:rsid w:val="00E3292A"/>
    <w:rsid w:val="00E34000"/>
    <w:rsid w:val="00E3525D"/>
    <w:rsid w:val="00E41111"/>
    <w:rsid w:val="00E41133"/>
    <w:rsid w:val="00E450EB"/>
    <w:rsid w:val="00E47E86"/>
    <w:rsid w:val="00E514A9"/>
    <w:rsid w:val="00E514E4"/>
    <w:rsid w:val="00E520D8"/>
    <w:rsid w:val="00E524D6"/>
    <w:rsid w:val="00E5293C"/>
    <w:rsid w:val="00E54A83"/>
    <w:rsid w:val="00E56617"/>
    <w:rsid w:val="00E57582"/>
    <w:rsid w:val="00E65AEB"/>
    <w:rsid w:val="00E6634F"/>
    <w:rsid w:val="00E67161"/>
    <w:rsid w:val="00E67FD1"/>
    <w:rsid w:val="00E724D8"/>
    <w:rsid w:val="00E73B1D"/>
    <w:rsid w:val="00E7516C"/>
    <w:rsid w:val="00E7654C"/>
    <w:rsid w:val="00E8000D"/>
    <w:rsid w:val="00E851F3"/>
    <w:rsid w:val="00E85772"/>
    <w:rsid w:val="00E90C5D"/>
    <w:rsid w:val="00E92030"/>
    <w:rsid w:val="00E934D6"/>
    <w:rsid w:val="00E93AEB"/>
    <w:rsid w:val="00E9503C"/>
    <w:rsid w:val="00E97C17"/>
    <w:rsid w:val="00EA2BE1"/>
    <w:rsid w:val="00EA3809"/>
    <w:rsid w:val="00EA5909"/>
    <w:rsid w:val="00EB1580"/>
    <w:rsid w:val="00EB41A5"/>
    <w:rsid w:val="00EB4385"/>
    <w:rsid w:val="00EB4AC1"/>
    <w:rsid w:val="00EC0892"/>
    <w:rsid w:val="00EC2DC7"/>
    <w:rsid w:val="00EC7D8E"/>
    <w:rsid w:val="00ED0685"/>
    <w:rsid w:val="00ED0A0D"/>
    <w:rsid w:val="00ED0D14"/>
    <w:rsid w:val="00ED2A84"/>
    <w:rsid w:val="00ED575C"/>
    <w:rsid w:val="00ED661E"/>
    <w:rsid w:val="00ED75B6"/>
    <w:rsid w:val="00EE3557"/>
    <w:rsid w:val="00EE7294"/>
    <w:rsid w:val="00EF2B5B"/>
    <w:rsid w:val="00EF42E8"/>
    <w:rsid w:val="00EF592E"/>
    <w:rsid w:val="00EF613F"/>
    <w:rsid w:val="00F01FA3"/>
    <w:rsid w:val="00F03DC0"/>
    <w:rsid w:val="00F04BD6"/>
    <w:rsid w:val="00F07385"/>
    <w:rsid w:val="00F11647"/>
    <w:rsid w:val="00F14F2F"/>
    <w:rsid w:val="00F15E9E"/>
    <w:rsid w:val="00F15F75"/>
    <w:rsid w:val="00F25076"/>
    <w:rsid w:val="00F26C09"/>
    <w:rsid w:val="00F2705D"/>
    <w:rsid w:val="00F30989"/>
    <w:rsid w:val="00F34B99"/>
    <w:rsid w:val="00F360E5"/>
    <w:rsid w:val="00F363CE"/>
    <w:rsid w:val="00F37240"/>
    <w:rsid w:val="00F41C8F"/>
    <w:rsid w:val="00F422E1"/>
    <w:rsid w:val="00F459EA"/>
    <w:rsid w:val="00F52E60"/>
    <w:rsid w:val="00F53209"/>
    <w:rsid w:val="00F5719E"/>
    <w:rsid w:val="00F60AE6"/>
    <w:rsid w:val="00F60C83"/>
    <w:rsid w:val="00F62AF2"/>
    <w:rsid w:val="00F64F96"/>
    <w:rsid w:val="00F65C28"/>
    <w:rsid w:val="00F6692E"/>
    <w:rsid w:val="00F66B0F"/>
    <w:rsid w:val="00F67BBD"/>
    <w:rsid w:val="00F70931"/>
    <w:rsid w:val="00F71D68"/>
    <w:rsid w:val="00F71F8E"/>
    <w:rsid w:val="00F726BF"/>
    <w:rsid w:val="00F73BDA"/>
    <w:rsid w:val="00F74762"/>
    <w:rsid w:val="00F7508D"/>
    <w:rsid w:val="00F77ED2"/>
    <w:rsid w:val="00F81AE0"/>
    <w:rsid w:val="00F91367"/>
    <w:rsid w:val="00F931C2"/>
    <w:rsid w:val="00F95133"/>
    <w:rsid w:val="00F962C0"/>
    <w:rsid w:val="00FA1A7F"/>
    <w:rsid w:val="00FA3131"/>
    <w:rsid w:val="00FB0592"/>
    <w:rsid w:val="00FB139B"/>
    <w:rsid w:val="00FB3112"/>
    <w:rsid w:val="00FB44DF"/>
    <w:rsid w:val="00FB59C4"/>
    <w:rsid w:val="00FD5ABA"/>
    <w:rsid w:val="00FD5C4A"/>
    <w:rsid w:val="00FD6040"/>
    <w:rsid w:val="00FD661D"/>
    <w:rsid w:val="00FE0052"/>
    <w:rsid w:val="00FE065C"/>
    <w:rsid w:val="00FE290A"/>
    <w:rsid w:val="00FE2E11"/>
    <w:rsid w:val="00FF2EA2"/>
    <w:rsid w:val="00FF2EB2"/>
    <w:rsid w:val="00FF3497"/>
    <w:rsid w:val="00FF4CE2"/>
    <w:rsid w:val="00FF671A"/>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AB214"/>
  <w15:docId w15:val="{D6777334-83F1-469B-82CC-0972D739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D1"/>
    <w:rPr>
      <w:sz w:val="24"/>
      <w:szCs w:val="24"/>
    </w:rPr>
  </w:style>
  <w:style w:type="paragraph" w:styleId="Heading1">
    <w:name w:val="heading 1"/>
    <w:basedOn w:val="Normal"/>
    <w:next w:val="Normal"/>
    <w:link w:val="Heading1Char"/>
    <w:uiPriority w:val="99"/>
    <w:qFormat/>
    <w:rsid w:val="000E1DD1"/>
    <w:pPr>
      <w:keepNext/>
      <w:outlineLvl w:val="0"/>
    </w:pPr>
    <w:rPr>
      <w:b/>
      <w:bCs/>
      <w:sz w:val="20"/>
      <w:szCs w:val="12"/>
    </w:rPr>
  </w:style>
  <w:style w:type="paragraph" w:styleId="Heading2">
    <w:name w:val="heading 2"/>
    <w:basedOn w:val="Normal"/>
    <w:next w:val="Normal"/>
    <w:link w:val="Heading2Char"/>
    <w:uiPriority w:val="99"/>
    <w:qFormat/>
    <w:rsid w:val="000E1DD1"/>
    <w:pPr>
      <w:keepNext/>
      <w:outlineLvl w:val="1"/>
    </w:pPr>
    <w:rPr>
      <w:b/>
      <w:bCs/>
      <w:u w:val="single"/>
    </w:rPr>
  </w:style>
  <w:style w:type="paragraph" w:styleId="Heading3">
    <w:name w:val="heading 3"/>
    <w:basedOn w:val="Normal"/>
    <w:next w:val="Normal"/>
    <w:link w:val="Heading3Char"/>
    <w:uiPriority w:val="99"/>
    <w:qFormat/>
    <w:rsid w:val="000E1DD1"/>
    <w:pPr>
      <w:keepNext/>
      <w:outlineLvl w:val="2"/>
    </w:pPr>
    <w:rPr>
      <w:b/>
      <w:bCs/>
    </w:rPr>
  </w:style>
  <w:style w:type="paragraph" w:styleId="Heading4">
    <w:name w:val="heading 4"/>
    <w:basedOn w:val="Normal"/>
    <w:next w:val="Normal"/>
    <w:link w:val="Heading4Char"/>
    <w:uiPriority w:val="99"/>
    <w:qFormat/>
    <w:rsid w:val="000E1DD1"/>
    <w:pPr>
      <w:keepNext/>
      <w:jc w:val="center"/>
      <w:outlineLvl w:val="3"/>
    </w:pPr>
    <w:rPr>
      <w:b/>
      <w:bCs/>
    </w:rPr>
  </w:style>
  <w:style w:type="paragraph" w:styleId="Heading5">
    <w:name w:val="heading 5"/>
    <w:basedOn w:val="Normal"/>
    <w:next w:val="Normal"/>
    <w:link w:val="Heading5Char"/>
    <w:uiPriority w:val="99"/>
    <w:qFormat/>
    <w:rsid w:val="000E1DD1"/>
    <w:pPr>
      <w:keepNext/>
      <w:outlineLvl w:val="4"/>
    </w:pPr>
    <w:rPr>
      <w:b/>
      <w:szCs w:val="20"/>
    </w:rPr>
  </w:style>
  <w:style w:type="paragraph" w:styleId="Heading6">
    <w:name w:val="heading 6"/>
    <w:basedOn w:val="Normal"/>
    <w:next w:val="Normal"/>
    <w:link w:val="Heading6Char"/>
    <w:uiPriority w:val="99"/>
    <w:qFormat/>
    <w:rsid w:val="000E1DD1"/>
    <w:pPr>
      <w:keepNext/>
      <w:tabs>
        <w:tab w:val="num" w:pos="0"/>
      </w:tabs>
      <w:jc w:val="center"/>
      <w:outlineLvl w:val="5"/>
    </w:pPr>
    <w:rPr>
      <w:b/>
      <w:szCs w:val="20"/>
    </w:rPr>
  </w:style>
  <w:style w:type="paragraph" w:styleId="Heading7">
    <w:name w:val="heading 7"/>
    <w:basedOn w:val="Normal"/>
    <w:next w:val="Normal"/>
    <w:link w:val="Heading7Char"/>
    <w:uiPriority w:val="99"/>
    <w:qFormat/>
    <w:rsid w:val="000E1DD1"/>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1C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1C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1C1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C1C1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C1C1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C1C11"/>
    <w:rPr>
      <w:rFonts w:asciiTheme="minorHAnsi" w:eastAsiaTheme="minorEastAsia" w:hAnsiTheme="minorHAnsi" w:cstheme="minorBidi"/>
      <w:sz w:val="24"/>
      <w:szCs w:val="24"/>
    </w:rPr>
  </w:style>
  <w:style w:type="paragraph" w:styleId="Header">
    <w:name w:val="header"/>
    <w:basedOn w:val="Normal"/>
    <w:link w:val="HeaderChar"/>
    <w:uiPriority w:val="99"/>
    <w:rsid w:val="000E1DD1"/>
    <w:pPr>
      <w:tabs>
        <w:tab w:val="center" w:pos="4320"/>
        <w:tab w:val="right" w:pos="8640"/>
      </w:tabs>
    </w:pPr>
  </w:style>
  <w:style w:type="character" w:customStyle="1" w:styleId="HeaderChar">
    <w:name w:val="Header Char"/>
    <w:basedOn w:val="DefaultParagraphFont"/>
    <w:link w:val="Header"/>
    <w:uiPriority w:val="99"/>
    <w:rsid w:val="00EC1C11"/>
    <w:rPr>
      <w:sz w:val="24"/>
      <w:szCs w:val="24"/>
    </w:rPr>
  </w:style>
  <w:style w:type="paragraph" w:styleId="Footer">
    <w:name w:val="footer"/>
    <w:basedOn w:val="Normal"/>
    <w:link w:val="FooterChar"/>
    <w:uiPriority w:val="99"/>
    <w:rsid w:val="000E1DD1"/>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0E1DD1"/>
    <w:pPr>
      <w:jc w:val="center"/>
    </w:pPr>
    <w:rPr>
      <w:b/>
      <w:bCs/>
      <w:szCs w:val="20"/>
    </w:rPr>
  </w:style>
  <w:style w:type="character" w:customStyle="1" w:styleId="TitleChar">
    <w:name w:val="Title Char"/>
    <w:basedOn w:val="DefaultParagraphFont"/>
    <w:link w:val="Title"/>
    <w:uiPriority w:val="10"/>
    <w:rsid w:val="00EC1C11"/>
    <w:rPr>
      <w:rFonts w:asciiTheme="majorHAnsi" w:eastAsiaTheme="majorEastAsia" w:hAnsiTheme="majorHAnsi" w:cstheme="majorBidi"/>
      <w:b/>
      <w:bCs/>
      <w:kern w:val="28"/>
      <w:sz w:val="32"/>
      <w:szCs w:val="32"/>
    </w:rPr>
  </w:style>
  <w:style w:type="character" w:customStyle="1" w:styleId="EmailStyle20">
    <w:name w:val="EmailStyle20"/>
    <w:uiPriority w:val="99"/>
    <w:rsid w:val="000E1DD1"/>
    <w:rPr>
      <w:rFonts w:ascii="Arial" w:hAnsi="Arial"/>
      <w:color w:val="000000"/>
      <w:sz w:val="20"/>
    </w:rPr>
  </w:style>
  <w:style w:type="paragraph" w:styleId="NormalWeb">
    <w:name w:val="Normal (Web)"/>
    <w:basedOn w:val="Normal"/>
    <w:uiPriority w:val="99"/>
    <w:rsid w:val="000E1DD1"/>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0E1DD1"/>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EC1C11"/>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34"/>
    <w:qFormat/>
    <w:rsid w:val="00107069"/>
    <w:pPr>
      <w:ind w:left="720"/>
      <w:contextualSpacing/>
    </w:pPr>
  </w:style>
  <w:style w:type="character" w:customStyle="1" w:styleId="article-articlebody">
    <w:name w:val="article-articlebody"/>
    <w:basedOn w:val="DefaultParagraphFont"/>
    <w:rsid w:val="007C03ED"/>
  </w:style>
  <w:style w:type="paragraph" w:styleId="BodyTextIndent">
    <w:name w:val="Body Text Indent"/>
    <w:basedOn w:val="Normal"/>
    <w:link w:val="BodyTextIndentChar"/>
    <w:rsid w:val="000E633F"/>
    <w:pPr>
      <w:spacing w:after="120"/>
      <w:ind w:left="720" w:hanging="720"/>
    </w:pPr>
    <w:rPr>
      <w:rFonts w:ascii="Verdana" w:hAnsi="Verdana"/>
      <w:color w:val="FF0000"/>
      <w:sz w:val="20"/>
      <w:szCs w:val="20"/>
    </w:rPr>
  </w:style>
  <w:style w:type="character" w:customStyle="1" w:styleId="BodyTextIndentChar">
    <w:name w:val="Body Text Indent Char"/>
    <w:basedOn w:val="DefaultParagraphFont"/>
    <w:link w:val="BodyTextIndent"/>
    <w:rsid w:val="000E633F"/>
    <w:rPr>
      <w:rFonts w:ascii="Verdana" w:hAnsi="Verdana"/>
      <w:color w:val="FF0000"/>
      <w:sz w:val="20"/>
      <w:szCs w:val="20"/>
    </w:rPr>
  </w:style>
  <w:style w:type="character" w:customStyle="1" w:styleId="i10tabularcodedesc">
    <w:name w:val="i10tabularcodedesc"/>
    <w:basedOn w:val="DefaultParagraphFont"/>
    <w:rsid w:val="006C6951"/>
  </w:style>
  <w:style w:type="paragraph" w:styleId="Revision">
    <w:name w:val="Revision"/>
    <w:hidden/>
    <w:uiPriority w:val="99"/>
    <w:semiHidden/>
    <w:rsid w:val="005E7A67"/>
    <w:rPr>
      <w:sz w:val="24"/>
      <w:szCs w:val="24"/>
    </w:rPr>
  </w:style>
  <w:style w:type="character" w:styleId="UnresolvedMention">
    <w:name w:val="Unresolved Mention"/>
    <w:basedOn w:val="DefaultParagraphFont"/>
    <w:uiPriority w:val="99"/>
    <w:semiHidden/>
    <w:unhideWhenUsed/>
    <w:rsid w:val="0040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47990">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50399690">
      <w:marLeft w:val="0"/>
      <w:marRight w:val="0"/>
      <w:marTop w:val="0"/>
      <w:marBottom w:val="0"/>
      <w:divBdr>
        <w:top w:val="none" w:sz="0" w:space="0" w:color="auto"/>
        <w:left w:val="none" w:sz="0" w:space="0" w:color="auto"/>
        <w:bottom w:val="none" w:sz="0" w:space="0" w:color="auto"/>
        <w:right w:val="none" w:sz="0" w:space="0" w:color="auto"/>
      </w:divBdr>
    </w:div>
    <w:div w:id="1650399692">
      <w:marLeft w:val="0"/>
      <w:marRight w:val="0"/>
      <w:marTop w:val="0"/>
      <w:marBottom w:val="0"/>
      <w:divBdr>
        <w:top w:val="none" w:sz="0" w:space="0" w:color="auto"/>
        <w:left w:val="none" w:sz="0" w:space="0" w:color="auto"/>
        <w:bottom w:val="none" w:sz="0" w:space="0" w:color="auto"/>
        <w:right w:val="none" w:sz="0" w:space="0" w:color="auto"/>
      </w:divBdr>
      <w:divsChild>
        <w:div w:id="1650399691">
          <w:marLeft w:val="0"/>
          <w:marRight w:val="0"/>
          <w:marTop w:val="0"/>
          <w:marBottom w:val="0"/>
          <w:divBdr>
            <w:top w:val="none" w:sz="0" w:space="0" w:color="auto"/>
            <w:left w:val="none" w:sz="0" w:space="0" w:color="auto"/>
            <w:bottom w:val="none" w:sz="0" w:space="0" w:color="auto"/>
            <w:right w:val="none" w:sz="0" w:space="0" w:color="auto"/>
          </w:divBdr>
        </w:div>
        <w:div w:id="1650399694">
          <w:marLeft w:val="0"/>
          <w:marRight w:val="0"/>
          <w:marTop w:val="0"/>
          <w:marBottom w:val="0"/>
          <w:divBdr>
            <w:top w:val="none" w:sz="0" w:space="0" w:color="auto"/>
            <w:left w:val="none" w:sz="0" w:space="0" w:color="auto"/>
            <w:bottom w:val="none" w:sz="0" w:space="0" w:color="auto"/>
            <w:right w:val="none" w:sz="0" w:space="0" w:color="auto"/>
          </w:divBdr>
        </w:div>
      </w:divsChild>
    </w:div>
    <w:div w:id="1650399693">
      <w:marLeft w:val="0"/>
      <w:marRight w:val="0"/>
      <w:marTop w:val="0"/>
      <w:marBottom w:val="0"/>
      <w:divBdr>
        <w:top w:val="none" w:sz="0" w:space="0" w:color="auto"/>
        <w:left w:val="none" w:sz="0" w:space="0" w:color="auto"/>
        <w:bottom w:val="none" w:sz="0" w:space="0" w:color="auto"/>
        <w:right w:val="none" w:sz="0" w:space="0" w:color="auto"/>
      </w:divBdr>
    </w:div>
    <w:div w:id="19953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26" Type="http://schemas.openxmlformats.org/officeDocument/2006/relationships/hyperlink" Target="https://www.accessdata.fda.gov/cdrh_docs/pdf/P980053b.pdf" TargetMode="External"/><Relationship Id="rId3" Type="http://schemas.openxmlformats.org/officeDocument/2006/relationships/customXml" Target="../customXml/item3.xml"/><Relationship Id="rId21" Type="http://schemas.openxmlformats.org/officeDocument/2006/relationships/hyperlink" Target="https://emedicine.medscape.com/article/447068-overview"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rofessional.medtronic.com/pt/uro/snm/edu/patient-selection/index.htm" TargetMode="External"/><Relationship Id="rId25" Type="http://schemas.openxmlformats.org/officeDocument/2006/relationships/hyperlink" Target="https://www.nice.org.uk/guidance/ipg6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scholarship.org/content/qt9dt57291/qt9dt57291_noSplash_c18758fbc805379975a8761fa575c5ee.pdf" TargetMode="External"/><Relationship Id="rId29" Type="http://schemas.openxmlformats.org/officeDocument/2006/relationships/hyperlink" Target="https://www.accessdata.fda.gov/scripts/cdrh/cfdocs/cfpma/pma.cfm?id=P170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og.org/clinical/clinical-guidance/practice-bulletin/articles/2015/11/urinary-incontinence-in-wom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og.org/clinical/clinical-guidance/committee-opinion/articles/2014/06/evaluation-of-uncomplicated-stress-urinary-incontinence-in-women-before-surgical-treatment" TargetMode="External"/><Relationship Id="rId28" Type="http://schemas.openxmlformats.org/officeDocument/2006/relationships/hyperlink" Target="https://www.accessdata.fda.gov/cdrh_docs/pdf4/p040047b.pdf" TargetMode="External"/><Relationship Id="rId10" Type="http://schemas.openxmlformats.org/officeDocument/2006/relationships/endnotes" Target="endnotes.xml"/><Relationship Id="rId19" Type="http://schemas.openxmlformats.org/officeDocument/2006/relationships/hyperlink" Target="http://www.uptodate.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 Id="rId27" Type="http://schemas.openxmlformats.org/officeDocument/2006/relationships/hyperlink" Target="https://www.accessdata.fda.gov/scripts/cdrh/cfdocs/cfpma/pma.cfm?id=P040050" TargetMode="External"/><Relationship Id="rId30" Type="http://schemas.openxmlformats.org/officeDocument/2006/relationships/hyperlink" Target="http://www.cm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BE7D-9525-420F-8ABB-5054DA530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C4D405-450B-490E-A126-FFD4BC0FA8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BEDF3-406B-48A4-BAF5-B76AB59680DB}">
  <ds:schemaRefs>
    <ds:schemaRef ds:uri="http://schemas.microsoft.com/sharepoint/v3/contenttype/forms"/>
  </ds:schemaRefs>
</ds:datastoreItem>
</file>

<file path=customXml/itemProps4.xml><?xml version="1.0" encoding="utf-8"?>
<ds:datastoreItem xmlns:ds="http://schemas.openxmlformats.org/officeDocument/2006/customXml" ds:itemID="{8F32E5F3-A838-4E8F-97F1-F52B5C8D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3595</Words>
  <Characters>23012</Characters>
  <Application>Microsoft Office Word</Application>
  <DocSecurity>0</DocSecurity>
  <Lines>460</Lines>
  <Paragraphs>195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2019-03-04T18:48:00Z</cp:lastPrinted>
  <dcterms:created xsi:type="dcterms:W3CDTF">2025-11-20T17:05:00Z</dcterms:created>
  <dcterms:modified xsi:type="dcterms:W3CDTF">2025-11-20T17:05:00Z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2022-09-07T17:32:36Z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b04f9e4d-5cee-4be9-9eb6-4520333c2f7e</vt:lpwstr>
  </property>
  <property fmtid="{D5CDD505-2E9C-101B-9397-08002B2CF9AE}" pid="8" name="MSIP_Label_5a776955-85f6-4fec-9553-96dd3e0373c4_ContentBits">
    <vt:lpwstr>0</vt:lpwstr>
  </property>
</Properties>
</file>