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CCC2" w14:textId="77777777" w:rsidR="00397332" w:rsidRDefault="00397332" w:rsidP="00D574CA">
      <w:pPr>
        <w:pStyle w:val="PolicyMainHead"/>
        <w:tabs>
          <w:tab w:val="left" w:pos="360"/>
        </w:tabs>
        <w:spacing w:after="0" w:line="240" w:lineRule="auto"/>
        <w:rPr>
          <w:color w:val="00548C"/>
          <w:sz w:val="24"/>
        </w:rPr>
        <w:sectPr w:rsidR="00397332"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Policy</w:t>
      </w:r>
      <w:r w:rsidR="000E0A65">
        <w:rPr>
          <w:rFonts w:ascii="Times New Roman" w:hAnsi="Times New Roman"/>
          <w:color w:val="00548C"/>
          <w:sz w:val="32"/>
          <w:szCs w:val="32"/>
        </w:rPr>
        <w:t xml:space="preserve">: </w:t>
      </w:r>
      <w:r w:rsidRPr="00427EE4">
        <w:rPr>
          <w:rFonts w:ascii="Times New Roman" w:hAnsi="Times New Roman"/>
          <w:color w:val="00548C"/>
          <w:sz w:val="36"/>
          <w:szCs w:val="36"/>
        </w:rPr>
        <w:t>Total Artificial Heart</w:t>
      </w:r>
    </w:p>
    <w:p w14:paraId="283BCCC3" w14:textId="77777777" w:rsidR="001620D1" w:rsidRPr="003D7BE7" w:rsidRDefault="00397332" w:rsidP="001620D1">
      <w:pPr>
        <w:pStyle w:val="PolicyMainHead"/>
        <w:tabs>
          <w:tab w:val="left" w:pos="360"/>
        </w:tabs>
        <w:spacing w:after="0" w:line="240" w:lineRule="auto"/>
        <w:rPr>
          <w:rFonts w:ascii="Times New Roman" w:hAnsi="Times New Roman"/>
          <w:color w:val="00548C"/>
          <w:sz w:val="24"/>
          <w:szCs w:val="24"/>
        </w:rPr>
        <w:sectPr w:rsidR="001620D1"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w:t>
      </w:r>
      <w:r w:rsidR="00344308">
        <w:rPr>
          <w:rFonts w:ascii="Times New Roman" w:hAnsi="Times New Roman"/>
          <w:color w:val="00548C"/>
          <w:sz w:val="24"/>
          <w:szCs w:val="24"/>
        </w:rPr>
        <w:t>127</w:t>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001620D1">
        <w:rPr>
          <w:rFonts w:ascii="Times New Roman" w:hAnsi="Times New Roman"/>
          <w:color w:val="00548C"/>
          <w:sz w:val="24"/>
          <w:szCs w:val="24"/>
        </w:rPr>
        <w:t xml:space="preserve">     </w:t>
      </w:r>
      <w:hyperlink w:anchor="Coding_Implications" w:history="1">
        <w:r w:rsidR="001620D1" w:rsidRPr="00875924">
          <w:rPr>
            <w:rStyle w:val="Hyperlink"/>
            <w:rFonts w:ascii="Times New Roman" w:hAnsi="Times New Roman"/>
            <w:sz w:val="24"/>
            <w:szCs w:val="24"/>
          </w:rPr>
          <w:t>Coding Implications</w:t>
        </w:r>
      </w:hyperlink>
      <w:r w:rsidR="001620D1" w:rsidRPr="003D7BE7">
        <w:rPr>
          <w:rFonts w:ascii="Times New Roman" w:hAnsi="Times New Roman"/>
          <w:color w:val="00548C"/>
          <w:sz w:val="24"/>
          <w:szCs w:val="24"/>
        </w:rPr>
        <w:t xml:space="preserve"> </w:t>
      </w:r>
    </w:p>
    <w:p w14:paraId="283BCCC4" w14:textId="5BBBCEE1" w:rsidR="001620D1" w:rsidRDefault="00323A5D" w:rsidP="001620D1">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1620D1" w:rsidRPr="003D7BE7">
        <w:rPr>
          <w:rFonts w:ascii="Times New Roman" w:hAnsi="Times New Roman"/>
          <w:color w:val="00548C"/>
          <w:sz w:val="24"/>
          <w:szCs w:val="24"/>
        </w:rPr>
        <w:t>Last Revi</w:t>
      </w:r>
      <w:r>
        <w:rPr>
          <w:rFonts w:ascii="Times New Roman" w:hAnsi="Times New Roman"/>
          <w:color w:val="00548C"/>
          <w:sz w:val="24"/>
          <w:szCs w:val="24"/>
        </w:rPr>
        <w:t>sion</w:t>
      </w:r>
      <w:r w:rsidR="001620D1" w:rsidRPr="003D7BE7">
        <w:rPr>
          <w:rFonts w:ascii="Times New Roman" w:hAnsi="Times New Roman"/>
          <w:color w:val="00548C"/>
          <w:sz w:val="24"/>
          <w:szCs w:val="24"/>
        </w:rPr>
        <w:t xml:space="preserve">: </w:t>
      </w:r>
      <w:r w:rsidR="00026880">
        <w:rPr>
          <w:rFonts w:ascii="Times New Roman" w:hAnsi="Times New Roman"/>
          <w:color w:val="00548C"/>
          <w:sz w:val="24"/>
          <w:szCs w:val="24"/>
        </w:rPr>
        <w:t>05/25</w:t>
      </w:r>
    </w:p>
    <w:p w14:paraId="283BCCC5" w14:textId="77777777" w:rsidR="00397332" w:rsidRDefault="001620D1" w:rsidP="009842FA">
      <w:pPr>
        <w:pStyle w:val="PolicyMainHead"/>
        <w:tabs>
          <w:tab w:val="left" w:pos="360"/>
        </w:tabs>
        <w:spacing w:after="0" w:line="240" w:lineRule="auto"/>
        <w:jc w:val="right"/>
        <w:rPr>
          <w:rStyle w:val="Strong"/>
          <w:rFonts w:ascii="Times New Roman" w:hAnsi="Times New Roman"/>
          <w:b w:val="0"/>
          <w:u w:val="single"/>
        </w:rPr>
        <w:sectPr w:rsidR="00397332"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p>
    <w:p w14:paraId="283BCCC6" w14:textId="77777777" w:rsidR="009842FA" w:rsidRDefault="009842FA" w:rsidP="00D574CA">
      <w:pPr>
        <w:pStyle w:val="NormalWeb"/>
        <w:spacing w:before="0" w:beforeAutospacing="0" w:after="0" w:afterAutospacing="0"/>
        <w:rPr>
          <w:rFonts w:ascii="Times New Roman" w:hAnsi="Times New Roman" w:cs="Times New Roman"/>
          <w:b/>
          <w:color w:val="00548C"/>
        </w:rPr>
      </w:pPr>
    </w:p>
    <w:p w14:paraId="283BCCC7" w14:textId="77777777" w:rsidR="00397332" w:rsidRPr="005D7B81" w:rsidRDefault="001620D1" w:rsidP="00D574CA">
      <w:pPr>
        <w:pStyle w:val="NormalWeb"/>
        <w:spacing w:before="0" w:beforeAutospacing="0" w:after="0" w:afterAutospacing="0"/>
        <w:rPr>
          <w:rStyle w:val="Strong"/>
          <w:rFonts w:ascii="Times New Roman" w:hAnsi="Times New Roman"/>
          <w:b w:val="0"/>
          <w:color w:val="00548C"/>
          <w:u w:val="single"/>
        </w:rPr>
      </w:pPr>
      <w:r>
        <w:rPr>
          <w:rFonts w:ascii="Times New Roman" w:hAnsi="Times New Roman" w:cs="Times New Roman"/>
          <w:b/>
          <w:color w:val="00548C"/>
        </w:rPr>
        <w:t>S</w:t>
      </w:r>
      <w:r w:rsidR="00397332" w:rsidRPr="005D7B81">
        <w:rPr>
          <w:rFonts w:ascii="Times New Roman" w:hAnsi="Times New Roman" w:cs="Times New Roman"/>
          <w:b/>
          <w:color w:val="00548C"/>
        </w:rPr>
        <w:t xml:space="preserve">ee </w:t>
      </w:r>
      <w:hyperlink w:anchor="Important_Reminder" w:history="1">
        <w:r w:rsidR="00397332" w:rsidRPr="005D7B81">
          <w:rPr>
            <w:rStyle w:val="Hyperlink"/>
            <w:rFonts w:ascii="Times New Roman" w:hAnsi="Times New Roman"/>
            <w:noProof/>
          </w:rPr>
          <w:t>Important Reminder</w:t>
        </w:r>
      </w:hyperlink>
      <w:r w:rsidR="00397332" w:rsidRPr="005D7B81">
        <w:rPr>
          <w:rFonts w:ascii="Times New Roman" w:hAnsi="Times New Roman" w:cs="Times New Roman"/>
          <w:b/>
          <w:color w:val="00548C"/>
        </w:rPr>
        <w:t xml:space="preserve"> at the end of th</w:t>
      </w:r>
      <w:r w:rsidR="00397332">
        <w:rPr>
          <w:rFonts w:ascii="Times New Roman" w:hAnsi="Times New Roman" w:cs="Times New Roman"/>
          <w:b/>
          <w:color w:val="00548C"/>
        </w:rPr>
        <w:t>is</w:t>
      </w:r>
      <w:r w:rsidR="00397332" w:rsidRPr="005D7B81">
        <w:rPr>
          <w:rFonts w:ascii="Times New Roman" w:hAnsi="Times New Roman" w:cs="Times New Roman"/>
          <w:b/>
          <w:color w:val="00548C"/>
        </w:rPr>
        <w:t xml:space="preserve"> policy for</w:t>
      </w:r>
      <w:r w:rsidR="00397332">
        <w:rPr>
          <w:rFonts w:ascii="Times New Roman" w:hAnsi="Times New Roman" w:cs="Times New Roman"/>
          <w:b/>
          <w:color w:val="00548C"/>
        </w:rPr>
        <w:t xml:space="preserve"> important</w:t>
      </w:r>
      <w:r w:rsidR="00397332" w:rsidRPr="005D7B81">
        <w:rPr>
          <w:rFonts w:ascii="Times New Roman" w:hAnsi="Times New Roman" w:cs="Times New Roman"/>
          <w:b/>
          <w:color w:val="00548C"/>
        </w:rPr>
        <w:t xml:space="preserve"> regulatory and legal information</w:t>
      </w:r>
      <w:r w:rsidR="00397332">
        <w:rPr>
          <w:rFonts w:ascii="Times New Roman" w:hAnsi="Times New Roman" w:cs="Times New Roman"/>
          <w:b/>
          <w:color w:val="00548C"/>
        </w:rPr>
        <w:t>.</w:t>
      </w:r>
    </w:p>
    <w:p w14:paraId="283BCCC8" w14:textId="77777777" w:rsidR="00397332" w:rsidRDefault="00397332" w:rsidP="00875924">
      <w:pPr>
        <w:pStyle w:val="NormalWeb"/>
        <w:spacing w:before="0" w:beforeAutospacing="0" w:after="0" w:afterAutospacing="0"/>
        <w:jc w:val="center"/>
        <w:rPr>
          <w:rStyle w:val="Strong"/>
          <w:rFonts w:ascii="Times New Roman" w:hAnsi="Times New Roman"/>
          <w:b w:val="0"/>
          <w:u w:val="single"/>
        </w:rPr>
      </w:pPr>
    </w:p>
    <w:p w14:paraId="283BCCC9" w14:textId="77777777" w:rsidR="00397332" w:rsidRPr="00B777AF" w:rsidRDefault="00397332">
      <w:pPr>
        <w:pStyle w:val="Heading2"/>
        <w:rPr>
          <w:u w:val="none"/>
        </w:rPr>
      </w:pPr>
      <w:r w:rsidRPr="00B777AF">
        <w:rPr>
          <w:u w:val="none"/>
        </w:rPr>
        <w:t xml:space="preserve">Description </w:t>
      </w:r>
    </w:p>
    <w:p w14:paraId="283BCCCA" w14:textId="59CC9E01" w:rsidR="00397332" w:rsidRPr="00C367BA" w:rsidRDefault="00397332" w:rsidP="00644F84">
      <w:r>
        <w:t xml:space="preserve">The </w:t>
      </w:r>
      <w:proofErr w:type="spellStart"/>
      <w:r>
        <w:t>SynCardia</w:t>
      </w:r>
      <w:proofErr w:type="spellEnd"/>
      <w:r>
        <w:t xml:space="preserve"> temporary Total Artificial Heart</w:t>
      </w:r>
      <w:r w:rsidR="00344308">
        <w:t xml:space="preserve"> (TAH)</w:t>
      </w:r>
      <w:r>
        <w:t xml:space="preserve"> (</w:t>
      </w:r>
      <w:proofErr w:type="spellStart"/>
      <w:r>
        <w:t>SynCardia</w:t>
      </w:r>
      <w:proofErr w:type="spellEnd"/>
      <w:r>
        <w:t xml:space="preserve"> Systems Inc.), formerly known as the </w:t>
      </w:r>
      <w:proofErr w:type="spellStart"/>
      <w:r>
        <w:t>CardioWest</w:t>
      </w:r>
      <w:proofErr w:type="spellEnd"/>
      <w:r>
        <w:t xml:space="preserve"> Total Artificial Heart, is a biventricular pulsatile pump that replaces the</w:t>
      </w:r>
      <w:r w:rsidR="00344308">
        <w:t xml:space="preserve"> </w:t>
      </w:r>
      <w:r>
        <w:t>patient’s native ventricles and valves</w:t>
      </w:r>
      <w:r w:rsidR="008F587A">
        <w:t xml:space="preserve">. </w:t>
      </w:r>
      <w:r w:rsidRPr="00C367BA">
        <w:t>This policy describes the medical necessity requirements for</w:t>
      </w:r>
      <w:r>
        <w:t xml:space="preserve"> the total artificial heart.</w:t>
      </w:r>
      <w:r w:rsidR="00C468AA">
        <w:t xml:space="preserve"> </w:t>
      </w:r>
    </w:p>
    <w:p w14:paraId="283BCCCB" w14:textId="77777777" w:rsidR="00397332" w:rsidRPr="00B777AF" w:rsidRDefault="00397332" w:rsidP="00196935"/>
    <w:p w14:paraId="283BCCCC" w14:textId="77777777" w:rsidR="00397332" w:rsidRPr="00B777AF" w:rsidRDefault="00397332">
      <w:pPr>
        <w:pStyle w:val="Heading2"/>
        <w:rPr>
          <w:u w:val="none"/>
        </w:rPr>
      </w:pPr>
      <w:r w:rsidRPr="00B777AF">
        <w:rPr>
          <w:u w:val="none"/>
        </w:rPr>
        <w:t>Policy/Criteria</w:t>
      </w:r>
    </w:p>
    <w:p w14:paraId="283BCCCD" w14:textId="1FC9BE19" w:rsidR="00397332" w:rsidRDefault="00397332" w:rsidP="009B4B62">
      <w:pPr>
        <w:numPr>
          <w:ilvl w:val="0"/>
          <w:numId w:val="21"/>
        </w:numPr>
      </w:pPr>
      <w:r>
        <w:rPr>
          <w:bCs/>
          <w:color w:val="000000"/>
        </w:rPr>
        <w:t>It is the policy of health plans affiliated with Centene Corporation</w:t>
      </w:r>
      <w:r w:rsidRPr="00C75BD4">
        <w:rPr>
          <w:bCs/>
          <w:color w:val="000000"/>
          <w:vertAlign w:val="superscript"/>
        </w:rPr>
        <w:t>®</w:t>
      </w:r>
      <w:r>
        <w:rPr>
          <w:bCs/>
          <w:color w:val="000000"/>
        </w:rPr>
        <w:t xml:space="preserve"> </w:t>
      </w:r>
      <w:r>
        <w:t xml:space="preserve">that the </w:t>
      </w:r>
      <w:r w:rsidR="00344308">
        <w:t>T</w:t>
      </w:r>
      <w:r w:rsidR="004D79B5">
        <w:t xml:space="preserve">otal </w:t>
      </w:r>
      <w:r w:rsidR="00344308">
        <w:t>A</w:t>
      </w:r>
      <w:r w:rsidR="004D79B5">
        <w:t xml:space="preserve">rtificial </w:t>
      </w:r>
      <w:r w:rsidR="00344308">
        <w:t>H</w:t>
      </w:r>
      <w:r w:rsidR="004D79B5">
        <w:t>eart</w:t>
      </w:r>
      <w:r w:rsidRPr="00D848FD">
        <w:t xml:space="preserve"> </w:t>
      </w:r>
      <w:r>
        <w:t xml:space="preserve">is </w:t>
      </w:r>
      <w:r w:rsidRPr="00344308">
        <w:rPr>
          <w:b/>
        </w:rPr>
        <w:t>medically necessary</w:t>
      </w:r>
      <w:r w:rsidRPr="00D848FD">
        <w:t xml:space="preserve"> as a bridge to heart transplantation </w:t>
      </w:r>
      <w:r>
        <w:t xml:space="preserve">when </w:t>
      </w:r>
      <w:proofErr w:type="gramStart"/>
      <w:r>
        <w:t xml:space="preserve">all </w:t>
      </w:r>
      <w:r w:rsidR="00A75730">
        <w:t>of</w:t>
      </w:r>
      <w:proofErr w:type="gramEnd"/>
      <w:r w:rsidR="00A75730">
        <w:t xml:space="preserve"> </w:t>
      </w:r>
      <w:r>
        <w:t xml:space="preserve">the </w:t>
      </w:r>
      <w:r w:rsidRPr="00D848FD">
        <w:t>following criteria</w:t>
      </w:r>
      <w:r>
        <w:t xml:space="preserve"> </w:t>
      </w:r>
      <w:r w:rsidR="00A75730">
        <w:t xml:space="preserve">are </w:t>
      </w:r>
      <w:r>
        <w:t>met</w:t>
      </w:r>
      <w:r w:rsidRPr="00D848FD">
        <w:t>:</w:t>
      </w:r>
    </w:p>
    <w:p w14:paraId="283BCCCE" w14:textId="6E58DE86" w:rsidR="00397332" w:rsidRDefault="00CF25B6" w:rsidP="001C5100">
      <w:pPr>
        <w:numPr>
          <w:ilvl w:val="1"/>
          <w:numId w:val="21"/>
        </w:numPr>
      </w:pPr>
      <w:r>
        <w:t xml:space="preserve">Member/enrollee </w:t>
      </w:r>
      <w:r w:rsidR="00397332">
        <w:t xml:space="preserve">is approved for cardiac transplant </w:t>
      </w:r>
      <w:r w:rsidR="00397332" w:rsidRPr="00D848FD">
        <w:t>and is currently on transplant list</w:t>
      </w:r>
      <w:r w:rsidR="00397332">
        <w:t>;</w:t>
      </w:r>
      <w:r w:rsidR="00397332" w:rsidRPr="00D848FD">
        <w:t xml:space="preserve"> </w:t>
      </w:r>
    </w:p>
    <w:p w14:paraId="283BCCCF" w14:textId="77777777" w:rsidR="00397332" w:rsidRDefault="00397332" w:rsidP="001C5100">
      <w:pPr>
        <w:numPr>
          <w:ilvl w:val="1"/>
          <w:numId w:val="21"/>
        </w:numPr>
      </w:pPr>
      <w:r w:rsidRPr="002147A8">
        <w:t>New York Heart Association (NYHA) Functional Class IV</w:t>
      </w:r>
      <w:r>
        <w:t>;</w:t>
      </w:r>
      <w:r w:rsidRPr="002147A8">
        <w:t xml:space="preserve"> </w:t>
      </w:r>
    </w:p>
    <w:p w14:paraId="283BCCD0" w14:textId="77777777" w:rsidR="00397332" w:rsidRDefault="00397332" w:rsidP="001C5100">
      <w:pPr>
        <w:numPr>
          <w:ilvl w:val="1"/>
          <w:numId w:val="21"/>
        </w:numPr>
      </w:pPr>
      <w:r>
        <w:t>Presence of non</w:t>
      </w:r>
      <w:r w:rsidR="00A75730">
        <w:t>-</w:t>
      </w:r>
      <w:r>
        <w:t>reversible biventricular failure unresponsive to all other treatments;</w:t>
      </w:r>
    </w:p>
    <w:p w14:paraId="283BCCD1" w14:textId="77777777" w:rsidR="00397332" w:rsidRDefault="00397332" w:rsidP="001C5100">
      <w:pPr>
        <w:numPr>
          <w:ilvl w:val="1"/>
          <w:numId w:val="21"/>
        </w:numPr>
      </w:pPr>
      <w:r w:rsidRPr="002147A8">
        <w:t>Ineligible for other ventricular support devices</w:t>
      </w:r>
      <w:r>
        <w:t>;</w:t>
      </w:r>
    </w:p>
    <w:p w14:paraId="283BCCD2" w14:textId="77777777" w:rsidR="00397332" w:rsidRDefault="00397332" w:rsidP="001C5100">
      <w:pPr>
        <w:numPr>
          <w:ilvl w:val="1"/>
          <w:numId w:val="21"/>
        </w:numPr>
      </w:pPr>
      <w:r w:rsidRPr="002147A8">
        <w:t xml:space="preserve">Compatible donor heart is </w:t>
      </w:r>
      <w:r>
        <w:t xml:space="preserve">currently </w:t>
      </w:r>
      <w:r w:rsidRPr="002147A8">
        <w:t>unavailable</w:t>
      </w:r>
      <w:r>
        <w:t>;</w:t>
      </w:r>
      <w:r w:rsidRPr="002147A8">
        <w:t xml:space="preserve"> </w:t>
      </w:r>
    </w:p>
    <w:p w14:paraId="283BCCD3" w14:textId="35CAED52" w:rsidR="00397332" w:rsidRDefault="00397332" w:rsidP="001C5100">
      <w:pPr>
        <w:numPr>
          <w:ilvl w:val="1"/>
          <w:numId w:val="21"/>
        </w:numPr>
      </w:pPr>
      <w:r w:rsidRPr="002147A8">
        <w:t>Imminent risk of death</w:t>
      </w:r>
      <w:r w:rsidR="002F34CD">
        <w:t xml:space="preserve"> </w:t>
      </w:r>
      <w:r w:rsidR="00890759">
        <w:t>due to</w:t>
      </w:r>
      <w:r w:rsidR="002F34CD" w:rsidRPr="002F34CD">
        <w:t xml:space="preserve"> irreversible biventricular heart failure</w:t>
      </w:r>
      <w:r>
        <w:t>;</w:t>
      </w:r>
    </w:p>
    <w:p w14:paraId="283BCCD4" w14:textId="7A4C1C9A" w:rsidR="00397332" w:rsidRDefault="00302AA1" w:rsidP="00302AA1">
      <w:pPr>
        <w:numPr>
          <w:ilvl w:val="1"/>
          <w:numId w:val="21"/>
        </w:numPr>
      </w:pPr>
      <w:r>
        <w:t xml:space="preserve">The device is approved </w:t>
      </w:r>
      <w:r w:rsidR="00D76BD4">
        <w:t>by</w:t>
      </w:r>
      <w:r w:rsidR="00BE0D25">
        <w:t xml:space="preserve"> the United States </w:t>
      </w:r>
      <w:r w:rsidR="00BE0D25" w:rsidRPr="00BE0D25">
        <w:t xml:space="preserve">Food and Drug Administration </w:t>
      </w:r>
      <w:r w:rsidR="00BE0D25">
        <w:t xml:space="preserve">(FDA) </w:t>
      </w:r>
      <w:r>
        <w:t xml:space="preserve">and </w:t>
      </w:r>
      <w:r w:rsidRPr="00302AA1">
        <w:t xml:space="preserve">used according to </w:t>
      </w:r>
      <w:r>
        <w:t xml:space="preserve">the </w:t>
      </w:r>
      <w:r w:rsidRPr="00302AA1">
        <w:t>FDA-labeled indications, contraindications, warnings and precautions</w:t>
      </w:r>
      <w:r w:rsidR="00344308">
        <w:t>;</w:t>
      </w:r>
    </w:p>
    <w:p w14:paraId="2DA90274" w14:textId="0D41E7E6" w:rsidR="005B6EAD" w:rsidRDefault="00CF25B6" w:rsidP="001C5100">
      <w:pPr>
        <w:numPr>
          <w:ilvl w:val="1"/>
          <w:numId w:val="21"/>
        </w:numPr>
      </w:pPr>
      <w:r>
        <w:t xml:space="preserve">Member/enrollee </w:t>
      </w:r>
      <w:proofErr w:type="gramStart"/>
      <w:r w:rsidR="00397332" w:rsidRPr="002147A8">
        <w:t>is able to</w:t>
      </w:r>
      <w:proofErr w:type="gramEnd"/>
      <w:r w:rsidR="00397332" w:rsidRPr="002147A8">
        <w:t xml:space="preserve"> receive adequate anti-coagulation while on the total artificial heart.</w:t>
      </w:r>
    </w:p>
    <w:p w14:paraId="283BCCD6" w14:textId="77777777" w:rsidR="00397332" w:rsidRDefault="00397332" w:rsidP="003F3D44"/>
    <w:p w14:paraId="283BCCD7" w14:textId="4E71D35A" w:rsidR="00397332" w:rsidRDefault="00397332" w:rsidP="009F0544">
      <w:pPr>
        <w:numPr>
          <w:ilvl w:val="0"/>
          <w:numId w:val="21"/>
        </w:numPr>
      </w:pPr>
      <w:r w:rsidRPr="009B4B62">
        <w:t>It is the policy of health plans affiliated with Centene Corporation that the</w:t>
      </w:r>
      <w:r w:rsidR="009F0544">
        <w:t xml:space="preserve">re is </w:t>
      </w:r>
      <w:r w:rsidR="009F0544" w:rsidRPr="009F0544">
        <w:t xml:space="preserve">insufficient evidence to support the use </w:t>
      </w:r>
      <w:r w:rsidR="009F0544">
        <w:t xml:space="preserve">of the </w:t>
      </w:r>
      <w:r w:rsidR="009842FA">
        <w:t>T</w:t>
      </w:r>
      <w:r w:rsidR="004D79B5">
        <w:t xml:space="preserve">otal </w:t>
      </w:r>
      <w:r w:rsidR="009842FA">
        <w:t>A</w:t>
      </w:r>
      <w:r w:rsidR="004D79B5">
        <w:t xml:space="preserve">rtificial </w:t>
      </w:r>
      <w:r w:rsidR="009842FA">
        <w:t>H</w:t>
      </w:r>
      <w:r w:rsidR="004D79B5">
        <w:t>eart</w:t>
      </w:r>
      <w:r w:rsidRPr="009B4B62">
        <w:t xml:space="preserve"> as destination therapy</w:t>
      </w:r>
      <w:r w:rsidR="004108F9">
        <w:t xml:space="preserve"> (permanent replacement of the failing heart)</w:t>
      </w:r>
      <w:r w:rsidR="004D79B5">
        <w:t>.</w:t>
      </w:r>
    </w:p>
    <w:p w14:paraId="283BCCDA" w14:textId="77777777" w:rsidR="00397332" w:rsidRDefault="00397332" w:rsidP="00C96847"/>
    <w:p w14:paraId="283BCCDB" w14:textId="77777777" w:rsidR="00397332" w:rsidRDefault="00397332" w:rsidP="00FB0592">
      <w:pPr>
        <w:pStyle w:val="Heading2"/>
        <w:rPr>
          <w:u w:val="none"/>
        </w:rPr>
      </w:pPr>
      <w:r>
        <w:rPr>
          <w:u w:val="none"/>
        </w:rPr>
        <w:t>B</w:t>
      </w:r>
      <w:r w:rsidRPr="00B777AF">
        <w:rPr>
          <w:u w:val="none"/>
        </w:rPr>
        <w:t>ackground</w:t>
      </w:r>
    </w:p>
    <w:p w14:paraId="283BCCDC" w14:textId="3A8FB4E3" w:rsidR="00397332" w:rsidRDefault="00397332" w:rsidP="0081319B">
      <w:r>
        <w:t xml:space="preserve">Heart transplantation has become the standard treatment for eligible </w:t>
      </w:r>
      <w:r w:rsidRPr="00D270CF">
        <w:t xml:space="preserve">patients with </w:t>
      </w:r>
      <w:r w:rsidRPr="00A96A4A">
        <w:t>irreversible biventricular failure unresponsive to medical and surgica</w:t>
      </w:r>
      <w:r w:rsidRPr="004B59D1">
        <w:t>l treatment.</w:t>
      </w:r>
      <w:r w:rsidR="00D270CF">
        <w:rPr>
          <w:vertAlign w:val="superscript"/>
        </w:rPr>
        <w:t>15</w:t>
      </w:r>
      <w:r>
        <w:t xml:space="preserve"> </w:t>
      </w:r>
      <w:r w:rsidRPr="008F587A">
        <w:t xml:space="preserve">The </w:t>
      </w:r>
      <w:proofErr w:type="spellStart"/>
      <w:r w:rsidRPr="008F587A">
        <w:t>SynCardia</w:t>
      </w:r>
      <w:proofErr w:type="spellEnd"/>
      <w:r w:rsidRPr="008F587A">
        <w:t xml:space="preserve"> temporary Total Artificial Heart (TAH) system is indicated as a bridge to transplantation in cardiac transplant eligible candidates at risk of imminent death from biventricular heart failure.</w:t>
      </w:r>
      <w:r>
        <w:t xml:space="preserve"> The TAH is a biventricular pulsatile pump that replaces the patient’s native ventricles and valves and pumps blood to both the pulmonary and systemic circulation</w:t>
      </w:r>
      <w:r w:rsidR="00A75730">
        <w:t>s</w:t>
      </w:r>
      <w:r>
        <w:t>. The system consists of the implantable T</w:t>
      </w:r>
      <w:r w:rsidR="004D79B5">
        <w:t>AH</w:t>
      </w:r>
      <w:r>
        <w:t xml:space="preserve"> and an external console connected by drivelines. </w:t>
      </w:r>
    </w:p>
    <w:p w14:paraId="283BCCDD" w14:textId="77777777" w:rsidR="00397332" w:rsidRDefault="00397332" w:rsidP="0081319B"/>
    <w:p w14:paraId="283BCCDE" w14:textId="54F23415" w:rsidR="00397332" w:rsidRPr="00D63183" w:rsidRDefault="00397332" w:rsidP="0081319B">
      <w:r w:rsidRPr="00D63183">
        <w:t>There is li</w:t>
      </w:r>
      <w:r>
        <w:t xml:space="preserve">mited </w:t>
      </w:r>
      <w:r w:rsidRPr="00D63183">
        <w:t>evidence on the use of TAH as a bridge to transplantation</w:t>
      </w:r>
      <w:r>
        <w:t xml:space="preserve"> as compared with the use of left ventricular assist devices. However, the available evid</w:t>
      </w:r>
      <w:r w:rsidR="009842FA">
        <w:t>ence demonstrates that the TAH</w:t>
      </w:r>
      <w:r>
        <w:t xml:space="preserve"> improves survival in transplant-eligible patients with biventricular heart failure at imminent risk of death.</w:t>
      </w:r>
      <w:r w:rsidRPr="00B31F11">
        <w:rPr>
          <w:vertAlign w:val="superscript"/>
        </w:rPr>
        <w:t xml:space="preserve">1 </w:t>
      </w:r>
      <w:r w:rsidR="000D558D" w:rsidRPr="000D558D">
        <w:t xml:space="preserve">Use of the </w:t>
      </w:r>
      <w:r w:rsidR="000D558D">
        <w:t xml:space="preserve">TAH </w:t>
      </w:r>
      <w:r w:rsidR="000D558D" w:rsidRPr="000D558D">
        <w:t xml:space="preserve">as a bridge to cardiac transplantation continues, but the volume of </w:t>
      </w:r>
      <w:r w:rsidR="000D558D" w:rsidRPr="000D558D">
        <w:lastRenderedPageBreak/>
        <w:t>TAH implantations is very low (fewer than 100 cases per year in the United States)</w:t>
      </w:r>
      <w:r w:rsidR="004D79B5">
        <w:t>.</w:t>
      </w:r>
      <w:r w:rsidR="000D558D" w:rsidRPr="004D79B5">
        <w:rPr>
          <w:vertAlign w:val="superscript"/>
        </w:rPr>
        <w:t xml:space="preserve">13 </w:t>
      </w:r>
      <w:r w:rsidRPr="00D63183">
        <w:t>There is insufficient evidence on the use of TAH as destination therapy</w:t>
      </w:r>
      <w:r>
        <w:t>.</w:t>
      </w:r>
    </w:p>
    <w:p w14:paraId="283BCCDF" w14:textId="77777777" w:rsidR="00397332" w:rsidRDefault="00397332" w:rsidP="00D848FD"/>
    <w:p w14:paraId="38B1EB29" w14:textId="77777777" w:rsidR="009845A8" w:rsidRDefault="00397332" w:rsidP="00623859">
      <w:r w:rsidRPr="00D63183">
        <w:t>The TAH was originally approved</w:t>
      </w:r>
      <w:r>
        <w:t xml:space="preserve"> by the Food and Drug Administration (FDA) </w:t>
      </w:r>
      <w:r w:rsidRPr="00D63183">
        <w:t xml:space="preserve">for in-hospital use. </w:t>
      </w:r>
      <w:r>
        <w:t xml:space="preserve">On June 26, 2014, the FDA approved the </w:t>
      </w:r>
      <w:proofErr w:type="spellStart"/>
      <w:r>
        <w:t>SynCardia</w:t>
      </w:r>
      <w:proofErr w:type="spellEnd"/>
      <w:r>
        <w:t xml:space="preserve"> Freedom portable driver for use in patients who have been implanted with the TAH and are clinically stable. The portable driver allows patients to be discharged from the hospital while waiting for a donor heart. </w:t>
      </w:r>
    </w:p>
    <w:p w14:paraId="59EC4A5B" w14:textId="77777777" w:rsidR="009845A8" w:rsidRDefault="009845A8" w:rsidP="00623859"/>
    <w:p w14:paraId="6E8D1547" w14:textId="3F9F3620" w:rsidR="002E42F2" w:rsidRDefault="00FA1B1D" w:rsidP="00623859">
      <w:r w:rsidRPr="00FA1B1D">
        <w:t xml:space="preserve">The </w:t>
      </w:r>
      <w:proofErr w:type="spellStart"/>
      <w:r w:rsidRPr="00FA1B1D">
        <w:t>SynCardia</w:t>
      </w:r>
      <w:proofErr w:type="spellEnd"/>
      <w:r w:rsidRPr="00FA1B1D">
        <w:t xml:space="preserve"> 50cc temporary Total Artificial Heart (TAH) is a smaller version of the </w:t>
      </w:r>
      <w:proofErr w:type="spellStart"/>
      <w:r w:rsidRPr="00FA1B1D">
        <w:t>SynCardia</w:t>
      </w:r>
      <w:proofErr w:type="spellEnd"/>
      <w:r w:rsidRPr="00FA1B1D">
        <w:t xml:space="preserve"> 70cc TAH</w:t>
      </w:r>
      <w:r>
        <w:t xml:space="preserve">. </w:t>
      </w:r>
      <w:r w:rsidR="00CA3DC7">
        <w:t>Th</w:t>
      </w:r>
      <w:r w:rsidR="00CA3DC7" w:rsidRPr="00CA3DC7">
        <w:t xml:space="preserve">e 50cc temporary Total Artificial Heart System (50cc TAH-t) has received U.S. FDA approval as a bridge to transplantation in cardiac transplant eligible patients at risk of imminent death from biventricular failure. </w:t>
      </w:r>
      <w:r w:rsidR="006302B9">
        <w:t xml:space="preserve">According to the manufacturer, </w:t>
      </w:r>
      <w:proofErr w:type="spellStart"/>
      <w:r w:rsidR="006302B9">
        <w:t>Syncardia</w:t>
      </w:r>
      <w:proofErr w:type="spellEnd"/>
      <w:r w:rsidR="006302B9">
        <w:t xml:space="preserve">, the device is </w:t>
      </w:r>
      <w:r w:rsidR="002A0FDB">
        <w:t xml:space="preserve">intended </w:t>
      </w:r>
      <w:r w:rsidR="006302B9">
        <w:t xml:space="preserve">for use as a bridge to transplant in patients with smaller stature (i.e., </w:t>
      </w:r>
      <w:r w:rsidR="006302B9" w:rsidRPr="006302B9">
        <w:t>BSA ≤ 1.85m²</w:t>
      </w:r>
      <w:r w:rsidR="002A0FDB">
        <w:t xml:space="preserve">) and </w:t>
      </w:r>
      <w:r w:rsidR="002A0FDB" w:rsidRPr="002A0FDB">
        <w:t>adequate T10 measurement</w:t>
      </w:r>
      <w:r w:rsidR="002A0FDB">
        <w:t xml:space="preserve"> (</w:t>
      </w:r>
      <w:r w:rsidR="002A0FDB" w:rsidRPr="002A0FDB">
        <w:t>posterior sternum to anterior spine measurement at T10</w:t>
      </w:r>
      <w:r w:rsidR="002A0FDB">
        <w:t>)</w:t>
      </w:r>
      <w:r w:rsidR="002A0FDB" w:rsidRPr="002A0FDB">
        <w:t xml:space="preserve"> or adequate room in the chest as determined by 3D imaging assessment or by other standard clinical assessments.</w:t>
      </w:r>
      <w:r w:rsidR="002A0FDB">
        <w:t xml:space="preserve"> </w:t>
      </w:r>
      <w:r w:rsidR="00AD4D3F">
        <w:t xml:space="preserve">Per </w:t>
      </w:r>
      <w:proofErr w:type="spellStart"/>
      <w:r w:rsidR="002A0FDB">
        <w:t>SynCardia</w:t>
      </w:r>
      <w:proofErr w:type="spellEnd"/>
      <w:r w:rsidR="00AD4D3F">
        <w:t xml:space="preserve">, those </w:t>
      </w:r>
      <w:r w:rsidR="002A0FDB" w:rsidRPr="002A0FDB">
        <w:t>with a T10 measurement ≥ 10 cm should be considered for the 70cc TAH</w:t>
      </w:r>
      <w:r w:rsidR="000D558D">
        <w:t>.</w:t>
      </w:r>
      <w:r w:rsidR="004041A9" w:rsidRPr="009B2ECD">
        <w:rPr>
          <w:vertAlign w:val="superscript"/>
        </w:rPr>
        <w:t>14</w:t>
      </w:r>
      <w:r w:rsidR="000D558D">
        <w:rPr>
          <w:vertAlign w:val="superscript"/>
        </w:rPr>
        <w:t xml:space="preserve"> </w:t>
      </w:r>
      <w:r w:rsidR="00AD4D3F">
        <w:t xml:space="preserve">Studies evaluating the 50cc TAH </w:t>
      </w:r>
      <w:r w:rsidR="004D79B5">
        <w:t>are</w:t>
      </w:r>
      <w:r w:rsidR="00AD4D3F">
        <w:t xml:space="preserve"> very limited. A review of the </w:t>
      </w:r>
      <w:proofErr w:type="spellStart"/>
      <w:r w:rsidR="00AD4D3F" w:rsidRPr="00AD4D3F">
        <w:t>SynCardia</w:t>
      </w:r>
      <w:proofErr w:type="spellEnd"/>
      <w:r w:rsidR="00AD4D3F" w:rsidRPr="00AD4D3F">
        <w:t xml:space="preserve"> database between</w:t>
      </w:r>
      <w:r w:rsidR="00AD4D3F">
        <w:t xml:space="preserve"> December 1985 and October 2019 identified f</w:t>
      </w:r>
      <w:r w:rsidR="00AD4D3F" w:rsidRPr="00AD4D3F">
        <w:t>ifty-one children supported, 36 with the 70 cc TAH-t and 15 with the 50 cc TAH-t with a total support time of 6,243 days.</w:t>
      </w:r>
      <w:r w:rsidR="00721654">
        <w:rPr>
          <w:vertAlign w:val="superscript"/>
        </w:rPr>
        <w:t>12</w:t>
      </w:r>
      <w:r w:rsidR="00AD4D3F" w:rsidRPr="00AD4D3F">
        <w:t xml:space="preserve"> </w:t>
      </w:r>
      <w:r w:rsidR="000F6147">
        <w:t xml:space="preserve">There have been an increase </w:t>
      </w:r>
      <w:r w:rsidR="00F21BB6">
        <w:t>in</w:t>
      </w:r>
      <w:r w:rsidR="000F6147">
        <w:t xml:space="preserve"> implants between 2015 and 2019</w:t>
      </w:r>
      <w:r w:rsidR="00CF47F2">
        <w:t xml:space="preserve"> with a total of 13 patients being converted to the Freedom Driver support</w:t>
      </w:r>
      <w:r w:rsidR="00E06220">
        <w:t xml:space="preserve">, and the </w:t>
      </w:r>
      <w:r w:rsidR="00AD4D3F" w:rsidRPr="000A47D5">
        <w:t xml:space="preserve"> majority of implants in the last 5 years have been with the 50 cc TAH-t.</w:t>
      </w:r>
      <w:r w:rsidR="004041A9" w:rsidRPr="000A47D5">
        <w:rPr>
          <w:vertAlign w:val="superscript"/>
        </w:rPr>
        <w:t>1</w:t>
      </w:r>
      <w:r w:rsidR="00C40F96" w:rsidRPr="000A47D5">
        <w:rPr>
          <w:vertAlign w:val="superscript"/>
        </w:rPr>
        <w:t>2</w:t>
      </w:r>
      <w:r w:rsidR="00AD4D3F" w:rsidRPr="00AD4D3F">
        <w:t xml:space="preserve"> </w:t>
      </w:r>
    </w:p>
    <w:p w14:paraId="0029D76E" w14:textId="77777777" w:rsidR="006302B9" w:rsidRPr="00D63183" w:rsidRDefault="006302B9" w:rsidP="00623859"/>
    <w:p w14:paraId="283BCCE2" w14:textId="77777777" w:rsidR="00397332" w:rsidRPr="00B777AF" w:rsidRDefault="00397332" w:rsidP="00170B14">
      <w:pPr>
        <w:rPr>
          <w:b/>
        </w:rPr>
      </w:pPr>
      <w:bookmarkStart w:id="0" w:name="Coding_Implications"/>
      <w:r w:rsidRPr="00B777AF">
        <w:rPr>
          <w:b/>
        </w:rPr>
        <w:t>Coding Implications</w:t>
      </w:r>
    </w:p>
    <w:bookmarkEnd w:id="0"/>
    <w:p w14:paraId="283BCCE3" w14:textId="3C0A60AD" w:rsidR="00397332" w:rsidRDefault="00397332"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026880" w:rsidRPr="00507DC0">
        <w:t>20</w:t>
      </w:r>
      <w:r w:rsidR="00026880">
        <w:t>24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283BCCE4" w14:textId="724AAFCF" w:rsidR="00397332" w:rsidRPr="009E2D44" w:rsidRDefault="00397332" w:rsidP="00AF5490">
      <w:pPr>
        <w:rPr>
          <w:b/>
        </w:rPr>
      </w:pP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44"/>
        <w:gridCol w:w="7380"/>
      </w:tblGrid>
      <w:tr w:rsidR="00397332" w:rsidRPr="00B777AF" w14:paraId="283BCCE7" w14:textId="77777777" w:rsidTr="00527C4C">
        <w:trPr>
          <w:tblHeader/>
        </w:trPr>
        <w:tc>
          <w:tcPr>
            <w:tcW w:w="1544" w:type="dxa"/>
            <w:shd w:val="clear" w:color="auto" w:fill="00548C"/>
          </w:tcPr>
          <w:p w14:paraId="283BCCE5" w14:textId="77777777" w:rsidR="00397332" w:rsidRPr="008F41B7" w:rsidRDefault="00397332" w:rsidP="00C10DF0">
            <w:pPr>
              <w:rPr>
                <w:b/>
                <w:bCs/>
                <w:color w:val="FFFFFF"/>
              </w:rPr>
            </w:pPr>
            <w:r w:rsidRPr="008F41B7">
              <w:rPr>
                <w:b/>
                <w:color w:val="FFFFFF"/>
              </w:rPr>
              <w:t>CPT</w:t>
            </w:r>
            <w:r w:rsidRPr="008F41B7">
              <w:rPr>
                <w:b/>
                <w:color w:val="FFFFFF"/>
                <w:vertAlign w:val="superscript"/>
              </w:rPr>
              <w:t>®</w:t>
            </w:r>
            <w:r w:rsidRPr="008F41B7">
              <w:rPr>
                <w:b/>
                <w:color w:val="FFFFFF"/>
              </w:rPr>
              <w:t xml:space="preserve"> Codes </w:t>
            </w:r>
          </w:p>
        </w:tc>
        <w:tc>
          <w:tcPr>
            <w:tcW w:w="7380" w:type="dxa"/>
            <w:shd w:val="clear" w:color="auto" w:fill="00548C"/>
          </w:tcPr>
          <w:p w14:paraId="283BCCE6" w14:textId="77777777" w:rsidR="00397332" w:rsidRPr="008F41B7" w:rsidRDefault="00397332" w:rsidP="00C10DF0">
            <w:pPr>
              <w:rPr>
                <w:b/>
                <w:bCs/>
                <w:color w:val="FFFFFF"/>
              </w:rPr>
            </w:pPr>
            <w:r w:rsidRPr="008F41B7">
              <w:rPr>
                <w:b/>
                <w:color w:val="FFFFFF"/>
              </w:rPr>
              <w:t>Description</w:t>
            </w:r>
          </w:p>
        </w:tc>
      </w:tr>
      <w:tr w:rsidR="00397332" w:rsidRPr="005144C0" w14:paraId="283BCCEA" w14:textId="77777777" w:rsidTr="00527C4C">
        <w:tc>
          <w:tcPr>
            <w:tcW w:w="1544" w:type="dxa"/>
          </w:tcPr>
          <w:p w14:paraId="283BCCE8" w14:textId="77777777" w:rsidR="00397332" w:rsidRPr="008F41B7" w:rsidRDefault="00527C4C" w:rsidP="00C10DF0">
            <w:pPr>
              <w:rPr>
                <w:bCs/>
              </w:rPr>
            </w:pPr>
            <w:r>
              <w:rPr>
                <w:bCs/>
              </w:rPr>
              <w:t>33927</w:t>
            </w:r>
          </w:p>
        </w:tc>
        <w:tc>
          <w:tcPr>
            <w:tcW w:w="7380" w:type="dxa"/>
          </w:tcPr>
          <w:p w14:paraId="283BCCE9" w14:textId="77777777" w:rsidR="00397332" w:rsidRPr="003E7532" w:rsidRDefault="00397332" w:rsidP="00C10DF0">
            <w:pPr>
              <w:rPr>
                <w:bCs/>
              </w:rPr>
            </w:pPr>
            <w:r w:rsidRPr="003E7532">
              <w:rPr>
                <w:bCs/>
              </w:rPr>
              <w:t xml:space="preserve">Implantation of a total replacement heart system (artificial heart) with recipient </w:t>
            </w:r>
            <w:proofErr w:type="spellStart"/>
            <w:r w:rsidRPr="003E7532">
              <w:rPr>
                <w:bCs/>
              </w:rPr>
              <w:t>cardiectomy</w:t>
            </w:r>
            <w:proofErr w:type="spellEnd"/>
          </w:p>
        </w:tc>
      </w:tr>
      <w:tr w:rsidR="00397332" w:rsidRPr="005144C0" w14:paraId="283BCCED" w14:textId="77777777" w:rsidTr="00527C4C">
        <w:tc>
          <w:tcPr>
            <w:tcW w:w="1544" w:type="dxa"/>
          </w:tcPr>
          <w:p w14:paraId="283BCCEB" w14:textId="77777777" w:rsidR="00397332" w:rsidRDefault="00527C4C" w:rsidP="00C10DF0">
            <w:pPr>
              <w:rPr>
                <w:bCs/>
              </w:rPr>
            </w:pPr>
            <w:r>
              <w:rPr>
                <w:bCs/>
              </w:rPr>
              <w:t>33928</w:t>
            </w:r>
          </w:p>
        </w:tc>
        <w:tc>
          <w:tcPr>
            <w:tcW w:w="7380" w:type="dxa"/>
          </w:tcPr>
          <w:p w14:paraId="283BCCEC" w14:textId="77777777" w:rsidR="00397332" w:rsidRPr="003E7532" w:rsidRDefault="00397332" w:rsidP="00C10DF0">
            <w:pPr>
              <w:rPr>
                <w:bCs/>
              </w:rPr>
            </w:pPr>
            <w:r w:rsidRPr="003E7532">
              <w:rPr>
                <w:bCs/>
              </w:rPr>
              <w:t>Replacement or repair of thoracic unit of a total replacement heart system (artificial heart)</w:t>
            </w:r>
          </w:p>
        </w:tc>
      </w:tr>
    </w:tbl>
    <w:p w14:paraId="283BCCFF" w14:textId="77777777" w:rsidR="00397332" w:rsidRDefault="00397332" w:rsidP="00AF5490"/>
    <w:tbl>
      <w:tblPr>
        <w:tblW w:w="9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350"/>
        <w:gridCol w:w="1260"/>
      </w:tblGrid>
      <w:tr w:rsidR="00397332" w:rsidRPr="00B777AF" w14:paraId="283BCD03" w14:textId="77777777" w:rsidTr="000412D2">
        <w:trPr>
          <w:tblHeader/>
        </w:trPr>
        <w:tc>
          <w:tcPr>
            <w:tcW w:w="7280" w:type="dxa"/>
            <w:tcBorders>
              <w:top w:val="single" w:sz="8" w:space="0" w:color="4F81BD"/>
            </w:tcBorders>
            <w:shd w:val="clear" w:color="auto" w:fill="00548C"/>
          </w:tcPr>
          <w:p w14:paraId="283BCD00" w14:textId="77777777" w:rsidR="00397332" w:rsidRPr="008F41B7" w:rsidRDefault="00397332" w:rsidP="00B777AF">
            <w:pPr>
              <w:rPr>
                <w:b/>
                <w:bCs/>
                <w:color w:val="FFFFFF"/>
              </w:rPr>
            </w:pPr>
            <w:bookmarkStart w:id="1" w:name="Revision_Log"/>
            <w:r w:rsidRPr="008F41B7">
              <w:rPr>
                <w:b/>
                <w:color w:val="FFFFFF"/>
              </w:rPr>
              <w:t>Reviews, Revisions, and Approvals</w:t>
            </w:r>
            <w:bookmarkEnd w:id="1"/>
          </w:p>
        </w:tc>
        <w:tc>
          <w:tcPr>
            <w:tcW w:w="1350" w:type="dxa"/>
            <w:shd w:val="clear" w:color="auto" w:fill="00548C"/>
          </w:tcPr>
          <w:p w14:paraId="283BCD01" w14:textId="3AB7E85E" w:rsidR="00397332" w:rsidRPr="008F41B7" w:rsidRDefault="00307066" w:rsidP="008F41B7">
            <w:pPr>
              <w:jc w:val="center"/>
              <w:rPr>
                <w:b/>
                <w:bCs/>
                <w:color w:val="FFFFFF"/>
              </w:rPr>
            </w:pPr>
            <w:r>
              <w:rPr>
                <w:b/>
                <w:color w:val="FFFFFF"/>
              </w:rPr>
              <w:t xml:space="preserve">Revision </w:t>
            </w:r>
            <w:r w:rsidR="00397332" w:rsidRPr="008F41B7">
              <w:rPr>
                <w:b/>
                <w:color w:val="FFFFFF"/>
              </w:rPr>
              <w:t>Date</w:t>
            </w:r>
          </w:p>
        </w:tc>
        <w:tc>
          <w:tcPr>
            <w:tcW w:w="1260" w:type="dxa"/>
            <w:tcBorders>
              <w:top w:val="single" w:sz="8" w:space="0" w:color="4F81BD"/>
            </w:tcBorders>
            <w:shd w:val="clear" w:color="auto" w:fill="00548C"/>
          </w:tcPr>
          <w:p w14:paraId="283BCD02" w14:textId="77777777" w:rsidR="00397332" w:rsidRPr="008F41B7" w:rsidRDefault="00397332" w:rsidP="008F41B7">
            <w:pPr>
              <w:jc w:val="center"/>
              <w:rPr>
                <w:b/>
                <w:bCs/>
                <w:color w:val="FFFFFF"/>
              </w:rPr>
            </w:pPr>
            <w:r w:rsidRPr="008F41B7">
              <w:rPr>
                <w:b/>
                <w:color w:val="FFFFFF"/>
              </w:rPr>
              <w:t>Approval Date</w:t>
            </w:r>
          </w:p>
        </w:tc>
      </w:tr>
      <w:tr w:rsidR="00397332" w14:paraId="283BCD07" w14:textId="77777777" w:rsidTr="000412D2">
        <w:tc>
          <w:tcPr>
            <w:tcW w:w="7280" w:type="dxa"/>
          </w:tcPr>
          <w:p w14:paraId="283BCD04" w14:textId="77777777" w:rsidR="00397332" w:rsidRPr="00ED0720" w:rsidRDefault="00397332" w:rsidP="008F41B7">
            <w:pPr>
              <w:tabs>
                <w:tab w:val="num" w:pos="720"/>
              </w:tabs>
            </w:pPr>
            <w:r w:rsidRPr="00ED0720">
              <w:t>Policy adopted from Health Net NMP</w:t>
            </w:r>
            <w:r>
              <w:t>188</w:t>
            </w:r>
            <w:r w:rsidR="00F348A1">
              <w:t>.</w:t>
            </w:r>
          </w:p>
        </w:tc>
        <w:tc>
          <w:tcPr>
            <w:tcW w:w="1350" w:type="dxa"/>
          </w:tcPr>
          <w:p w14:paraId="283BCD05" w14:textId="77777777" w:rsidR="00397332" w:rsidRDefault="00397332" w:rsidP="008F41B7">
            <w:pPr>
              <w:jc w:val="center"/>
            </w:pPr>
            <w:r>
              <w:t>9/16</w:t>
            </w:r>
          </w:p>
        </w:tc>
        <w:tc>
          <w:tcPr>
            <w:tcW w:w="1260" w:type="dxa"/>
          </w:tcPr>
          <w:p w14:paraId="283BCD06" w14:textId="77777777" w:rsidR="00397332" w:rsidRDefault="00D46451" w:rsidP="008F41B7">
            <w:pPr>
              <w:jc w:val="center"/>
            </w:pPr>
            <w:r>
              <w:t>12/16</w:t>
            </w:r>
          </w:p>
        </w:tc>
      </w:tr>
      <w:tr w:rsidR="00323A5D" w14:paraId="7426CDBD" w14:textId="77777777" w:rsidTr="000412D2">
        <w:tc>
          <w:tcPr>
            <w:tcW w:w="7280" w:type="dxa"/>
          </w:tcPr>
          <w:p w14:paraId="48F2FBF9" w14:textId="231F8B14" w:rsidR="00323A5D" w:rsidRDefault="00E16C3D" w:rsidP="00816D35">
            <w:pPr>
              <w:tabs>
                <w:tab w:val="num" w:pos="720"/>
              </w:tabs>
            </w:pPr>
            <w:r>
              <w:t xml:space="preserve">Annual review. </w:t>
            </w:r>
            <w:r w:rsidR="003652A4">
              <w:t>Replaced investigational/experimental language in II &amp; III with, “</w:t>
            </w:r>
            <w:r w:rsidR="003652A4" w:rsidRPr="003652A4">
              <w:t>insufficient evidence</w:t>
            </w:r>
            <w:r w:rsidR="003652A4">
              <w:t xml:space="preserve"> to support the use of …” </w:t>
            </w:r>
            <w:r>
              <w:t xml:space="preserve">Changed “review date” in the header to “date of last revision” and “date” in the </w:t>
            </w:r>
            <w:r>
              <w:lastRenderedPageBreak/>
              <w:t>revision log header to “revision date.”</w:t>
            </w:r>
            <w:r w:rsidR="00816D35">
              <w:t xml:space="preserve"> </w:t>
            </w:r>
            <w:r>
              <w:t>References reviewed, updated and reformatted.</w:t>
            </w:r>
          </w:p>
        </w:tc>
        <w:tc>
          <w:tcPr>
            <w:tcW w:w="1350" w:type="dxa"/>
          </w:tcPr>
          <w:p w14:paraId="2CB94A16" w14:textId="5AD8C364" w:rsidR="00323A5D" w:rsidRDefault="00323A5D" w:rsidP="008F41B7">
            <w:pPr>
              <w:jc w:val="center"/>
            </w:pPr>
            <w:r>
              <w:lastRenderedPageBreak/>
              <w:t>11/21</w:t>
            </w:r>
          </w:p>
        </w:tc>
        <w:tc>
          <w:tcPr>
            <w:tcW w:w="1260" w:type="dxa"/>
          </w:tcPr>
          <w:p w14:paraId="5B5C0488" w14:textId="5DAC0060" w:rsidR="00323A5D" w:rsidRDefault="00186F04" w:rsidP="008F41B7">
            <w:pPr>
              <w:jc w:val="center"/>
            </w:pPr>
            <w:r>
              <w:t>11/21</w:t>
            </w:r>
          </w:p>
        </w:tc>
      </w:tr>
      <w:tr w:rsidR="000412D2" w14:paraId="5447C075" w14:textId="77777777" w:rsidTr="000412D2">
        <w:tc>
          <w:tcPr>
            <w:tcW w:w="7280" w:type="dxa"/>
          </w:tcPr>
          <w:p w14:paraId="445237BA" w14:textId="3217FC27" w:rsidR="000412D2" w:rsidRDefault="00583C2B" w:rsidP="00816D35">
            <w:pPr>
              <w:tabs>
                <w:tab w:val="num" w:pos="720"/>
              </w:tabs>
            </w:pPr>
            <w:r>
              <w:t xml:space="preserve">Annual review. </w:t>
            </w:r>
            <w:r w:rsidR="00DD2AF3">
              <w:t xml:space="preserve">Background updated with no impact on criteria. </w:t>
            </w:r>
            <w:r w:rsidR="00563DFF">
              <w:t xml:space="preserve">Changed “date” </w:t>
            </w:r>
            <w:r w:rsidR="001D7F62">
              <w:t xml:space="preserve">in the revision log header to “revision date.” </w:t>
            </w:r>
            <w:r>
              <w:t xml:space="preserve">References reviewed and updated. </w:t>
            </w:r>
            <w:r w:rsidR="001D7F62">
              <w:t>Specialist review.</w:t>
            </w:r>
          </w:p>
        </w:tc>
        <w:tc>
          <w:tcPr>
            <w:tcW w:w="1350" w:type="dxa"/>
          </w:tcPr>
          <w:p w14:paraId="2130B5AF" w14:textId="1C25DCDD" w:rsidR="000412D2" w:rsidRDefault="000412D2" w:rsidP="008F41B7">
            <w:pPr>
              <w:jc w:val="center"/>
            </w:pPr>
            <w:r>
              <w:t>10/22</w:t>
            </w:r>
          </w:p>
        </w:tc>
        <w:tc>
          <w:tcPr>
            <w:tcW w:w="1260" w:type="dxa"/>
          </w:tcPr>
          <w:p w14:paraId="64B6CF9E" w14:textId="02ECEE2C" w:rsidR="000412D2" w:rsidRDefault="002E64B9" w:rsidP="008F41B7">
            <w:pPr>
              <w:jc w:val="center"/>
            </w:pPr>
            <w:r>
              <w:t>10/22</w:t>
            </w:r>
          </w:p>
        </w:tc>
      </w:tr>
      <w:tr w:rsidR="00853564" w14:paraId="44F0CBAE" w14:textId="77777777" w:rsidTr="000412D2">
        <w:tc>
          <w:tcPr>
            <w:tcW w:w="7280" w:type="dxa"/>
          </w:tcPr>
          <w:p w14:paraId="5916DE25" w14:textId="72C67C5A" w:rsidR="00853564" w:rsidRDefault="005B5BA9" w:rsidP="00816D35">
            <w:pPr>
              <w:tabs>
                <w:tab w:val="num" w:pos="720"/>
              </w:tabs>
            </w:pPr>
            <w:r>
              <w:t xml:space="preserve">Annual review. </w:t>
            </w:r>
            <w:r w:rsidR="00E66638">
              <w:t>Removed c</w:t>
            </w:r>
            <w:r w:rsidR="00467ADC">
              <w:t xml:space="preserve">riteria III. </w:t>
            </w:r>
            <w:r w:rsidR="00C17BC5">
              <w:t xml:space="preserve">Updated background with no clinical significance. </w:t>
            </w:r>
            <w:r w:rsidR="009845A8">
              <w:t xml:space="preserve">Removed ICD-10 code table. </w:t>
            </w:r>
            <w:r w:rsidR="00B97BBB">
              <w:t xml:space="preserve">References reviewed and updated. </w:t>
            </w:r>
          </w:p>
        </w:tc>
        <w:tc>
          <w:tcPr>
            <w:tcW w:w="1350" w:type="dxa"/>
          </w:tcPr>
          <w:p w14:paraId="5D552055" w14:textId="5B5D2F98" w:rsidR="00853564" w:rsidRDefault="00B97BBB" w:rsidP="008F41B7">
            <w:pPr>
              <w:jc w:val="center"/>
            </w:pPr>
            <w:r>
              <w:t>07/23</w:t>
            </w:r>
          </w:p>
        </w:tc>
        <w:tc>
          <w:tcPr>
            <w:tcW w:w="1260" w:type="dxa"/>
          </w:tcPr>
          <w:p w14:paraId="25C6567D" w14:textId="4D42C551" w:rsidR="00853564" w:rsidRDefault="001078A3" w:rsidP="008F41B7">
            <w:pPr>
              <w:jc w:val="center"/>
            </w:pPr>
            <w:r>
              <w:t>07/23</w:t>
            </w:r>
          </w:p>
        </w:tc>
      </w:tr>
      <w:tr w:rsidR="00B94B38" w14:paraId="5E154CD2" w14:textId="77777777" w:rsidTr="000412D2">
        <w:tc>
          <w:tcPr>
            <w:tcW w:w="7280" w:type="dxa"/>
          </w:tcPr>
          <w:p w14:paraId="06222285" w14:textId="57482ABB" w:rsidR="00B94B38" w:rsidRDefault="00B94B38" w:rsidP="00792CE5">
            <w:r w:rsidRPr="008A03C1">
              <w:t>Annual review.</w:t>
            </w:r>
            <w:r w:rsidR="005B6EAD" w:rsidRPr="008A03C1">
              <w:rPr>
                <w:rStyle w:val="cf01"/>
                <w:rFonts w:ascii="Times New Roman" w:hAnsi="Times New Roman" w:cs="Times New Roman"/>
                <w:sz w:val="24"/>
                <w:szCs w:val="24"/>
              </w:rPr>
              <w:t xml:space="preserve"> References reviewed and updated.</w:t>
            </w:r>
            <w:r w:rsidR="008A03C1" w:rsidRPr="008A03C1">
              <w:rPr>
                <w:rStyle w:val="cf01"/>
                <w:rFonts w:ascii="Times New Roman" w:hAnsi="Times New Roman" w:cs="Times New Roman"/>
                <w:sz w:val="24"/>
                <w:szCs w:val="24"/>
              </w:rPr>
              <w:t xml:space="preserve"> Reviewed by external specialist.</w:t>
            </w:r>
          </w:p>
        </w:tc>
        <w:tc>
          <w:tcPr>
            <w:tcW w:w="1350" w:type="dxa"/>
          </w:tcPr>
          <w:p w14:paraId="6692F74B" w14:textId="13346E52" w:rsidR="00B94B38" w:rsidRDefault="00B94B38" w:rsidP="008F41B7">
            <w:pPr>
              <w:jc w:val="center"/>
            </w:pPr>
            <w:r>
              <w:t>06/24</w:t>
            </w:r>
          </w:p>
        </w:tc>
        <w:tc>
          <w:tcPr>
            <w:tcW w:w="1260" w:type="dxa"/>
          </w:tcPr>
          <w:p w14:paraId="2F25F42E" w14:textId="42CEFE8D" w:rsidR="00B94B38" w:rsidRDefault="00C3723D" w:rsidP="008F41B7">
            <w:pPr>
              <w:jc w:val="center"/>
            </w:pPr>
            <w:r>
              <w:t>06/24</w:t>
            </w:r>
          </w:p>
        </w:tc>
      </w:tr>
      <w:tr w:rsidR="00026880" w14:paraId="16BF84A1" w14:textId="77777777" w:rsidTr="000412D2">
        <w:tc>
          <w:tcPr>
            <w:tcW w:w="7280" w:type="dxa"/>
          </w:tcPr>
          <w:p w14:paraId="3E662A5A" w14:textId="5092720E" w:rsidR="00026880" w:rsidRPr="008A03C1" w:rsidRDefault="00026880" w:rsidP="00792CE5">
            <w:r>
              <w:t>Annual review.</w:t>
            </w:r>
            <w:r w:rsidR="003B486C">
              <w:t xml:space="preserve"> Under I.</w:t>
            </w:r>
            <w:r w:rsidR="00C64E94">
              <w:t>F</w:t>
            </w:r>
            <w:r w:rsidR="003B486C">
              <w:t>. added “</w:t>
            </w:r>
            <w:r w:rsidR="00867511">
              <w:t>due to</w:t>
            </w:r>
            <w:r w:rsidR="00BF6A9B">
              <w:t xml:space="preserve"> irreversible biventricular heart failure”</w:t>
            </w:r>
            <w:r w:rsidR="009704B8">
              <w:t>. References reviewed and updated.</w:t>
            </w:r>
            <w:r w:rsidR="008768F6">
              <w:t xml:space="preserve"> Reviewed by internal specialist.</w:t>
            </w:r>
          </w:p>
        </w:tc>
        <w:tc>
          <w:tcPr>
            <w:tcW w:w="1350" w:type="dxa"/>
          </w:tcPr>
          <w:p w14:paraId="70739D41" w14:textId="7A8BD7C4" w:rsidR="00026880" w:rsidRDefault="00026880" w:rsidP="008F41B7">
            <w:pPr>
              <w:jc w:val="center"/>
            </w:pPr>
            <w:r>
              <w:t>05/25</w:t>
            </w:r>
          </w:p>
        </w:tc>
        <w:tc>
          <w:tcPr>
            <w:tcW w:w="1260" w:type="dxa"/>
          </w:tcPr>
          <w:p w14:paraId="1E64A94C" w14:textId="397746FF" w:rsidR="00026880" w:rsidRDefault="00427EE4" w:rsidP="008F41B7">
            <w:pPr>
              <w:jc w:val="center"/>
            </w:pPr>
            <w:r>
              <w:t>05/25</w:t>
            </w:r>
          </w:p>
        </w:tc>
      </w:tr>
    </w:tbl>
    <w:p w14:paraId="283BCD10" w14:textId="77777777" w:rsidR="00397332" w:rsidRDefault="00397332" w:rsidP="00B777AF">
      <w:pPr>
        <w:pStyle w:val="Heading6"/>
        <w:tabs>
          <w:tab w:val="clear" w:pos="0"/>
        </w:tabs>
      </w:pPr>
    </w:p>
    <w:p w14:paraId="283BCD11" w14:textId="77777777" w:rsidR="00397332" w:rsidRDefault="00397332" w:rsidP="00963062">
      <w:pPr>
        <w:pStyle w:val="Heading3"/>
      </w:pPr>
      <w:r>
        <w:t>References</w:t>
      </w:r>
    </w:p>
    <w:p w14:paraId="283BCD12" w14:textId="6F16E792" w:rsidR="00850250" w:rsidRDefault="00850250" w:rsidP="004909F9">
      <w:pPr>
        <w:numPr>
          <w:ilvl w:val="0"/>
          <w:numId w:val="24"/>
        </w:numPr>
      </w:pPr>
      <w:bookmarkStart w:id="2" w:name="_Hlk170812798"/>
      <w:r>
        <w:t>Birks EJ</w:t>
      </w:r>
      <w:r w:rsidR="00EA2D4A">
        <w:t>, Mancini D</w:t>
      </w:r>
      <w:r>
        <w:t xml:space="preserve">. </w:t>
      </w:r>
      <w:r w:rsidR="007D2B00">
        <w:t xml:space="preserve">Treatment of advanced heart failure with a durable </w:t>
      </w:r>
      <w:r w:rsidR="00853C4E">
        <w:t xml:space="preserve">mechanical circulatory support device. </w:t>
      </w:r>
      <w:r>
        <w:t xml:space="preserve">UpToDate. </w:t>
      </w:r>
      <w:hyperlink r:id="rId17" w:history="1">
        <w:r w:rsidR="00404EA6" w:rsidRPr="003D758A">
          <w:rPr>
            <w:rStyle w:val="Hyperlink"/>
          </w:rPr>
          <w:t>www.uptodate.com</w:t>
        </w:r>
      </w:hyperlink>
      <w:r w:rsidR="00404EA6">
        <w:t>.</w:t>
      </w:r>
      <w:r w:rsidR="000D558D">
        <w:t xml:space="preserve"> </w:t>
      </w:r>
      <w:r w:rsidR="00404EA6">
        <w:t>Published</w:t>
      </w:r>
      <w:r w:rsidR="001957E6">
        <w:t xml:space="preserve"> November </w:t>
      </w:r>
      <w:r w:rsidR="00EF6ADF">
        <w:t>9, 2022</w:t>
      </w:r>
      <w:r w:rsidR="00053C02">
        <w:t>. Accessed</w:t>
      </w:r>
      <w:r w:rsidR="0023636F">
        <w:t xml:space="preserve"> </w:t>
      </w:r>
      <w:r w:rsidR="006D1C38">
        <w:t xml:space="preserve">April </w:t>
      </w:r>
      <w:r w:rsidR="00CE7100">
        <w:t>11, 2025</w:t>
      </w:r>
      <w:r w:rsidR="00053C02">
        <w:t xml:space="preserve">. </w:t>
      </w:r>
    </w:p>
    <w:p w14:paraId="283BCD13" w14:textId="1991E69D" w:rsidR="00397332" w:rsidRDefault="00397332" w:rsidP="00351C68">
      <w:pPr>
        <w:numPr>
          <w:ilvl w:val="0"/>
          <w:numId w:val="24"/>
        </w:numPr>
      </w:pPr>
      <w:r w:rsidRPr="00B31F11">
        <w:t>Copeland JG, Smith RG, Arabia FA, et al. Total artificial heart bridge to transplantation: a 9-year experience with 62 patients.</w:t>
      </w:r>
      <w:r w:rsidR="00323A5D">
        <w:t xml:space="preserve"> </w:t>
      </w:r>
      <w:r w:rsidRPr="004855DA">
        <w:rPr>
          <w:i/>
        </w:rPr>
        <w:t>J Heart Lung Transplant.</w:t>
      </w:r>
      <w:r w:rsidRPr="00B31F11">
        <w:t xml:space="preserve"> 2004;23(7):823</w:t>
      </w:r>
      <w:r w:rsidR="00351C68">
        <w:t xml:space="preserve"> to </w:t>
      </w:r>
      <w:r w:rsidR="00FA49B2">
        <w:t>8</w:t>
      </w:r>
      <w:r w:rsidRPr="00B31F11">
        <w:t>31.</w:t>
      </w:r>
      <w:r w:rsidR="00FA49B2">
        <w:t xml:space="preserve"> </w:t>
      </w:r>
      <w:proofErr w:type="gramStart"/>
      <w:r w:rsidR="00FA49B2" w:rsidRPr="00FA49B2">
        <w:t>doi:10.1016/j.healun</w:t>
      </w:r>
      <w:proofErr w:type="gramEnd"/>
      <w:r w:rsidR="00FA49B2" w:rsidRPr="00FA49B2">
        <w:t>.2003.07.024</w:t>
      </w:r>
      <w:r w:rsidR="00670F8A">
        <w:t xml:space="preserve"> </w:t>
      </w:r>
    </w:p>
    <w:p w14:paraId="283BCD14" w14:textId="0D48D58D" w:rsidR="00397332" w:rsidRDefault="00397332" w:rsidP="00FA49B2">
      <w:pPr>
        <w:numPr>
          <w:ilvl w:val="0"/>
          <w:numId w:val="24"/>
        </w:numPr>
      </w:pPr>
      <w:r>
        <w:t>Copeland JG, Copeland H, Gustafson M, et al.</w:t>
      </w:r>
      <w:r w:rsidR="00FA49B2">
        <w:t xml:space="preserve"> </w:t>
      </w:r>
      <w:r w:rsidRPr="004909F9">
        <w:t>Experience with more than 100 total artificial heart implants.</w:t>
      </w:r>
      <w:r>
        <w:t xml:space="preserve"> </w:t>
      </w:r>
      <w:r w:rsidRPr="004855DA">
        <w:rPr>
          <w:i/>
        </w:rPr>
        <w:t xml:space="preserve">J </w:t>
      </w:r>
      <w:proofErr w:type="spellStart"/>
      <w:r w:rsidRPr="004855DA">
        <w:rPr>
          <w:i/>
        </w:rPr>
        <w:t>Thorac</w:t>
      </w:r>
      <w:proofErr w:type="spellEnd"/>
      <w:r w:rsidRPr="004855DA">
        <w:rPr>
          <w:i/>
        </w:rPr>
        <w:t xml:space="preserve"> Cardiovasc Surg</w:t>
      </w:r>
      <w:r>
        <w:t>. 2012;143(3):727</w:t>
      </w:r>
      <w:r w:rsidR="00523491">
        <w:t xml:space="preserve"> to </w:t>
      </w:r>
      <w:r w:rsidR="00FA49B2">
        <w:t>7</w:t>
      </w:r>
      <w:r>
        <w:t>34</w:t>
      </w:r>
      <w:r w:rsidR="00725A2F">
        <w:t>.</w:t>
      </w:r>
      <w:r w:rsidR="00FA49B2">
        <w:t xml:space="preserve"> </w:t>
      </w:r>
      <w:proofErr w:type="gramStart"/>
      <w:r w:rsidR="00FA49B2" w:rsidRPr="00FA49B2">
        <w:t>doi:10.1016/j.jtcvs</w:t>
      </w:r>
      <w:proofErr w:type="gramEnd"/>
      <w:r w:rsidR="00FA49B2" w:rsidRPr="00FA49B2">
        <w:t>.2011.12.002</w:t>
      </w:r>
      <w:r w:rsidR="003B1FC0">
        <w:t xml:space="preserve"> </w:t>
      </w:r>
    </w:p>
    <w:p w14:paraId="283BCD15" w14:textId="3E3544C2" w:rsidR="00397332" w:rsidRDefault="00397332" w:rsidP="00FA49B2">
      <w:pPr>
        <w:numPr>
          <w:ilvl w:val="0"/>
          <w:numId w:val="24"/>
        </w:numPr>
      </w:pPr>
      <w:r w:rsidRPr="00B31F11">
        <w:t xml:space="preserve">Shah NR, Jaroszewski DE, Ashfaq A, et al. </w:t>
      </w:r>
      <w:proofErr w:type="spellStart"/>
      <w:r w:rsidRPr="00B31F11">
        <w:t>SynCardia</w:t>
      </w:r>
      <w:proofErr w:type="spellEnd"/>
      <w:r w:rsidRPr="00B31F11">
        <w:t xml:space="preserve"> Portable Freedom Driver: A Single-Center Experience With 11 Patients. </w:t>
      </w:r>
      <w:r w:rsidRPr="004855DA">
        <w:rPr>
          <w:i/>
        </w:rPr>
        <w:t>Innovations (Phila).</w:t>
      </w:r>
      <w:r w:rsidRPr="00B31F11">
        <w:t xml:space="preserve"> 2015;10(3):188</w:t>
      </w:r>
      <w:r w:rsidR="00523491">
        <w:t xml:space="preserve"> to </w:t>
      </w:r>
      <w:r w:rsidR="00FA49B2">
        <w:t>1</w:t>
      </w:r>
      <w:r w:rsidRPr="00B31F11">
        <w:t>94</w:t>
      </w:r>
      <w:r w:rsidR="00FA49B2">
        <w:t xml:space="preserve">. </w:t>
      </w:r>
      <w:r w:rsidR="00FA49B2" w:rsidRPr="00FA49B2">
        <w:t>doi:10.1097/IMI.0000000000000161</w:t>
      </w:r>
      <w:r w:rsidR="004D349E" w:rsidRPr="004D349E">
        <w:rPr>
          <w:rFonts w:ascii="Segoe UI" w:hAnsi="Segoe UI" w:cs="Segoe UI"/>
          <w:color w:val="212121"/>
          <w:shd w:val="clear" w:color="auto" w:fill="FFFFFF"/>
        </w:rPr>
        <w:t xml:space="preserve"> </w:t>
      </w:r>
    </w:p>
    <w:p w14:paraId="283BCD16" w14:textId="1B170171" w:rsidR="00397332" w:rsidRDefault="00397332" w:rsidP="00FA49B2">
      <w:pPr>
        <w:numPr>
          <w:ilvl w:val="0"/>
          <w:numId w:val="24"/>
        </w:numPr>
      </w:pPr>
      <w:r w:rsidRPr="001C11E8">
        <w:t xml:space="preserve">Feldman D, </w:t>
      </w:r>
      <w:proofErr w:type="spellStart"/>
      <w:r w:rsidRPr="001C11E8">
        <w:t>Pamboukian</w:t>
      </w:r>
      <w:proofErr w:type="spellEnd"/>
      <w:r w:rsidRPr="001C11E8">
        <w:t xml:space="preserve"> SV, Teuteberg JJ, et al. The 2013 International Society for Heart and Lung Transplantation </w:t>
      </w:r>
      <w:r w:rsidR="00F002AC">
        <w:t>G</w:t>
      </w:r>
      <w:r w:rsidRPr="001C11E8">
        <w:t>uidelines for mechanical circulatory support</w:t>
      </w:r>
      <w:r w:rsidR="00824ECF">
        <w:t>: executive summary</w:t>
      </w:r>
      <w:r w:rsidRPr="001C11E8">
        <w:t xml:space="preserve">. </w:t>
      </w:r>
      <w:r w:rsidRPr="004855DA">
        <w:rPr>
          <w:i/>
        </w:rPr>
        <w:t>J Heart Lung</w:t>
      </w:r>
      <w:r w:rsidRPr="001C11E8">
        <w:t xml:space="preserve"> </w:t>
      </w:r>
      <w:r w:rsidRPr="004855DA">
        <w:rPr>
          <w:i/>
        </w:rPr>
        <w:t>Transplant</w:t>
      </w:r>
      <w:r w:rsidRPr="001C11E8">
        <w:t>. 2013;32(2):1</w:t>
      </w:r>
      <w:r w:rsidR="00FA49B2">
        <w:t>57</w:t>
      </w:r>
      <w:r w:rsidR="00824ECF">
        <w:t xml:space="preserve"> to </w:t>
      </w:r>
      <w:r w:rsidR="00FA49B2">
        <w:t>187</w:t>
      </w:r>
      <w:r w:rsidRPr="001C11E8">
        <w:t>.</w:t>
      </w:r>
      <w:r w:rsidR="00FA49B2">
        <w:t xml:space="preserve"> </w:t>
      </w:r>
      <w:proofErr w:type="gramStart"/>
      <w:r w:rsidR="00FA49B2" w:rsidRPr="00FA49B2">
        <w:t>doi:10.1016/j.healun</w:t>
      </w:r>
      <w:proofErr w:type="gramEnd"/>
      <w:r w:rsidR="00FA49B2" w:rsidRPr="00FA49B2">
        <w:t>.2012.09.013</w:t>
      </w:r>
      <w:r w:rsidR="00214F41" w:rsidRPr="00214F41">
        <w:rPr>
          <w:rFonts w:ascii="Segoe UI" w:hAnsi="Segoe UI" w:cs="Segoe UI"/>
          <w:color w:val="212121"/>
          <w:shd w:val="clear" w:color="auto" w:fill="FFFFFF"/>
        </w:rPr>
        <w:t xml:space="preserve"> </w:t>
      </w:r>
    </w:p>
    <w:p w14:paraId="283BCD18" w14:textId="27F095C6" w:rsidR="00397332" w:rsidRDefault="00397332" w:rsidP="00323A5D">
      <w:pPr>
        <w:numPr>
          <w:ilvl w:val="0"/>
          <w:numId w:val="24"/>
        </w:numPr>
      </w:pPr>
      <w:r>
        <w:t>Kirsch ME, Nguyen A, Mastroianni C, et al.</w:t>
      </w:r>
      <w:r w:rsidR="00FA49B2">
        <w:t xml:space="preserve"> </w:t>
      </w:r>
      <w:proofErr w:type="spellStart"/>
      <w:r w:rsidRPr="008D5B2D">
        <w:t>SynCardia</w:t>
      </w:r>
      <w:proofErr w:type="spellEnd"/>
      <w:r w:rsidRPr="008D5B2D">
        <w:t xml:space="preserve"> temporary total artificial heart as bridge to transplantation: current results at la </w:t>
      </w:r>
      <w:proofErr w:type="spellStart"/>
      <w:r w:rsidRPr="008D5B2D">
        <w:t>pitié</w:t>
      </w:r>
      <w:proofErr w:type="spellEnd"/>
      <w:r w:rsidRPr="008D5B2D">
        <w:t xml:space="preserve"> hospital.</w:t>
      </w:r>
      <w:r w:rsidR="0037573D">
        <w:t xml:space="preserve"> </w:t>
      </w:r>
      <w:r w:rsidRPr="004855DA">
        <w:rPr>
          <w:i/>
        </w:rPr>
        <w:t xml:space="preserve">Ann </w:t>
      </w:r>
      <w:proofErr w:type="spellStart"/>
      <w:r w:rsidRPr="004855DA">
        <w:rPr>
          <w:i/>
        </w:rPr>
        <w:t>Thorac</w:t>
      </w:r>
      <w:proofErr w:type="spellEnd"/>
      <w:r w:rsidRPr="004855DA">
        <w:rPr>
          <w:i/>
        </w:rPr>
        <w:t xml:space="preserve"> Surg</w:t>
      </w:r>
      <w:r>
        <w:t>. 2013</w:t>
      </w:r>
      <w:r w:rsidR="00510A42">
        <w:t>;95(5)</w:t>
      </w:r>
      <w:r w:rsidR="00D2155F">
        <w:t>:1640 to 1646.</w:t>
      </w:r>
      <w:r w:rsidR="005E6D05" w:rsidRPr="005E6D05">
        <w:t xml:space="preserve"> </w:t>
      </w:r>
      <w:proofErr w:type="gramStart"/>
      <w:r w:rsidR="005E6D05" w:rsidRPr="005E6D05">
        <w:t>doi:10.1016/j.athoracsur</w:t>
      </w:r>
      <w:proofErr w:type="gramEnd"/>
      <w:r w:rsidR="005E6D05" w:rsidRPr="005E6D05">
        <w:t>.2013.02.036</w:t>
      </w:r>
      <w:r w:rsidR="00D2155F">
        <w:t xml:space="preserve"> </w:t>
      </w:r>
    </w:p>
    <w:p w14:paraId="283BCD19" w14:textId="3D70580C" w:rsidR="00397332" w:rsidRDefault="0067101E" w:rsidP="004909F9">
      <w:pPr>
        <w:numPr>
          <w:ilvl w:val="0"/>
          <w:numId w:val="24"/>
        </w:numPr>
      </w:pPr>
      <w:r w:rsidRPr="0067101E">
        <w:t xml:space="preserve">Cook JA, Shah KB, Quader MA, et al. The total artificial heart [published correction appears in J </w:t>
      </w:r>
      <w:proofErr w:type="spellStart"/>
      <w:r w:rsidRPr="0067101E">
        <w:t>Thorac</w:t>
      </w:r>
      <w:proofErr w:type="spellEnd"/>
      <w:r w:rsidRPr="0067101E">
        <w:t xml:space="preserve"> Dis. 2017 Mar;9(3</w:t>
      </w:r>
      <w:proofErr w:type="gramStart"/>
      <w:r w:rsidRPr="0067101E">
        <w:t>):E</w:t>
      </w:r>
      <w:proofErr w:type="gramEnd"/>
      <w:r w:rsidRPr="0067101E">
        <w:t>342]. </w:t>
      </w:r>
      <w:r w:rsidRPr="0067101E">
        <w:rPr>
          <w:i/>
          <w:iCs/>
        </w:rPr>
        <w:t xml:space="preserve">J </w:t>
      </w:r>
      <w:proofErr w:type="spellStart"/>
      <w:r w:rsidRPr="0067101E">
        <w:rPr>
          <w:i/>
          <w:iCs/>
        </w:rPr>
        <w:t>Thorac</w:t>
      </w:r>
      <w:proofErr w:type="spellEnd"/>
      <w:r w:rsidRPr="0067101E">
        <w:rPr>
          <w:i/>
          <w:iCs/>
        </w:rPr>
        <w:t xml:space="preserve"> Dis</w:t>
      </w:r>
      <w:r w:rsidRPr="0067101E">
        <w:t>. 2015;7(12):2172</w:t>
      </w:r>
      <w:r w:rsidR="0023636F">
        <w:t xml:space="preserve"> to </w:t>
      </w:r>
      <w:r w:rsidRPr="0067101E">
        <w:t xml:space="preserve">2180. </w:t>
      </w:r>
      <w:proofErr w:type="gramStart"/>
      <w:r w:rsidRPr="0067101E">
        <w:t>doi:10.3978/j.issn</w:t>
      </w:r>
      <w:proofErr w:type="gramEnd"/>
      <w:r w:rsidRPr="0067101E">
        <w:t>.2072-1439.2015.10.70</w:t>
      </w:r>
      <w:r w:rsidRPr="0067101E" w:rsidDel="0067101E">
        <w:t xml:space="preserve"> </w:t>
      </w:r>
    </w:p>
    <w:p w14:paraId="283BCD1A" w14:textId="6BFBFF5C" w:rsidR="00397332" w:rsidRDefault="00397332" w:rsidP="004909F9">
      <w:pPr>
        <w:numPr>
          <w:ilvl w:val="0"/>
          <w:numId w:val="24"/>
        </w:numPr>
      </w:pPr>
      <w:r>
        <w:t>Nguyen A, Pozzi M, Mastroianni C, et al.</w:t>
      </w:r>
      <w:r w:rsidR="00876A13">
        <w:t xml:space="preserve"> </w:t>
      </w:r>
      <w:r w:rsidRPr="008D5B2D">
        <w:t xml:space="preserve">Bridge to transplantation using </w:t>
      </w:r>
      <w:proofErr w:type="spellStart"/>
      <w:r w:rsidRPr="008D5B2D">
        <w:t>paracorporeal</w:t>
      </w:r>
      <w:proofErr w:type="spellEnd"/>
      <w:r w:rsidRPr="008D5B2D">
        <w:t xml:space="preserve"> biventricular assist devices or the </w:t>
      </w:r>
      <w:proofErr w:type="spellStart"/>
      <w:r w:rsidRPr="008D5B2D">
        <w:t>syncardia</w:t>
      </w:r>
      <w:proofErr w:type="spellEnd"/>
      <w:r w:rsidRPr="008D5B2D">
        <w:t xml:space="preserve"> temporary total artificial heart: is there a difference?</w:t>
      </w:r>
      <w:r w:rsidR="00FD644F">
        <w:t>.</w:t>
      </w:r>
      <w:r>
        <w:t xml:space="preserve"> </w:t>
      </w:r>
      <w:r w:rsidRPr="004855DA">
        <w:rPr>
          <w:i/>
        </w:rPr>
        <w:t>J Cardiovasc Surg (Torino).</w:t>
      </w:r>
      <w:r>
        <w:t xml:space="preserve"> 2015;56(3):493</w:t>
      </w:r>
      <w:r w:rsidR="00635DCC">
        <w:t xml:space="preserve"> to </w:t>
      </w:r>
      <w:r>
        <w:t>502</w:t>
      </w:r>
      <w:r w:rsidR="00725A2F">
        <w:t>.</w:t>
      </w:r>
      <w:r w:rsidR="00A33BD1">
        <w:t xml:space="preserve"> </w:t>
      </w:r>
    </w:p>
    <w:p w14:paraId="283BCD1B" w14:textId="01081C91" w:rsidR="00397332" w:rsidRDefault="00397332" w:rsidP="00A33BD1">
      <w:pPr>
        <w:numPr>
          <w:ilvl w:val="0"/>
          <w:numId w:val="24"/>
        </w:numPr>
      </w:pPr>
      <w:r>
        <w:t xml:space="preserve">Torregrossa G, </w:t>
      </w:r>
      <w:proofErr w:type="spellStart"/>
      <w:r>
        <w:t>Morshuis</w:t>
      </w:r>
      <w:proofErr w:type="spellEnd"/>
      <w:r>
        <w:t xml:space="preserve"> M, Varghese R, et al. </w:t>
      </w:r>
      <w:r w:rsidRPr="008D5B2D">
        <w:t xml:space="preserve">Results with </w:t>
      </w:r>
      <w:proofErr w:type="spellStart"/>
      <w:r w:rsidRPr="008D5B2D">
        <w:t>SynCardia</w:t>
      </w:r>
      <w:proofErr w:type="spellEnd"/>
      <w:r w:rsidRPr="008D5B2D">
        <w:t xml:space="preserve"> total artificial heart beyond 1 year.</w:t>
      </w:r>
      <w:r>
        <w:t xml:space="preserve"> </w:t>
      </w:r>
      <w:r w:rsidRPr="004855DA">
        <w:rPr>
          <w:i/>
        </w:rPr>
        <w:t>ASAIO J</w:t>
      </w:r>
      <w:r>
        <w:t>. 2014;60(6):626</w:t>
      </w:r>
      <w:r w:rsidR="009B1BB5">
        <w:t xml:space="preserve"> to </w:t>
      </w:r>
      <w:r w:rsidR="00A33BD1">
        <w:t>6</w:t>
      </w:r>
      <w:r>
        <w:t>34.</w:t>
      </w:r>
      <w:r w:rsidR="00A33BD1">
        <w:t xml:space="preserve"> </w:t>
      </w:r>
      <w:r w:rsidR="00A33BD1" w:rsidRPr="00A33BD1">
        <w:t>doi:10.1097/MAT.0000000000000132</w:t>
      </w:r>
      <w:r w:rsidR="009B1BB5" w:rsidRPr="009B1BB5">
        <w:rPr>
          <w:rFonts w:ascii="Segoe UI" w:hAnsi="Segoe UI" w:cs="Segoe UI"/>
          <w:color w:val="212121"/>
          <w:shd w:val="clear" w:color="auto" w:fill="FFFFFF"/>
        </w:rPr>
        <w:t xml:space="preserve"> </w:t>
      </w:r>
    </w:p>
    <w:p w14:paraId="283BCD1C" w14:textId="66DA1D76" w:rsidR="00397332" w:rsidRDefault="00397332" w:rsidP="00956AE1">
      <w:pPr>
        <w:numPr>
          <w:ilvl w:val="0"/>
          <w:numId w:val="24"/>
        </w:numPr>
      </w:pPr>
      <w:r w:rsidRPr="00F47532">
        <w:t xml:space="preserve">Yancy CW, Jessup M, Bozkurt B, et al. 2013 ACCF/AHA </w:t>
      </w:r>
      <w:r w:rsidR="009B1BB5">
        <w:t>g</w:t>
      </w:r>
      <w:r w:rsidRPr="00F47532">
        <w:t xml:space="preserve">uideline for the </w:t>
      </w:r>
      <w:r w:rsidR="00A13FF0">
        <w:t>m</w:t>
      </w:r>
      <w:r w:rsidRPr="00F47532">
        <w:t xml:space="preserve">anagement of </w:t>
      </w:r>
      <w:r w:rsidR="00A13FF0">
        <w:t>h</w:t>
      </w:r>
      <w:r w:rsidRPr="00F47532">
        <w:t xml:space="preserve">eart </w:t>
      </w:r>
      <w:r w:rsidR="00A13FF0">
        <w:t>f</w:t>
      </w:r>
      <w:r w:rsidRPr="00F47532">
        <w:t xml:space="preserve">ailure: </w:t>
      </w:r>
      <w:r w:rsidR="00A13FF0">
        <w:t>e</w:t>
      </w:r>
      <w:r w:rsidRPr="00F47532">
        <w:t xml:space="preserve">xecutive </w:t>
      </w:r>
      <w:r w:rsidR="00A13FF0">
        <w:t>s</w:t>
      </w:r>
      <w:r w:rsidRPr="00F47532">
        <w:t xml:space="preserve">ummary: </w:t>
      </w:r>
      <w:r w:rsidR="00A13FF0">
        <w:t>a</w:t>
      </w:r>
      <w:r w:rsidRPr="00F47532">
        <w:t xml:space="preserve"> </w:t>
      </w:r>
      <w:r w:rsidR="00A13FF0">
        <w:t>r</w:t>
      </w:r>
      <w:r w:rsidRPr="00F47532">
        <w:t xml:space="preserve">eport of the American College of Cardiology </w:t>
      </w:r>
      <w:r w:rsidRPr="00F47532">
        <w:lastRenderedPageBreak/>
        <w:t xml:space="preserve">Foundation/American Heart Association Task Force on </w:t>
      </w:r>
      <w:r w:rsidR="00EA61DA">
        <w:t>p</w:t>
      </w:r>
      <w:r w:rsidRPr="00F47532">
        <w:t xml:space="preserve">ractice </w:t>
      </w:r>
      <w:r w:rsidR="00EA61DA">
        <w:t>g</w:t>
      </w:r>
      <w:r w:rsidRPr="00F47532">
        <w:t xml:space="preserve">uidelines. </w:t>
      </w:r>
      <w:r w:rsidRPr="004855DA">
        <w:rPr>
          <w:i/>
        </w:rPr>
        <w:t>Circulation</w:t>
      </w:r>
      <w:r w:rsidR="00EA61DA">
        <w:rPr>
          <w:i/>
        </w:rPr>
        <w:t>.</w:t>
      </w:r>
      <w:r w:rsidRPr="004855DA">
        <w:rPr>
          <w:i/>
        </w:rPr>
        <w:t xml:space="preserve"> </w:t>
      </w:r>
      <w:r w:rsidRPr="00F47532">
        <w:t>2013</w:t>
      </w:r>
      <w:r w:rsidR="00A33BD1" w:rsidRPr="00A33BD1">
        <w:t>;128(16):1810</w:t>
      </w:r>
      <w:r w:rsidR="00956AE1">
        <w:t xml:space="preserve"> to </w:t>
      </w:r>
      <w:r w:rsidR="00A33BD1" w:rsidRPr="00A33BD1">
        <w:t>1852. doi:10.1161/CIR.0b013e31829e8807</w:t>
      </w:r>
      <w:r w:rsidR="005C7C65">
        <w:t xml:space="preserve"> </w:t>
      </w:r>
    </w:p>
    <w:p w14:paraId="283BCD1D" w14:textId="28EC082A" w:rsidR="00310EDB" w:rsidRDefault="00310EDB" w:rsidP="00310EDB">
      <w:pPr>
        <w:numPr>
          <w:ilvl w:val="0"/>
          <w:numId w:val="24"/>
        </w:numPr>
      </w:pPr>
      <w:r w:rsidRPr="00310EDB">
        <w:t xml:space="preserve">Yancy CW, Jessup M, Bozkurt B, </w:t>
      </w:r>
      <w:r w:rsidR="00A33BD1">
        <w:t xml:space="preserve">et al. </w:t>
      </w:r>
      <w:r w:rsidRPr="00310EDB">
        <w:t xml:space="preserve">2017 ACC/AHA/HFSA </w:t>
      </w:r>
      <w:r w:rsidR="00A33BD1">
        <w:t>F</w:t>
      </w:r>
      <w:r w:rsidRPr="00310EDB">
        <w:t xml:space="preserve">ocused </w:t>
      </w:r>
      <w:r w:rsidR="00A33BD1">
        <w:t>U</w:t>
      </w:r>
      <w:r w:rsidRPr="00310EDB">
        <w:t xml:space="preserve">pdate of the 2013 ACCF/AHA </w:t>
      </w:r>
      <w:r w:rsidR="00A33BD1">
        <w:t>G</w:t>
      </w:r>
      <w:r w:rsidRPr="00310EDB">
        <w:t xml:space="preserve">uideline for the </w:t>
      </w:r>
      <w:r w:rsidR="00A33BD1">
        <w:t>M</w:t>
      </w:r>
      <w:r w:rsidRPr="00310EDB">
        <w:t xml:space="preserve">anagement of </w:t>
      </w:r>
      <w:r w:rsidR="00A33BD1">
        <w:t>H</w:t>
      </w:r>
      <w:r w:rsidRPr="00310EDB">
        <w:t xml:space="preserve">eart </w:t>
      </w:r>
      <w:r w:rsidR="00A33BD1">
        <w:t>F</w:t>
      </w:r>
      <w:r w:rsidRPr="00310EDB">
        <w:t xml:space="preserve">ailure: </w:t>
      </w:r>
      <w:r w:rsidR="00BC1EB5">
        <w:t>A</w:t>
      </w:r>
      <w:r w:rsidRPr="00310EDB">
        <w:t xml:space="preserve"> </w:t>
      </w:r>
      <w:r w:rsidR="00404EA6">
        <w:t>R</w:t>
      </w:r>
      <w:r w:rsidRPr="00310EDB">
        <w:t xml:space="preserve">eport of the American College of Cardiology/American Heart Association Task Force on Clinical Practice Guidelines and the Heart Failure Society of America. </w:t>
      </w:r>
      <w:r w:rsidRPr="004855DA">
        <w:rPr>
          <w:i/>
        </w:rPr>
        <w:t>Circulation.</w:t>
      </w:r>
      <w:r w:rsidRPr="00310EDB">
        <w:t xml:space="preserve"> 2017;136</w:t>
      </w:r>
      <w:r w:rsidR="00404EA6">
        <w:t>(6</w:t>
      </w:r>
      <w:proofErr w:type="gramStart"/>
      <w:r w:rsidR="00404EA6">
        <w:t>)</w:t>
      </w:r>
      <w:r w:rsidRPr="00310EDB">
        <w:t>:e</w:t>
      </w:r>
      <w:proofErr w:type="gramEnd"/>
      <w:r w:rsidRPr="00310EDB">
        <w:t>137</w:t>
      </w:r>
      <w:r w:rsidR="00BC1EB5">
        <w:t xml:space="preserve"> to </w:t>
      </w:r>
      <w:r w:rsidRPr="00310EDB">
        <w:t xml:space="preserve">e161. </w:t>
      </w:r>
      <w:r w:rsidR="00404EA6">
        <w:t>doi</w:t>
      </w:r>
      <w:r w:rsidRPr="00310EDB">
        <w:t>:10.1161/CIR.0000000000000509</w:t>
      </w:r>
      <w:r w:rsidR="009E2A2A" w:rsidRPr="009E2A2A">
        <w:rPr>
          <w:rFonts w:ascii="Segoe UI" w:hAnsi="Segoe UI" w:cs="Segoe UI"/>
          <w:color w:val="212121"/>
          <w:shd w:val="clear" w:color="auto" w:fill="FFFFFF"/>
        </w:rPr>
        <w:t xml:space="preserve"> </w:t>
      </w:r>
    </w:p>
    <w:p w14:paraId="04C8F6E6" w14:textId="3AC83937" w:rsidR="00AD4D3F" w:rsidRDefault="00AD4D3F" w:rsidP="00AD4D3F">
      <w:pPr>
        <w:numPr>
          <w:ilvl w:val="0"/>
          <w:numId w:val="24"/>
        </w:numPr>
      </w:pPr>
      <w:r>
        <w:t>Villa CR, Moore RA, Morales DL, Lorts A.</w:t>
      </w:r>
      <w:r w:rsidR="00404EA6">
        <w:t xml:space="preserve"> </w:t>
      </w:r>
      <w:r w:rsidRPr="00AD4D3F">
        <w:t>The total artificial heart in pediatrics: outcomes in an evolving field</w:t>
      </w:r>
      <w:r>
        <w:t xml:space="preserve">. </w:t>
      </w:r>
      <w:r w:rsidRPr="004855DA">
        <w:rPr>
          <w:i/>
        </w:rPr>
        <w:t xml:space="preserve">Ann </w:t>
      </w:r>
      <w:proofErr w:type="spellStart"/>
      <w:r w:rsidRPr="004855DA">
        <w:rPr>
          <w:i/>
        </w:rPr>
        <w:t>Cardiothorac</w:t>
      </w:r>
      <w:proofErr w:type="spellEnd"/>
      <w:r w:rsidRPr="004855DA">
        <w:rPr>
          <w:i/>
        </w:rPr>
        <w:t xml:space="preserve"> Surg</w:t>
      </w:r>
      <w:r w:rsidRPr="00AD4D3F">
        <w:t>. 2020</w:t>
      </w:r>
      <w:r w:rsidR="00404EA6">
        <w:t>;</w:t>
      </w:r>
      <w:r w:rsidRPr="00AD4D3F">
        <w:t>9(2):104</w:t>
      </w:r>
      <w:r w:rsidR="00E212CF">
        <w:t xml:space="preserve"> to</w:t>
      </w:r>
      <w:r w:rsidR="002E565C">
        <w:t xml:space="preserve"> </w:t>
      </w:r>
      <w:r w:rsidRPr="00AD4D3F">
        <w:t xml:space="preserve">109. </w:t>
      </w:r>
      <w:proofErr w:type="spellStart"/>
      <w:r w:rsidRPr="00AD4D3F">
        <w:t>doi</w:t>
      </w:r>
      <w:proofErr w:type="spellEnd"/>
      <w:r w:rsidRPr="00AD4D3F">
        <w:t>: 10.21037/acs.2020.02.15</w:t>
      </w:r>
      <w:r w:rsidR="00E212CF" w:rsidRPr="00E212CF">
        <w:rPr>
          <w:rFonts w:ascii="Segoe UI" w:hAnsi="Segoe UI" w:cs="Segoe UI"/>
          <w:color w:val="212121"/>
          <w:shd w:val="clear" w:color="auto" w:fill="FFFFFF"/>
        </w:rPr>
        <w:t xml:space="preserve"> </w:t>
      </w:r>
    </w:p>
    <w:p w14:paraId="2B537F78" w14:textId="681B65EF" w:rsidR="000D558D" w:rsidRDefault="00026089" w:rsidP="00A2660F">
      <w:pPr>
        <w:numPr>
          <w:ilvl w:val="0"/>
          <w:numId w:val="24"/>
        </w:numPr>
      </w:pPr>
      <w:r>
        <w:t xml:space="preserve">Mancini D, Anyanwu A. </w:t>
      </w:r>
      <w:r w:rsidRPr="00026089">
        <w:t>Emergency care of adults with mechanical circulatory support devices</w:t>
      </w:r>
      <w:r>
        <w:t>.</w:t>
      </w:r>
      <w:r w:rsidR="00A2660F">
        <w:t xml:space="preserve"> </w:t>
      </w:r>
      <w:r>
        <w:t>UpToDate.</w:t>
      </w:r>
      <w:r w:rsidR="00A2660F">
        <w:t xml:space="preserve"> </w:t>
      </w:r>
      <w:hyperlink r:id="rId18" w:history="1">
        <w:r w:rsidR="000D558D" w:rsidRPr="00695C65">
          <w:rPr>
            <w:rStyle w:val="Hyperlink"/>
          </w:rPr>
          <w:t>www.uptodate.com</w:t>
        </w:r>
      </w:hyperlink>
      <w:r w:rsidR="00A2660F">
        <w:t>.</w:t>
      </w:r>
      <w:r w:rsidR="000D558D">
        <w:t xml:space="preserve"> </w:t>
      </w:r>
      <w:r w:rsidR="00A2660F">
        <w:t>Published</w:t>
      </w:r>
      <w:r w:rsidR="005D1EE8">
        <w:t xml:space="preserve"> June 26, 2023</w:t>
      </w:r>
      <w:r w:rsidR="00A721A7">
        <w:t xml:space="preserve">. Accessed </w:t>
      </w:r>
      <w:r w:rsidR="00D65133">
        <w:t xml:space="preserve">April </w:t>
      </w:r>
      <w:r w:rsidR="004D7959">
        <w:t>11, 2025</w:t>
      </w:r>
      <w:r w:rsidR="0023636F">
        <w:t xml:space="preserve">. </w:t>
      </w:r>
    </w:p>
    <w:p w14:paraId="46DABFC3" w14:textId="148D8904" w:rsidR="002A0FDB" w:rsidRDefault="002A0FDB" w:rsidP="00A2660F">
      <w:pPr>
        <w:numPr>
          <w:ilvl w:val="0"/>
          <w:numId w:val="24"/>
        </w:numPr>
      </w:pPr>
      <w:proofErr w:type="spellStart"/>
      <w:r>
        <w:t>SynCardia</w:t>
      </w:r>
      <w:proofErr w:type="spellEnd"/>
      <w:r w:rsidR="00A2660F">
        <w:t xml:space="preserve">. </w:t>
      </w:r>
      <w:r>
        <w:t xml:space="preserve">50cc Total Artificial Heart. </w:t>
      </w:r>
      <w:hyperlink r:id="rId19" w:history="1">
        <w:r w:rsidR="00A543A1" w:rsidRPr="00F90E9E">
          <w:rPr>
            <w:rStyle w:val="Hyperlink"/>
          </w:rPr>
          <w:t>https://syncardia.com/total-artificial-heart-50-cc-and-70-cc/</w:t>
        </w:r>
      </w:hyperlink>
      <w:r w:rsidR="00A543A1">
        <w:t xml:space="preserve">. </w:t>
      </w:r>
      <w:r w:rsidR="004855DA">
        <w:t xml:space="preserve">Accessed </w:t>
      </w:r>
      <w:r w:rsidR="00E11B8F">
        <w:t xml:space="preserve">April </w:t>
      </w:r>
      <w:r w:rsidR="007447A5">
        <w:t>11, 2025</w:t>
      </w:r>
      <w:r w:rsidR="00A543A1">
        <w:t xml:space="preserve">. </w:t>
      </w:r>
    </w:p>
    <w:p w14:paraId="17E3C75C" w14:textId="56ED9F88" w:rsidR="00A2660F" w:rsidRDefault="00A2660F" w:rsidP="00A2660F">
      <w:pPr>
        <w:numPr>
          <w:ilvl w:val="0"/>
          <w:numId w:val="24"/>
        </w:numPr>
      </w:pPr>
      <w:r w:rsidRPr="00A2660F">
        <w:t xml:space="preserve">McDonagh TA, Metra M, Adamo M, et al. 2021 ESC Guidelines for the diagnosis and treatment of acute and chronic heart failure [published correction appears in </w:t>
      </w:r>
      <w:proofErr w:type="spellStart"/>
      <w:r w:rsidRPr="00A2660F">
        <w:t>Eur</w:t>
      </w:r>
      <w:proofErr w:type="spellEnd"/>
      <w:r w:rsidRPr="00A2660F">
        <w:t xml:space="preserve"> Heart J. 2021 Oct 14;:]. </w:t>
      </w:r>
      <w:proofErr w:type="spellStart"/>
      <w:r w:rsidRPr="004855DA">
        <w:rPr>
          <w:i/>
        </w:rPr>
        <w:t>Eur</w:t>
      </w:r>
      <w:proofErr w:type="spellEnd"/>
      <w:r w:rsidRPr="004855DA">
        <w:rPr>
          <w:i/>
        </w:rPr>
        <w:t xml:space="preserve"> Heart J.</w:t>
      </w:r>
      <w:r w:rsidRPr="00A2660F">
        <w:t xml:space="preserve"> 2021;42(36):3599</w:t>
      </w:r>
      <w:r w:rsidR="009739DA">
        <w:t xml:space="preserve"> to </w:t>
      </w:r>
      <w:r w:rsidRPr="00A2660F">
        <w:t>3726. doi:10.1093/</w:t>
      </w:r>
      <w:proofErr w:type="spellStart"/>
      <w:r w:rsidRPr="00A2660F">
        <w:t>eurheartj</w:t>
      </w:r>
      <w:proofErr w:type="spellEnd"/>
      <w:r w:rsidRPr="00A2660F">
        <w:t>/ehab368</w:t>
      </w:r>
      <w:r w:rsidR="001865FD">
        <w:t xml:space="preserve"> </w:t>
      </w:r>
    </w:p>
    <w:p w14:paraId="71EF7DCF" w14:textId="37F95BD3" w:rsidR="004F270F" w:rsidRPr="004F270F" w:rsidRDefault="00521A10" w:rsidP="004F270F">
      <w:pPr>
        <w:numPr>
          <w:ilvl w:val="0"/>
          <w:numId w:val="24"/>
        </w:numPr>
      </w:pPr>
      <w:r w:rsidRPr="00521A10">
        <w:t>Kirklin JK, Pagani FD, Goldstein DJ, et al. American Association for Thoracic Surgery/International Society for Heart and Lung Transplantation guidelines on selected topics in mechanical circulatory support. </w:t>
      </w:r>
      <w:r w:rsidRPr="00521A10">
        <w:rPr>
          <w:i/>
          <w:iCs/>
        </w:rPr>
        <w:t xml:space="preserve">J </w:t>
      </w:r>
      <w:proofErr w:type="spellStart"/>
      <w:r w:rsidRPr="00521A10">
        <w:rPr>
          <w:i/>
          <w:iCs/>
        </w:rPr>
        <w:t>Thorac</w:t>
      </w:r>
      <w:proofErr w:type="spellEnd"/>
      <w:r w:rsidRPr="00521A10">
        <w:rPr>
          <w:i/>
          <w:iCs/>
        </w:rPr>
        <w:t xml:space="preserve"> Cardiovasc Surg</w:t>
      </w:r>
      <w:r w:rsidRPr="00521A10">
        <w:t xml:space="preserve">. 2020;159(3):865-896. </w:t>
      </w:r>
      <w:proofErr w:type="gramStart"/>
      <w:r w:rsidRPr="00521A10">
        <w:t>doi:10.1016/j.jtcvs</w:t>
      </w:r>
      <w:proofErr w:type="gramEnd"/>
      <w:r w:rsidRPr="00521A10">
        <w:t>.2019.12.021</w:t>
      </w:r>
    </w:p>
    <w:p w14:paraId="0BBA75BF" w14:textId="62EAFDEF" w:rsidR="004F270F" w:rsidRPr="004F270F" w:rsidRDefault="004F270F" w:rsidP="004F270F">
      <w:pPr>
        <w:pStyle w:val="ListParagraph"/>
        <w:numPr>
          <w:ilvl w:val="0"/>
          <w:numId w:val="24"/>
        </w:numPr>
        <w:rPr>
          <w:color w:val="000000"/>
        </w:rPr>
      </w:pPr>
      <w:r w:rsidRPr="004F270F">
        <w:rPr>
          <w:color w:val="000000"/>
        </w:rPr>
        <w:t>Parker MS, Fahrner LJ, Deuell BPF, et al. Total Artificial Heart Implantation: Clinical Indications, Expected Postoperative Imaging Findings, and Recognition of Complications. </w:t>
      </w:r>
      <w:r w:rsidRPr="004F270F">
        <w:rPr>
          <w:i/>
          <w:iCs/>
          <w:color w:val="000000"/>
        </w:rPr>
        <w:t>American Journal of Roentgenology</w:t>
      </w:r>
      <w:r w:rsidRPr="004F270F">
        <w:rPr>
          <w:color w:val="000000"/>
        </w:rPr>
        <w:t>. 2014;202(3</w:t>
      </w:r>
      <w:proofErr w:type="gramStart"/>
      <w:r w:rsidRPr="004F270F">
        <w:rPr>
          <w:color w:val="000000"/>
        </w:rPr>
        <w:t>):W</w:t>
      </w:r>
      <w:proofErr w:type="gramEnd"/>
      <w:r w:rsidRPr="004F270F">
        <w:rPr>
          <w:color w:val="000000"/>
        </w:rPr>
        <w:t xml:space="preserve">191-W201. </w:t>
      </w:r>
      <w:proofErr w:type="spellStart"/>
      <w:r w:rsidRPr="004F270F">
        <w:rPr>
          <w:color w:val="000000"/>
        </w:rPr>
        <w:t>doi</w:t>
      </w:r>
      <w:proofErr w:type="spellEnd"/>
      <w:r w:rsidRPr="004F270F">
        <w:rPr>
          <w:color w:val="000000"/>
        </w:rPr>
        <w:t>:</w:t>
      </w:r>
      <w:r w:rsidR="000D7288" w:rsidRPr="004F270F" w:rsidDel="000D7288">
        <w:rPr>
          <w:color w:val="000000"/>
        </w:rPr>
        <w:t xml:space="preserve"> </w:t>
      </w:r>
      <w:r w:rsidRPr="004F270F">
        <w:rPr>
          <w:color w:val="000000"/>
        </w:rPr>
        <w:t>10.2214/ajr.13.11066</w:t>
      </w:r>
    </w:p>
    <w:p w14:paraId="5D3D34F4" w14:textId="77777777" w:rsidR="002A0FDB" w:rsidRPr="00F47532" w:rsidRDefault="002A0FDB" w:rsidP="00342EF5"/>
    <w:p w14:paraId="283BCD1F" w14:textId="77777777" w:rsidR="000E0A65" w:rsidRDefault="000E0A65" w:rsidP="000E0A65">
      <w:pPr>
        <w:rPr>
          <w:rFonts w:eastAsiaTheme="minorHAnsi"/>
          <w:b/>
          <w:u w:val="single"/>
        </w:rPr>
      </w:pPr>
      <w:bookmarkStart w:id="3" w:name="Important_Reminder"/>
      <w:bookmarkEnd w:id="2"/>
      <w:r>
        <w:rPr>
          <w:rFonts w:eastAsiaTheme="minorHAnsi"/>
          <w:b/>
          <w:bCs/>
          <w:u w:val="single"/>
        </w:rPr>
        <w:t>Important Reminder</w:t>
      </w:r>
      <w:bookmarkEnd w:id="3"/>
    </w:p>
    <w:p w14:paraId="283BCD20" w14:textId="77777777" w:rsidR="000E0A65" w:rsidRDefault="000E0A65" w:rsidP="000E0A65">
      <w:pPr>
        <w:rPr>
          <w:rFonts w:eastAsiaTheme="minorHAnsi"/>
        </w:rPr>
      </w:pPr>
      <w:r>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Pr>
          <w:rFonts w:eastAsiaTheme="minorHAnsi"/>
          <w:iCs/>
        </w:rPr>
        <w:t>The Health Plan</w:t>
      </w:r>
      <w:r>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283BCD21" w14:textId="77777777" w:rsidR="000E0A65" w:rsidRDefault="000E0A65" w:rsidP="000E0A65">
      <w:pPr>
        <w:rPr>
          <w:rFonts w:eastAsiaTheme="minorHAnsi"/>
        </w:rPr>
      </w:pPr>
    </w:p>
    <w:p w14:paraId="283BCD22" w14:textId="77777777" w:rsidR="000E0A65" w:rsidRDefault="000E0A65" w:rsidP="000E0A65">
      <w:pPr>
        <w:rPr>
          <w:rFonts w:eastAsiaTheme="minorHAnsi"/>
        </w:rPr>
      </w:pPr>
      <w:r>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283BCD23" w14:textId="77777777" w:rsidR="000E0A65" w:rsidRDefault="000E0A65" w:rsidP="000E0A65">
      <w:pPr>
        <w:rPr>
          <w:rFonts w:eastAsiaTheme="minorHAnsi"/>
        </w:rPr>
      </w:pPr>
    </w:p>
    <w:p w14:paraId="283BCD24" w14:textId="77777777" w:rsidR="000E0A65" w:rsidRDefault="000E0A65" w:rsidP="000E0A65">
      <w:pPr>
        <w:rPr>
          <w:color w:val="002868"/>
        </w:rPr>
      </w:pPr>
      <w:r>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283BCD25" w14:textId="77777777" w:rsidR="000E0A65" w:rsidRDefault="000E0A65" w:rsidP="000E0A65">
      <w:pPr>
        <w:rPr>
          <w:rFonts w:eastAsiaTheme="minorHAnsi"/>
        </w:rPr>
      </w:pPr>
    </w:p>
    <w:p w14:paraId="283BCD26" w14:textId="4C2AD0A6" w:rsidR="000E0A65" w:rsidRDefault="000E0A65" w:rsidP="000E0A65">
      <w:pPr>
        <w:rPr>
          <w:rFonts w:eastAsiaTheme="minorHAnsi"/>
        </w:rPr>
      </w:pPr>
      <w:r>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Pr>
          <w:rFonts w:eastAsiaTheme="minorHAnsi"/>
        </w:rPr>
        <w:t>care, and</w:t>
      </w:r>
      <w:proofErr w:type="gramEnd"/>
      <w:r>
        <w:rPr>
          <w:rFonts w:eastAsiaTheme="minorHAnsi"/>
        </w:rPr>
        <w:t xml:space="preserve"> are solely responsible for the medical advice and treatment of </w:t>
      </w:r>
      <w:proofErr w:type="gramStart"/>
      <w:r w:rsidR="00E23DB5">
        <w:rPr>
          <w:rFonts w:eastAsiaTheme="minorHAnsi"/>
        </w:rPr>
        <w:t>member</w:t>
      </w:r>
      <w:proofErr w:type="gramEnd"/>
      <w:r w:rsidR="00E23DB5">
        <w:rPr>
          <w:rFonts w:eastAsiaTheme="minorHAnsi"/>
        </w:rPr>
        <w:t>/enrollee</w:t>
      </w:r>
      <w:r>
        <w:rPr>
          <w:rFonts w:eastAsiaTheme="minorHAnsi"/>
        </w:rPr>
        <w:t xml:space="preserve">s.  This clinical policy is not intended to recommend treatment for </w:t>
      </w:r>
      <w:r w:rsidR="00E23DB5">
        <w:rPr>
          <w:rFonts w:eastAsiaTheme="minorHAnsi"/>
        </w:rPr>
        <w:t>member/enrollee</w:t>
      </w:r>
      <w:r>
        <w:rPr>
          <w:rFonts w:eastAsiaTheme="minorHAnsi"/>
        </w:rPr>
        <w:t xml:space="preserve">s. </w:t>
      </w:r>
      <w:r w:rsidR="00E23DB5">
        <w:rPr>
          <w:rFonts w:eastAsiaTheme="minorHAnsi"/>
        </w:rPr>
        <w:t>Member/enrollee</w:t>
      </w:r>
      <w:r>
        <w:rPr>
          <w:rFonts w:eastAsiaTheme="minorHAnsi"/>
        </w:rPr>
        <w:t xml:space="preserve">s should consult with their treating physician in connection with diagnosis and treatment decisions. </w:t>
      </w:r>
    </w:p>
    <w:p w14:paraId="283BCD27" w14:textId="77777777" w:rsidR="000E0A65" w:rsidRDefault="000E0A65" w:rsidP="000E0A65">
      <w:pPr>
        <w:rPr>
          <w:rFonts w:eastAsiaTheme="minorHAnsi"/>
        </w:rPr>
      </w:pPr>
    </w:p>
    <w:p w14:paraId="283BCD28" w14:textId="77777777" w:rsidR="000E0A65" w:rsidRDefault="000E0A65" w:rsidP="000E0A65">
      <w:pPr>
        <w:rPr>
          <w:rFonts w:eastAsiaTheme="minorHAnsi"/>
        </w:rPr>
      </w:pPr>
      <w:r>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283BCD29" w14:textId="77777777" w:rsidR="000E0A65" w:rsidRDefault="000E0A65" w:rsidP="000E0A65">
      <w:pPr>
        <w:rPr>
          <w:rFonts w:eastAsiaTheme="minorHAnsi"/>
        </w:rPr>
      </w:pPr>
    </w:p>
    <w:p w14:paraId="283BCD2A" w14:textId="59A32417" w:rsidR="000E0A65" w:rsidRDefault="000E0A65" w:rsidP="000E0A65">
      <w:pPr>
        <w:rPr>
          <w:rFonts w:eastAsiaTheme="minorHAnsi"/>
        </w:rPr>
      </w:pPr>
      <w:r>
        <w:rPr>
          <w:rFonts w:eastAsiaTheme="minorHAnsi"/>
        </w:rPr>
        <w:t xml:space="preserve">This clinical policy is the property of </w:t>
      </w:r>
      <w:r>
        <w:rPr>
          <w:rFonts w:eastAsiaTheme="minorHAnsi"/>
          <w:iCs/>
        </w:rPr>
        <w:t>the Health Plan</w:t>
      </w:r>
      <w:r>
        <w:rPr>
          <w:rFonts w:eastAsiaTheme="minorHAnsi"/>
        </w:rPr>
        <w:t xml:space="preserve">. Unauthorized copying, use, and distribution of this clinical policy or any information contained herein are strictly prohibited.  Providers, </w:t>
      </w:r>
      <w:r w:rsidR="00E23DB5">
        <w:rPr>
          <w:rFonts w:eastAsiaTheme="minorHAnsi"/>
        </w:rPr>
        <w:t>member/enrollee</w:t>
      </w:r>
      <w:r>
        <w:rPr>
          <w:rFonts w:eastAsiaTheme="minorHAnsi"/>
        </w:rPr>
        <w:t xml:space="preserve">s and their representatives are bound to the terms and conditions expressed herein through the terms of their contracts.  Where no such contract exists, providers, </w:t>
      </w:r>
      <w:r w:rsidR="00E23DB5">
        <w:rPr>
          <w:rFonts w:eastAsiaTheme="minorHAnsi"/>
        </w:rPr>
        <w:t>member/enrollee</w:t>
      </w:r>
      <w:r>
        <w:rPr>
          <w:rFonts w:eastAsiaTheme="minorHAnsi"/>
        </w:rPr>
        <w:t xml:space="preserve">s and their representatives agree to be bound by such terms and conditions by providing services to </w:t>
      </w:r>
      <w:r w:rsidR="00E23DB5">
        <w:rPr>
          <w:rFonts w:eastAsiaTheme="minorHAnsi"/>
        </w:rPr>
        <w:t>member/enrollee</w:t>
      </w:r>
      <w:r>
        <w:rPr>
          <w:rFonts w:eastAsiaTheme="minorHAnsi"/>
        </w:rPr>
        <w:t xml:space="preserve">s and/or submitting claims for payment for such services.  </w:t>
      </w:r>
    </w:p>
    <w:p w14:paraId="283BCD2B" w14:textId="77777777" w:rsidR="000E0A65" w:rsidRDefault="000E0A65" w:rsidP="000E0A65">
      <w:pPr>
        <w:autoSpaceDE w:val="0"/>
        <w:autoSpaceDN w:val="0"/>
        <w:adjustRightInd w:val="0"/>
        <w:rPr>
          <w:rFonts w:eastAsiaTheme="minorHAnsi"/>
          <w:color w:val="000000"/>
        </w:rPr>
      </w:pPr>
    </w:p>
    <w:p w14:paraId="283BCD2C" w14:textId="62AC667D" w:rsidR="000E0A65" w:rsidRDefault="000E0A65" w:rsidP="000E0A65">
      <w:pPr>
        <w:autoSpaceDE w:val="0"/>
        <w:autoSpaceDN w:val="0"/>
        <w:adjustRightInd w:val="0"/>
        <w:rPr>
          <w:rFonts w:eastAsiaTheme="minorHAnsi"/>
          <w:color w:val="000000"/>
        </w:rPr>
      </w:pPr>
      <w:r>
        <w:rPr>
          <w:rFonts w:eastAsiaTheme="minorHAnsi"/>
          <w:b/>
          <w:color w:val="000000"/>
        </w:rPr>
        <w:t xml:space="preserve">Note: For Medicaid </w:t>
      </w:r>
      <w:r w:rsidR="00E23DB5">
        <w:rPr>
          <w:rFonts w:eastAsiaTheme="minorHAnsi"/>
          <w:b/>
          <w:color w:val="000000"/>
        </w:rPr>
        <w:t>member/enrollee</w:t>
      </w:r>
      <w:r>
        <w:rPr>
          <w:rFonts w:eastAsiaTheme="minorHAnsi"/>
          <w:b/>
          <w:color w:val="000000"/>
        </w:rPr>
        <w:t>s</w:t>
      </w:r>
      <w:r>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83BCD2D" w14:textId="77777777" w:rsidR="000E0A65" w:rsidRDefault="000E0A65" w:rsidP="000E0A65">
      <w:pPr>
        <w:rPr>
          <w:rFonts w:eastAsiaTheme="minorHAnsi"/>
        </w:rPr>
      </w:pPr>
    </w:p>
    <w:p w14:paraId="283BCD2E" w14:textId="0AE4A4FA" w:rsidR="000E0A65" w:rsidRDefault="000E0A65" w:rsidP="000E0A65">
      <w:pPr>
        <w:autoSpaceDE w:val="0"/>
        <w:autoSpaceDN w:val="0"/>
        <w:adjustRightInd w:val="0"/>
        <w:rPr>
          <w:color w:val="000000"/>
        </w:rPr>
      </w:pPr>
      <w:r>
        <w:rPr>
          <w:rFonts w:eastAsiaTheme="minorHAnsi"/>
          <w:b/>
          <w:bCs/>
          <w:color w:val="000000"/>
        </w:rPr>
        <w:t xml:space="preserve">Note: For Medicare </w:t>
      </w:r>
      <w:r w:rsidR="00E23DB5">
        <w:rPr>
          <w:rFonts w:eastAsiaTheme="minorHAnsi"/>
          <w:b/>
          <w:bCs/>
          <w:color w:val="000000"/>
        </w:rPr>
        <w:t>member/enrollee</w:t>
      </w:r>
      <w:r>
        <w:rPr>
          <w:rFonts w:eastAsiaTheme="minorHAnsi"/>
          <w:b/>
          <w:bCs/>
          <w:color w:val="000000"/>
        </w:rPr>
        <w:t xml:space="preserve">s, </w:t>
      </w:r>
      <w:r>
        <w:rPr>
          <w:rFonts w:eastAsiaTheme="minorHAnsi"/>
          <w:color w:val="000000"/>
        </w:rPr>
        <w:t xml:space="preserve">to ensure consistency with the Medicare National Coverage Determinations (NCD) and Local Coverage Determinations (LCD), all applicable NCDs, LCDs, and Medicare Coverage Articles should be reviewed </w:t>
      </w:r>
      <w:r>
        <w:rPr>
          <w:rFonts w:eastAsiaTheme="minorHAnsi"/>
          <w:color w:val="000000"/>
          <w:u w:val="single"/>
        </w:rPr>
        <w:t>prior to</w:t>
      </w:r>
      <w:r>
        <w:rPr>
          <w:rFonts w:eastAsiaTheme="minorHAnsi"/>
          <w:color w:val="000000"/>
        </w:rPr>
        <w:t xml:space="preserve"> applying the criteria set forth in this clinical policy. Refer to the CMS website at </w:t>
      </w:r>
      <w:hyperlink r:id="rId20" w:history="1">
        <w:r>
          <w:rPr>
            <w:rStyle w:val="Hyperlink"/>
            <w:rFonts w:eastAsiaTheme="minorHAnsi"/>
            <w:color w:val="000000"/>
          </w:rPr>
          <w:t>http://www.cms.gov</w:t>
        </w:r>
      </w:hyperlink>
      <w:r>
        <w:rPr>
          <w:rFonts w:eastAsiaTheme="minorHAnsi"/>
          <w:color w:val="000000"/>
        </w:rPr>
        <w:t xml:space="preserve"> for additional information.</w:t>
      </w:r>
      <w:r>
        <w:rPr>
          <w:color w:val="000000"/>
        </w:rPr>
        <w:t xml:space="preserve"> </w:t>
      </w:r>
    </w:p>
    <w:p w14:paraId="283BCD2F" w14:textId="77777777" w:rsidR="000E0A65" w:rsidRDefault="000E0A65" w:rsidP="000E0A65">
      <w:pPr>
        <w:rPr>
          <w:iCs/>
        </w:rPr>
      </w:pPr>
    </w:p>
    <w:p w14:paraId="283BCD30" w14:textId="79799351" w:rsidR="000E0A65" w:rsidRDefault="000E0A65" w:rsidP="000E0A65">
      <w:pPr>
        <w:rPr>
          <w:iCs/>
        </w:rPr>
      </w:pPr>
      <w:r>
        <w:rPr>
          <w:iCs/>
        </w:rPr>
        <w:t>©201</w:t>
      </w:r>
      <w:r w:rsidR="00427EE4">
        <w:rPr>
          <w:iCs/>
        </w:rPr>
        <w:t>8</w:t>
      </w:r>
      <w:r>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Pr>
          <w:iCs/>
          <w:vertAlign w:val="superscript"/>
        </w:rPr>
        <w:t>®</w:t>
      </w:r>
      <w:r>
        <w:rPr>
          <w:iCs/>
        </w:rPr>
        <w:t xml:space="preserve"> and Centene Corporation</w:t>
      </w:r>
      <w:r>
        <w:rPr>
          <w:iCs/>
          <w:vertAlign w:val="superscript"/>
        </w:rPr>
        <w:t>®</w:t>
      </w:r>
      <w:r>
        <w:rPr>
          <w:iCs/>
        </w:rPr>
        <w:t xml:space="preserve"> are registered trademarks exclusively owned by Centene Corporation.</w:t>
      </w:r>
    </w:p>
    <w:p w14:paraId="283BCD31" w14:textId="77777777" w:rsidR="000E0A65" w:rsidRDefault="000E0A65" w:rsidP="000E0A65"/>
    <w:sectPr w:rsidR="000E0A65" w:rsidSect="00427EE4">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386D" w14:textId="77777777" w:rsidR="000616DB" w:rsidRDefault="000616DB">
      <w:r>
        <w:separator/>
      </w:r>
    </w:p>
  </w:endnote>
  <w:endnote w:type="continuationSeparator" w:id="0">
    <w:p w14:paraId="5E6B41CF" w14:textId="77777777" w:rsidR="000616DB" w:rsidRDefault="0006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A008" w14:textId="77777777" w:rsidR="00186F04" w:rsidRDefault="00186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CD39" w14:textId="46D15DED" w:rsidR="00397332" w:rsidRPr="00D574CA" w:rsidRDefault="00397332" w:rsidP="00D574CA">
    <w:pPr>
      <w:pStyle w:val="Footer"/>
      <w:jc w:val="center"/>
    </w:pPr>
    <w:r>
      <w:t xml:space="preserve">Page </w:t>
    </w:r>
    <w:r>
      <w:rPr>
        <w:b/>
        <w:bCs/>
      </w:rPr>
      <w:fldChar w:fldCharType="begin"/>
    </w:r>
    <w:r>
      <w:rPr>
        <w:b/>
        <w:bCs/>
      </w:rPr>
      <w:instrText xml:space="preserve"> PAGE </w:instrText>
    </w:r>
    <w:r>
      <w:rPr>
        <w:b/>
        <w:bCs/>
      </w:rPr>
      <w:fldChar w:fldCharType="separate"/>
    </w:r>
    <w:r w:rsidR="009D68C6">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9D68C6">
      <w:rPr>
        <w:b/>
        <w:bCs/>
        <w:noProof/>
      </w:rPr>
      <w:t>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CD3B" w14:textId="6C59A64B" w:rsidR="00397332" w:rsidRDefault="00397332" w:rsidP="002C6AAB">
    <w:pPr>
      <w:pStyle w:val="Footer"/>
      <w:jc w:val="center"/>
    </w:pPr>
    <w:r>
      <w:t xml:space="preserve">Page </w:t>
    </w:r>
    <w:r w:rsidR="00344308">
      <w:fldChar w:fldCharType="begin"/>
    </w:r>
    <w:r w:rsidR="00344308">
      <w:instrText xml:space="preserve"> PAGE   \* MERGEFORMAT </w:instrText>
    </w:r>
    <w:r w:rsidR="00344308">
      <w:fldChar w:fldCharType="separate"/>
    </w:r>
    <w:r w:rsidR="009D68C6">
      <w:rPr>
        <w:noProof/>
      </w:rPr>
      <w:t>1</w:t>
    </w:r>
    <w:r w:rsidR="00344308">
      <w:rPr>
        <w:noProof/>
      </w:rPr>
      <w:fldChar w:fldCharType="end"/>
    </w:r>
    <w:r>
      <w:t xml:space="preserve"> of </w:t>
    </w:r>
    <w:r w:rsidR="009842FA">
      <w:rPr>
        <w:noProof/>
      </w:rPr>
      <w:fldChar w:fldCharType="begin"/>
    </w:r>
    <w:r w:rsidR="009842FA">
      <w:rPr>
        <w:noProof/>
      </w:rPr>
      <w:instrText xml:space="preserve"> NUMPAGES   \* MERGEFORMAT </w:instrText>
    </w:r>
    <w:r w:rsidR="009842FA">
      <w:rPr>
        <w:noProof/>
      </w:rPr>
      <w:fldChar w:fldCharType="separate"/>
    </w:r>
    <w:r w:rsidR="009D68C6">
      <w:rPr>
        <w:noProof/>
      </w:rPr>
      <w:t>6</w:t>
    </w:r>
    <w:r w:rsidR="009842F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2830" w14:textId="77777777" w:rsidR="000616DB" w:rsidRDefault="000616DB">
      <w:r>
        <w:separator/>
      </w:r>
    </w:p>
  </w:footnote>
  <w:footnote w:type="continuationSeparator" w:id="0">
    <w:p w14:paraId="6C6BB74B" w14:textId="77777777" w:rsidR="000616DB" w:rsidRDefault="0006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D63C" w14:textId="77777777" w:rsidR="00186F04" w:rsidRDefault="00186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CD37" w14:textId="2D144CFC" w:rsidR="00397332" w:rsidRPr="00B777AF" w:rsidRDefault="00397332"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344308">
      <w:rPr>
        <w:noProof/>
        <w:color w:val="00548C"/>
      </w:rPr>
      <w:drawing>
        <wp:inline distT="0" distB="0" distL="0" distR="0" wp14:anchorId="283BCD3C" wp14:editId="283BCD3D">
          <wp:extent cx="903605" cy="239395"/>
          <wp:effectExtent l="0" t="0" r="0" b="825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239395"/>
                  </a:xfrm>
                  <a:prstGeom prst="rect">
                    <a:avLst/>
                  </a:prstGeom>
                  <a:noFill/>
                  <a:ln>
                    <a:noFill/>
                  </a:ln>
                </pic:spPr>
              </pic:pic>
            </a:graphicData>
          </a:graphic>
        </wp:inline>
      </w:drawing>
    </w:r>
  </w:p>
  <w:p w14:paraId="283BCD38" w14:textId="77777777" w:rsidR="00397332" w:rsidRPr="00B777AF" w:rsidRDefault="00344308" w:rsidP="00B777AF">
    <w:pPr>
      <w:rPr>
        <w:color w:val="00548C"/>
      </w:rPr>
    </w:pPr>
    <w:r>
      <w:rPr>
        <w:rFonts w:ascii="Times New Roman Bold" w:hAnsi="Times New Roman Bold"/>
        <w:b/>
        <w:bCs/>
        <w:color w:val="00548C"/>
      </w:rPr>
      <w:t>Total Artificial Heart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CD3A" w14:textId="18D48C3A" w:rsidR="00397332" w:rsidRDefault="00344308" w:rsidP="00B777AF">
    <w:pPr>
      <w:pStyle w:val="Header"/>
      <w:jc w:val="right"/>
    </w:pPr>
    <w:r>
      <w:rPr>
        <w:noProof/>
      </w:rPr>
      <w:drawing>
        <wp:inline distT="0" distB="0" distL="0" distR="0" wp14:anchorId="283BCD3E" wp14:editId="283BCD3F">
          <wp:extent cx="1360805" cy="337185"/>
          <wp:effectExtent l="0" t="0" r="0" b="571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337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21C"/>
    <w:multiLevelType w:val="hybridMultilevel"/>
    <w:tmpl w:val="8F74DBFA"/>
    <w:lvl w:ilvl="0" w:tplc="0B1EDA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606C8"/>
    <w:multiLevelType w:val="multilevel"/>
    <w:tmpl w:val="7B30880E"/>
    <w:lvl w:ilvl="0">
      <w:start w:val="1"/>
      <w:numFmt w:val="upperRoman"/>
      <w:lvlText w:val="%1."/>
      <w:lvlJc w:val="left"/>
      <w:pPr>
        <w:tabs>
          <w:tab w:val="num" w:pos="360"/>
        </w:tabs>
        <w:ind w:left="360" w:hanging="360"/>
      </w:pPr>
      <w:rPr>
        <w:rFonts w:cs="Times New Roman" w:hint="default"/>
        <w:b/>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6A5596"/>
    <w:multiLevelType w:val="hybridMultilevel"/>
    <w:tmpl w:val="E6805472"/>
    <w:lvl w:ilvl="0" w:tplc="EF38FA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1E0E99"/>
    <w:multiLevelType w:val="hybridMultilevel"/>
    <w:tmpl w:val="5FFA82B8"/>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hint="default"/>
        <w:sz w:val="2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152264AB"/>
    <w:multiLevelType w:val="hybridMultilevel"/>
    <w:tmpl w:val="FD707288"/>
    <w:lvl w:ilvl="0" w:tplc="2E12D04A">
      <w:start w:val="1"/>
      <w:numFmt w:val="upperRoman"/>
      <w:lvlText w:val="%1."/>
      <w:lvlJc w:val="left"/>
      <w:pPr>
        <w:tabs>
          <w:tab w:val="num" w:pos="360"/>
        </w:tabs>
        <w:ind w:left="360" w:hanging="360"/>
      </w:pPr>
      <w:rPr>
        <w:rFonts w:cs="Times New Roman" w:hint="default"/>
        <w:b/>
        <w:i w:val="0"/>
        <w:color w:val="auto"/>
      </w:rPr>
    </w:lvl>
    <w:lvl w:ilvl="1" w:tplc="3C1212AE">
      <w:start w:val="1"/>
      <w:numFmt w:val="upperLetter"/>
      <w:lvlText w:val="%2."/>
      <w:lvlJc w:val="left"/>
      <w:pPr>
        <w:tabs>
          <w:tab w:val="num" w:pos="720"/>
        </w:tabs>
        <w:ind w:left="720" w:hanging="360"/>
      </w:pPr>
      <w:rPr>
        <w:rFonts w:cs="Tempus Sans ITC" w:hint="default"/>
        <w:b w:val="0"/>
        <w:bCs/>
        <w:i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7A6984"/>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344"/>
    <w:multiLevelType w:val="hybridMultilevel"/>
    <w:tmpl w:val="0AE0A9B4"/>
    <w:lvl w:ilvl="0" w:tplc="D722E3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E500B2"/>
    <w:multiLevelType w:val="hybridMultilevel"/>
    <w:tmpl w:val="CB5AF886"/>
    <w:lvl w:ilvl="0" w:tplc="6CC06064">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A01436"/>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75F0A"/>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D072AA"/>
    <w:multiLevelType w:val="multilevel"/>
    <w:tmpl w:val="A26A47FE"/>
    <w:lvl w:ilvl="0">
      <w:start w:val="1"/>
      <w:numFmt w:val="upperRoman"/>
      <w:lvlText w:val="%1."/>
      <w:lvlJc w:val="left"/>
      <w:pPr>
        <w:tabs>
          <w:tab w:val="num" w:pos="360"/>
        </w:tabs>
        <w:ind w:left="360" w:hanging="360"/>
      </w:pPr>
      <w:rPr>
        <w:rFonts w:cs="Times New Roman" w:hint="default"/>
        <w:b/>
        <w:i w:val="0"/>
        <w:color w:val="auto"/>
      </w:rPr>
    </w:lvl>
    <w:lvl w:ilvl="1">
      <w:start w:val="1"/>
      <w:numFmt w:val="upperLetter"/>
      <w:lvlText w:val="%2."/>
      <w:lvlJc w:val="left"/>
      <w:pPr>
        <w:tabs>
          <w:tab w:val="num" w:pos="360"/>
        </w:tabs>
        <w:ind w:left="360" w:hanging="360"/>
      </w:pPr>
      <w:rPr>
        <w:rFonts w:cs="Tempus Sans ITC" w:hint="default"/>
        <w:b/>
        <w:i w:val="0"/>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1497053"/>
    <w:multiLevelType w:val="hybridMultilevel"/>
    <w:tmpl w:val="BE262E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586063C"/>
    <w:multiLevelType w:val="hybridMultilevel"/>
    <w:tmpl w:val="04382478"/>
    <w:lvl w:ilvl="0" w:tplc="5C220D9E">
      <w:start w:val="1"/>
      <w:numFmt w:val="decimal"/>
      <w:lvlText w:val="%1."/>
      <w:lvlJc w:val="left"/>
      <w:pPr>
        <w:ind w:left="720" w:hanging="360"/>
      </w:pPr>
      <w:rPr>
        <w:rFonts w:cs="Times New Roman" w:hint="default"/>
        <w:b w:val="0"/>
      </w:rPr>
    </w:lvl>
    <w:lvl w:ilvl="1" w:tplc="6CC06064">
      <w:start w:val="1"/>
      <w:numFmt w:val="lowerLetter"/>
      <w:lvlText w:val="%2."/>
      <w:lvlJc w:val="left"/>
      <w:pPr>
        <w:ind w:left="1440" w:hanging="360"/>
      </w:pPr>
      <w:rPr>
        <w:rFonts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7"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C7A473A"/>
    <w:multiLevelType w:val="hybridMultilevel"/>
    <w:tmpl w:val="52D424AC"/>
    <w:lvl w:ilvl="0" w:tplc="97BEB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45C"/>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A2395"/>
    <w:multiLevelType w:val="hybridMultilevel"/>
    <w:tmpl w:val="D50223B6"/>
    <w:lvl w:ilvl="0" w:tplc="D004D2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55E34"/>
    <w:multiLevelType w:val="hybridMultilevel"/>
    <w:tmpl w:val="E104E54A"/>
    <w:lvl w:ilvl="0" w:tplc="C38C64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23092"/>
    <w:multiLevelType w:val="multilevel"/>
    <w:tmpl w:val="9E14F3D2"/>
    <w:lvl w:ilvl="0">
      <w:start w:val="1"/>
      <w:numFmt w:val="upperRoman"/>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365D0"/>
    <w:multiLevelType w:val="hybridMultilevel"/>
    <w:tmpl w:val="D55A7940"/>
    <w:lvl w:ilvl="0" w:tplc="F85C9D98">
      <w:start w:val="1"/>
      <w:numFmt w:val="upperLetter"/>
      <w:lvlText w:val="%1."/>
      <w:lvlJc w:val="left"/>
      <w:pPr>
        <w:ind w:left="720" w:hanging="360"/>
      </w:pPr>
      <w:rPr>
        <w:rFonts w:cs="Times New Roman"/>
        <w:b w:val="0"/>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50746AA"/>
    <w:multiLevelType w:val="hybridMultilevel"/>
    <w:tmpl w:val="7B9A472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56A71B87"/>
    <w:multiLevelType w:val="hybridMultilevel"/>
    <w:tmpl w:val="77D0E298"/>
    <w:lvl w:ilvl="0" w:tplc="C7ACB9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787669"/>
    <w:multiLevelType w:val="hybridMultilevel"/>
    <w:tmpl w:val="6F849D0A"/>
    <w:lvl w:ilvl="0" w:tplc="84EE2338">
      <w:start w:val="1"/>
      <w:numFmt w:val="bullet"/>
      <w:lvlText w:val="-"/>
      <w:lvlJc w:val="left"/>
      <w:pPr>
        <w:ind w:left="720" w:hanging="360"/>
      </w:pPr>
      <w:rPr>
        <w:rFonts w:ascii="Cambria" w:eastAsia="Times New Roman" w:hAnsi="Cambria" w:cs="Times New Roman"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A0A3B"/>
    <w:multiLevelType w:val="hybridMultilevel"/>
    <w:tmpl w:val="707A7980"/>
    <w:lvl w:ilvl="0" w:tplc="EE221116">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F600535"/>
    <w:multiLevelType w:val="hybridMultilevel"/>
    <w:tmpl w:val="0A58192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D1E3D0A"/>
    <w:multiLevelType w:val="hybridMultilevel"/>
    <w:tmpl w:val="6CF4423A"/>
    <w:lvl w:ilvl="0" w:tplc="6BAC0802">
      <w:start w:val="1"/>
      <w:numFmt w:val="upperRoman"/>
      <w:lvlText w:val="%1."/>
      <w:lvlJc w:val="left"/>
      <w:pPr>
        <w:ind w:left="720" w:hanging="360"/>
      </w:pPr>
      <w:rPr>
        <w:rFonts w:cs="Times New Roman" w:hint="default"/>
        <w:b/>
        <w:i w:val="0"/>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300810451">
    <w:abstractNumId w:val="32"/>
  </w:num>
  <w:num w:numId="2" w16cid:durableId="1895507153">
    <w:abstractNumId w:val="1"/>
  </w:num>
  <w:num w:numId="3" w16cid:durableId="1421097843">
    <w:abstractNumId w:val="12"/>
  </w:num>
  <w:num w:numId="4" w16cid:durableId="1040664941">
    <w:abstractNumId w:val="16"/>
  </w:num>
  <w:num w:numId="5" w16cid:durableId="1206794481">
    <w:abstractNumId w:val="17"/>
  </w:num>
  <w:num w:numId="6" w16cid:durableId="508568848">
    <w:abstractNumId w:val="28"/>
  </w:num>
  <w:num w:numId="7" w16cid:durableId="23022868">
    <w:abstractNumId w:val="29"/>
  </w:num>
  <w:num w:numId="8" w16cid:durableId="114833773">
    <w:abstractNumId w:val="3"/>
  </w:num>
  <w:num w:numId="9" w16cid:durableId="1312908779">
    <w:abstractNumId w:val="23"/>
  </w:num>
  <w:num w:numId="10" w16cid:durableId="1874223249">
    <w:abstractNumId w:val="10"/>
  </w:num>
  <w:num w:numId="11" w16cid:durableId="1889106686">
    <w:abstractNumId w:val="31"/>
  </w:num>
  <w:num w:numId="12" w16cid:durableId="623776336">
    <w:abstractNumId w:val="15"/>
  </w:num>
  <w:num w:numId="13" w16cid:durableId="1202667528">
    <w:abstractNumId w:val="14"/>
  </w:num>
  <w:num w:numId="14" w16cid:durableId="461390339">
    <w:abstractNumId w:val="7"/>
  </w:num>
  <w:num w:numId="15" w16cid:durableId="316501789">
    <w:abstractNumId w:val="11"/>
  </w:num>
  <w:num w:numId="16" w16cid:durableId="2016377564">
    <w:abstractNumId w:val="30"/>
  </w:num>
  <w:num w:numId="17" w16cid:durableId="1200706407">
    <w:abstractNumId w:val="24"/>
  </w:num>
  <w:num w:numId="18" w16cid:durableId="179247321">
    <w:abstractNumId w:val="19"/>
  </w:num>
  <w:num w:numId="19" w16cid:durableId="2036348395">
    <w:abstractNumId w:val="9"/>
  </w:num>
  <w:num w:numId="20" w16cid:durableId="928391179">
    <w:abstractNumId w:val="5"/>
  </w:num>
  <w:num w:numId="21" w16cid:durableId="1819179234">
    <w:abstractNumId w:val="6"/>
  </w:num>
  <w:num w:numId="22" w16cid:durableId="1416436483">
    <w:abstractNumId w:val="2"/>
  </w:num>
  <w:num w:numId="23" w16cid:durableId="267585086">
    <w:abstractNumId w:val="13"/>
  </w:num>
  <w:num w:numId="24" w16cid:durableId="905384582">
    <w:abstractNumId w:val="27"/>
  </w:num>
  <w:num w:numId="25" w16cid:durableId="321280075">
    <w:abstractNumId w:val="0"/>
  </w:num>
  <w:num w:numId="26" w16cid:durableId="66271147">
    <w:abstractNumId w:val="8"/>
  </w:num>
  <w:num w:numId="27" w16cid:durableId="920677566">
    <w:abstractNumId w:val="4"/>
  </w:num>
  <w:num w:numId="28" w16cid:durableId="519708916">
    <w:abstractNumId w:val="25"/>
  </w:num>
  <w:num w:numId="29" w16cid:durableId="48723010">
    <w:abstractNumId w:val="21"/>
  </w:num>
  <w:num w:numId="30" w16cid:durableId="428427874">
    <w:abstractNumId w:val="22"/>
  </w:num>
  <w:num w:numId="31" w16cid:durableId="212498905">
    <w:abstractNumId w:val="18"/>
  </w:num>
  <w:num w:numId="32" w16cid:durableId="1850869668">
    <w:abstractNumId w:val="26"/>
  </w:num>
  <w:num w:numId="33" w16cid:durableId="12860384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2B5B"/>
    <w:rsid w:val="00003E4E"/>
    <w:rsid w:val="00006C79"/>
    <w:rsid w:val="00010725"/>
    <w:rsid w:val="00026089"/>
    <w:rsid w:val="00026880"/>
    <w:rsid w:val="00032D3F"/>
    <w:rsid w:val="000335B2"/>
    <w:rsid w:val="000412D2"/>
    <w:rsid w:val="00041A2F"/>
    <w:rsid w:val="000465DE"/>
    <w:rsid w:val="0004733E"/>
    <w:rsid w:val="00053C02"/>
    <w:rsid w:val="00054498"/>
    <w:rsid w:val="00054F25"/>
    <w:rsid w:val="00060509"/>
    <w:rsid w:val="000616DB"/>
    <w:rsid w:val="00072F57"/>
    <w:rsid w:val="00073FAB"/>
    <w:rsid w:val="00083740"/>
    <w:rsid w:val="00094136"/>
    <w:rsid w:val="000A2C60"/>
    <w:rsid w:val="000A47D5"/>
    <w:rsid w:val="000A7BAF"/>
    <w:rsid w:val="000C40BB"/>
    <w:rsid w:val="000C517A"/>
    <w:rsid w:val="000D074E"/>
    <w:rsid w:val="000D558D"/>
    <w:rsid w:val="000D7288"/>
    <w:rsid w:val="000D7C49"/>
    <w:rsid w:val="000E0165"/>
    <w:rsid w:val="000E0A65"/>
    <w:rsid w:val="000E2CBC"/>
    <w:rsid w:val="000E4441"/>
    <w:rsid w:val="000E4A5B"/>
    <w:rsid w:val="000F10C2"/>
    <w:rsid w:val="000F6147"/>
    <w:rsid w:val="00105233"/>
    <w:rsid w:val="001077DE"/>
    <w:rsid w:val="001078A3"/>
    <w:rsid w:val="001145B1"/>
    <w:rsid w:val="001148A8"/>
    <w:rsid w:val="0014233A"/>
    <w:rsid w:val="00142BC7"/>
    <w:rsid w:val="0014316D"/>
    <w:rsid w:val="00146C6E"/>
    <w:rsid w:val="00161737"/>
    <w:rsid w:val="001620D1"/>
    <w:rsid w:val="00170B14"/>
    <w:rsid w:val="00173F33"/>
    <w:rsid w:val="001818D7"/>
    <w:rsid w:val="00185104"/>
    <w:rsid w:val="001865FD"/>
    <w:rsid w:val="00186F04"/>
    <w:rsid w:val="00191ECB"/>
    <w:rsid w:val="001947F2"/>
    <w:rsid w:val="001957E6"/>
    <w:rsid w:val="001962BE"/>
    <w:rsid w:val="00196689"/>
    <w:rsid w:val="00196935"/>
    <w:rsid w:val="0019746F"/>
    <w:rsid w:val="001A1012"/>
    <w:rsid w:val="001C11E8"/>
    <w:rsid w:val="001C3E03"/>
    <w:rsid w:val="001C5100"/>
    <w:rsid w:val="001C643C"/>
    <w:rsid w:val="001D0D34"/>
    <w:rsid w:val="001D0FD3"/>
    <w:rsid w:val="001D5741"/>
    <w:rsid w:val="001D70D4"/>
    <w:rsid w:val="001D7F62"/>
    <w:rsid w:val="001E7D12"/>
    <w:rsid w:val="002056E0"/>
    <w:rsid w:val="0020675F"/>
    <w:rsid w:val="00210D49"/>
    <w:rsid w:val="00212B75"/>
    <w:rsid w:val="002147A8"/>
    <w:rsid w:val="00214F41"/>
    <w:rsid w:val="00220736"/>
    <w:rsid w:val="00230FE4"/>
    <w:rsid w:val="00233651"/>
    <w:rsid w:val="00233F4D"/>
    <w:rsid w:val="0023636F"/>
    <w:rsid w:val="00237D69"/>
    <w:rsid w:val="00244B30"/>
    <w:rsid w:val="00246D19"/>
    <w:rsid w:val="00254020"/>
    <w:rsid w:val="0025452A"/>
    <w:rsid w:val="0027392D"/>
    <w:rsid w:val="0027529A"/>
    <w:rsid w:val="002814D4"/>
    <w:rsid w:val="00281CA3"/>
    <w:rsid w:val="00285997"/>
    <w:rsid w:val="00286145"/>
    <w:rsid w:val="002915C5"/>
    <w:rsid w:val="002A0FDB"/>
    <w:rsid w:val="002A39EE"/>
    <w:rsid w:val="002A7E01"/>
    <w:rsid w:val="002B0582"/>
    <w:rsid w:val="002B1FDA"/>
    <w:rsid w:val="002B3640"/>
    <w:rsid w:val="002C6AAB"/>
    <w:rsid w:val="002D019A"/>
    <w:rsid w:val="002D29E9"/>
    <w:rsid w:val="002E25CA"/>
    <w:rsid w:val="002E42F2"/>
    <w:rsid w:val="002E48E7"/>
    <w:rsid w:val="002E565C"/>
    <w:rsid w:val="002E64B9"/>
    <w:rsid w:val="002F34CD"/>
    <w:rsid w:val="002F5DD3"/>
    <w:rsid w:val="002F6D21"/>
    <w:rsid w:val="00301097"/>
    <w:rsid w:val="00302AA1"/>
    <w:rsid w:val="0030479C"/>
    <w:rsid w:val="00307066"/>
    <w:rsid w:val="00307ECE"/>
    <w:rsid w:val="00310EDB"/>
    <w:rsid w:val="003140D6"/>
    <w:rsid w:val="0031730C"/>
    <w:rsid w:val="00321EFF"/>
    <w:rsid w:val="00323A5D"/>
    <w:rsid w:val="00336E37"/>
    <w:rsid w:val="00342EF5"/>
    <w:rsid w:val="00344308"/>
    <w:rsid w:val="00346584"/>
    <w:rsid w:val="00350E13"/>
    <w:rsid w:val="00350F22"/>
    <w:rsid w:val="00351C68"/>
    <w:rsid w:val="003652A4"/>
    <w:rsid w:val="0037033E"/>
    <w:rsid w:val="0037573D"/>
    <w:rsid w:val="003840CC"/>
    <w:rsid w:val="00384301"/>
    <w:rsid w:val="00387231"/>
    <w:rsid w:val="00397332"/>
    <w:rsid w:val="003A1789"/>
    <w:rsid w:val="003A4DC7"/>
    <w:rsid w:val="003A7EF8"/>
    <w:rsid w:val="003B1FC0"/>
    <w:rsid w:val="003B486C"/>
    <w:rsid w:val="003C3233"/>
    <w:rsid w:val="003C7F0C"/>
    <w:rsid w:val="003D7BE7"/>
    <w:rsid w:val="003E4322"/>
    <w:rsid w:val="003E7532"/>
    <w:rsid w:val="003F011E"/>
    <w:rsid w:val="003F3D44"/>
    <w:rsid w:val="004041A9"/>
    <w:rsid w:val="00404EA6"/>
    <w:rsid w:val="004108F9"/>
    <w:rsid w:val="00414972"/>
    <w:rsid w:val="00415558"/>
    <w:rsid w:val="00424C21"/>
    <w:rsid w:val="004260E5"/>
    <w:rsid w:val="00427EE4"/>
    <w:rsid w:val="00441057"/>
    <w:rsid w:val="004522A6"/>
    <w:rsid w:val="0045657E"/>
    <w:rsid w:val="00465E86"/>
    <w:rsid w:val="00467ADC"/>
    <w:rsid w:val="00472C6C"/>
    <w:rsid w:val="00480C09"/>
    <w:rsid w:val="004855DA"/>
    <w:rsid w:val="004909F9"/>
    <w:rsid w:val="00493710"/>
    <w:rsid w:val="004958B9"/>
    <w:rsid w:val="00496BCF"/>
    <w:rsid w:val="00497AED"/>
    <w:rsid w:val="004A32E0"/>
    <w:rsid w:val="004B59D1"/>
    <w:rsid w:val="004B617A"/>
    <w:rsid w:val="004C1219"/>
    <w:rsid w:val="004C18F4"/>
    <w:rsid w:val="004D349E"/>
    <w:rsid w:val="004D3553"/>
    <w:rsid w:val="004D7959"/>
    <w:rsid w:val="004D79B5"/>
    <w:rsid w:val="004E0B99"/>
    <w:rsid w:val="004E38F3"/>
    <w:rsid w:val="004F270F"/>
    <w:rsid w:val="004F6394"/>
    <w:rsid w:val="00505830"/>
    <w:rsid w:val="00507DC0"/>
    <w:rsid w:val="005103B8"/>
    <w:rsid w:val="00510A42"/>
    <w:rsid w:val="005144C0"/>
    <w:rsid w:val="005207C8"/>
    <w:rsid w:val="0052124F"/>
    <w:rsid w:val="00521A10"/>
    <w:rsid w:val="00523491"/>
    <w:rsid w:val="00527C4C"/>
    <w:rsid w:val="00531FE9"/>
    <w:rsid w:val="00535746"/>
    <w:rsid w:val="00540A85"/>
    <w:rsid w:val="005423D4"/>
    <w:rsid w:val="005429AA"/>
    <w:rsid w:val="0054608A"/>
    <w:rsid w:val="005528F4"/>
    <w:rsid w:val="005537B0"/>
    <w:rsid w:val="005562CC"/>
    <w:rsid w:val="00556CBA"/>
    <w:rsid w:val="00563DFF"/>
    <w:rsid w:val="005764CD"/>
    <w:rsid w:val="0057690F"/>
    <w:rsid w:val="005776FD"/>
    <w:rsid w:val="005825A6"/>
    <w:rsid w:val="005825B1"/>
    <w:rsid w:val="00583318"/>
    <w:rsid w:val="00583376"/>
    <w:rsid w:val="00583C2B"/>
    <w:rsid w:val="005A6639"/>
    <w:rsid w:val="005B2AE4"/>
    <w:rsid w:val="005B5BA9"/>
    <w:rsid w:val="005B6EAD"/>
    <w:rsid w:val="005C17DF"/>
    <w:rsid w:val="005C2877"/>
    <w:rsid w:val="005C3523"/>
    <w:rsid w:val="005C3607"/>
    <w:rsid w:val="005C7649"/>
    <w:rsid w:val="005C7C65"/>
    <w:rsid w:val="005D009F"/>
    <w:rsid w:val="005D1EE8"/>
    <w:rsid w:val="005D2CEC"/>
    <w:rsid w:val="005D5146"/>
    <w:rsid w:val="005D6347"/>
    <w:rsid w:val="005D7B81"/>
    <w:rsid w:val="005E117C"/>
    <w:rsid w:val="005E2554"/>
    <w:rsid w:val="005E411E"/>
    <w:rsid w:val="005E63FF"/>
    <w:rsid w:val="005E6D05"/>
    <w:rsid w:val="005F051C"/>
    <w:rsid w:val="006016F3"/>
    <w:rsid w:val="00605D85"/>
    <w:rsid w:val="00610616"/>
    <w:rsid w:val="00613EBF"/>
    <w:rsid w:val="00616647"/>
    <w:rsid w:val="00620488"/>
    <w:rsid w:val="00621392"/>
    <w:rsid w:val="006231E5"/>
    <w:rsid w:val="00623859"/>
    <w:rsid w:val="0062686C"/>
    <w:rsid w:val="006302B9"/>
    <w:rsid w:val="00635DCC"/>
    <w:rsid w:val="006373CA"/>
    <w:rsid w:val="00644F84"/>
    <w:rsid w:val="006474BB"/>
    <w:rsid w:val="00665270"/>
    <w:rsid w:val="006664E9"/>
    <w:rsid w:val="00670F8A"/>
    <w:rsid w:val="0067101E"/>
    <w:rsid w:val="0067742A"/>
    <w:rsid w:val="00680C32"/>
    <w:rsid w:val="00682F92"/>
    <w:rsid w:val="00683B4E"/>
    <w:rsid w:val="00693F66"/>
    <w:rsid w:val="006A0248"/>
    <w:rsid w:val="006A6B47"/>
    <w:rsid w:val="006B39C3"/>
    <w:rsid w:val="006B6B99"/>
    <w:rsid w:val="006C74DF"/>
    <w:rsid w:val="006D1C38"/>
    <w:rsid w:val="006E5D31"/>
    <w:rsid w:val="006E615A"/>
    <w:rsid w:val="006F4D70"/>
    <w:rsid w:val="00705D8D"/>
    <w:rsid w:val="00712223"/>
    <w:rsid w:val="00721654"/>
    <w:rsid w:val="0072196D"/>
    <w:rsid w:val="0072310B"/>
    <w:rsid w:val="00725A2F"/>
    <w:rsid w:val="00733DA4"/>
    <w:rsid w:val="00744250"/>
    <w:rsid w:val="007447A5"/>
    <w:rsid w:val="00746350"/>
    <w:rsid w:val="007703B8"/>
    <w:rsid w:val="007763C8"/>
    <w:rsid w:val="007764CE"/>
    <w:rsid w:val="00776E35"/>
    <w:rsid w:val="007815A3"/>
    <w:rsid w:val="00781B7A"/>
    <w:rsid w:val="00792CE5"/>
    <w:rsid w:val="007A0BCC"/>
    <w:rsid w:val="007A2FC9"/>
    <w:rsid w:val="007B07AE"/>
    <w:rsid w:val="007B0C6B"/>
    <w:rsid w:val="007B50D0"/>
    <w:rsid w:val="007B6B1C"/>
    <w:rsid w:val="007D17B0"/>
    <w:rsid w:val="007D2B00"/>
    <w:rsid w:val="007D307F"/>
    <w:rsid w:val="007D4801"/>
    <w:rsid w:val="007D6ED1"/>
    <w:rsid w:val="007F1F19"/>
    <w:rsid w:val="0081319B"/>
    <w:rsid w:val="00816D35"/>
    <w:rsid w:val="00824ECF"/>
    <w:rsid w:val="00831122"/>
    <w:rsid w:val="00850250"/>
    <w:rsid w:val="00853564"/>
    <w:rsid w:val="00853C4E"/>
    <w:rsid w:val="00855965"/>
    <w:rsid w:val="00857C10"/>
    <w:rsid w:val="0086297D"/>
    <w:rsid w:val="00867511"/>
    <w:rsid w:val="008708C3"/>
    <w:rsid w:val="00875924"/>
    <w:rsid w:val="00875D63"/>
    <w:rsid w:val="008768F6"/>
    <w:rsid w:val="00876A13"/>
    <w:rsid w:val="00876C13"/>
    <w:rsid w:val="00877EC7"/>
    <w:rsid w:val="00890759"/>
    <w:rsid w:val="00896E94"/>
    <w:rsid w:val="008A03C1"/>
    <w:rsid w:val="008A61F6"/>
    <w:rsid w:val="008B00AB"/>
    <w:rsid w:val="008B0705"/>
    <w:rsid w:val="008C6B3A"/>
    <w:rsid w:val="008D5B2D"/>
    <w:rsid w:val="008F41B7"/>
    <w:rsid w:val="008F587A"/>
    <w:rsid w:val="00902C9B"/>
    <w:rsid w:val="009135E0"/>
    <w:rsid w:val="00915CA4"/>
    <w:rsid w:val="0093211C"/>
    <w:rsid w:val="00943601"/>
    <w:rsid w:val="00943CA6"/>
    <w:rsid w:val="009451CB"/>
    <w:rsid w:val="00950820"/>
    <w:rsid w:val="00956AE1"/>
    <w:rsid w:val="00961071"/>
    <w:rsid w:val="00963062"/>
    <w:rsid w:val="009667AB"/>
    <w:rsid w:val="009704B8"/>
    <w:rsid w:val="009735FA"/>
    <w:rsid w:val="009739DA"/>
    <w:rsid w:val="00977ECA"/>
    <w:rsid w:val="00982180"/>
    <w:rsid w:val="009842FA"/>
    <w:rsid w:val="009845A8"/>
    <w:rsid w:val="00990932"/>
    <w:rsid w:val="009928B2"/>
    <w:rsid w:val="009A14C2"/>
    <w:rsid w:val="009A3461"/>
    <w:rsid w:val="009B1BB5"/>
    <w:rsid w:val="009B2ECD"/>
    <w:rsid w:val="009B3D40"/>
    <w:rsid w:val="009B49E8"/>
    <w:rsid w:val="009B4B62"/>
    <w:rsid w:val="009C06BC"/>
    <w:rsid w:val="009C61B2"/>
    <w:rsid w:val="009C6CF8"/>
    <w:rsid w:val="009D5928"/>
    <w:rsid w:val="009D68C6"/>
    <w:rsid w:val="009E1B57"/>
    <w:rsid w:val="009E2A2A"/>
    <w:rsid w:val="009E2D44"/>
    <w:rsid w:val="009E6F29"/>
    <w:rsid w:val="009F0544"/>
    <w:rsid w:val="009F59E7"/>
    <w:rsid w:val="00A13FF0"/>
    <w:rsid w:val="00A20F73"/>
    <w:rsid w:val="00A25C13"/>
    <w:rsid w:val="00A2660F"/>
    <w:rsid w:val="00A32169"/>
    <w:rsid w:val="00A33BD1"/>
    <w:rsid w:val="00A3636D"/>
    <w:rsid w:val="00A41969"/>
    <w:rsid w:val="00A4250A"/>
    <w:rsid w:val="00A52998"/>
    <w:rsid w:val="00A543A1"/>
    <w:rsid w:val="00A60413"/>
    <w:rsid w:val="00A60418"/>
    <w:rsid w:val="00A721A7"/>
    <w:rsid w:val="00A75730"/>
    <w:rsid w:val="00A812E6"/>
    <w:rsid w:val="00A817E7"/>
    <w:rsid w:val="00A8219C"/>
    <w:rsid w:val="00A83658"/>
    <w:rsid w:val="00A85489"/>
    <w:rsid w:val="00A87B1F"/>
    <w:rsid w:val="00A96A4A"/>
    <w:rsid w:val="00AA336E"/>
    <w:rsid w:val="00AA428E"/>
    <w:rsid w:val="00AA4F7A"/>
    <w:rsid w:val="00AA704E"/>
    <w:rsid w:val="00AA7577"/>
    <w:rsid w:val="00AB1E90"/>
    <w:rsid w:val="00AB299B"/>
    <w:rsid w:val="00AD1AA6"/>
    <w:rsid w:val="00AD4D3F"/>
    <w:rsid w:val="00AD594C"/>
    <w:rsid w:val="00AD64E4"/>
    <w:rsid w:val="00AE57BF"/>
    <w:rsid w:val="00AF1F2A"/>
    <w:rsid w:val="00AF25B2"/>
    <w:rsid w:val="00AF30EF"/>
    <w:rsid w:val="00AF5490"/>
    <w:rsid w:val="00B06692"/>
    <w:rsid w:val="00B076C0"/>
    <w:rsid w:val="00B15268"/>
    <w:rsid w:val="00B17866"/>
    <w:rsid w:val="00B25B17"/>
    <w:rsid w:val="00B31F11"/>
    <w:rsid w:val="00B429EF"/>
    <w:rsid w:val="00B43C72"/>
    <w:rsid w:val="00B4633B"/>
    <w:rsid w:val="00B71174"/>
    <w:rsid w:val="00B777AF"/>
    <w:rsid w:val="00B81789"/>
    <w:rsid w:val="00B92DF1"/>
    <w:rsid w:val="00B94B38"/>
    <w:rsid w:val="00B95CB4"/>
    <w:rsid w:val="00B97BBB"/>
    <w:rsid w:val="00B97CE0"/>
    <w:rsid w:val="00BB2F01"/>
    <w:rsid w:val="00BC1EB5"/>
    <w:rsid w:val="00BE0D25"/>
    <w:rsid w:val="00BF4150"/>
    <w:rsid w:val="00BF6A9B"/>
    <w:rsid w:val="00C01AA6"/>
    <w:rsid w:val="00C02791"/>
    <w:rsid w:val="00C06257"/>
    <w:rsid w:val="00C079B0"/>
    <w:rsid w:val="00C10DF0"/>
    <w:rsid w:val="00C14250"/>
    <w:rsid w:val="00C17BC5"/>
    <w:rsid w:val="00C2037F"/>
    <w:rsid w:val="00C2297C"/>
    <w:rsid w:val="00C3395B"/>
    <w:rsid w:val="00C367BA"/>
    <w:rsid w:val="00C3723D"/>
    <w:rsid w:val="00C40F96"/>
    <w:rsid w:val="00C4468C"/>
    <w:rsid w:val="00C468AA"/>
    <w:rsid w:val="00C46DE9"/>
    <w:rsid w:val="00C64BB4"/>
    <w:rsid w:val="00C64E94"/>
    <w:rsid w:val="00C73CF5"/>
    <w:rsid w:val="00C75BD4"/>
    <w:rsid w:val="00C81965"/>
    <w:rsid w:val="00C90834"/>
    <w:rsid w:val="00C91503"/>
    <w:rsid w:val="00C93BC7"/>
    <w:rsid w:val="00C95D0E"/>
    <w:rsid w:val="00C96847"/>
    <w:rsid w:val="00CA09BE"/>
    <w:rsid w:val="00CA1183"/>
    <w:rsid w:val="00CA3DC7"/>
    <w:rsid w:val="00CA53B9"/>
    <w:rsid w:val="00CA5A78"/>
    <w:rsid w:val="00CA5C08"/>
    <w:rsid w:val="00CB4C8D"/>
    <w:rsid w:val="00CE7100"/>
    <w:rsid w:val="00CF1E3B"/>
    <w:rsid w:val="00CF1F4D"/>
    <w:rsid w:val="00CF25B6"/>
    <w:rsid w:val="00CF2624"/>
    <w:rsid w:val="00CF47F2"/>
    <w:rsid w:val="00CF79B0"/>
    <w:rsid w:val="00D07F6D"/>
    <w:rsid w:val="00D134B9"/>
    <w:rsid w:val="00D2034F"/>
    <w:rsid w:val="00D2155F"/>
    <w:rsid w:val="00D270CF"/>
    <w:rsid w:val="00D36448"/>
    <w:rsid w:val="00D46451"/>
    <w:rsid w:val="00D54336"/>
    <w:rsid w:val="00D574CA"/>
    <w:rsid w:val="00D576B0"/>
    <w:rsid w:val="00D63183"/>
    <w:rsid w:val="00D65133"/>
    <w:rsid w:val="00D66385"/>
    <w:rsid w:val="00D7021D"/>
    <w:rsid w:val="00D71BC4"/>
    <w:rsid w:val="00D74FFC"/>
    <w:rsid w:val="00D76BD4"/>
    <w:rsid w:val="00D836F6"/>
    <w:rsid w:val="00D848FD"/>
    <w:rsid w:val="00D85F98"/>
    <w:rsid w:val="00D865D1"/>
    <w:rsid w:val="00D920FD"/>
    <w:rsid w:val="00DA5D77"/>
    <w:rsid w:val="00DB0E49"/>
    <w:rsid w:val="00DB1DE9"/>
    <w:rsid w:val="00DB3C96"/>
    <w:rsid w:val="00DB7073"/>
    <w:rsid w:val="00DD025A"/>
    <w:rsid w:val="00DD0BAA"/>
    <w:rsid w:val="00DD2AF3"/>
    <w:rsid w:val="00DD6ADB"/>
    <w:rsid w:val="00DD7D7A"/>
    <w:rsid w:val="00DE0476"/>
    <w:rsid w:val="00DE18E2"/>
    <w:rsid w:val="00DF0C14"/>
    <w:rsid w:val="00E021AF"/>
    <w:rsid w:val="00E06220"/>
    <w:rsid w:val="00E11B8F"/>
    <w:rsid w:val="00E16C3D"/>
    <w:rsid w:val="00E212CF"/>
    <w:rsid w:val="00E22B41"/>
    <w:rsid w:val="00E23DB5"/>
    <w:rsid w:val="00E63B62"/>
    <w:rsid w:val="00E66638"/>
    <w:rsid w:val="00E7516C"/>
    <w:rsid w:val="00E75E48"/>
    <w:rsid w:val="00E778D1"/>
    <w:rsid w:val="00E9721D"/>
    <w:rsid w:val="00E97C17"/>
    <w:rsid w:val="00EA2D4A"/>
    <w:rsid w:val="00EA372F"/>
    <w:rsid w:val="00EA3809"/>
    <w:rsid w:val="00EA61DA"/>
    <w:rsid w:val="00EA6F32"/>
    <w:rsid w:val="00EB03A5"/>
    <w:rsid w:val="00EC179C"/>
    <w:rsid w:val="00EC7C04"/>
    <w:rsid w:val="00ED0720"/>
    <w:rsid w:val="00ED0A0D"/>
    <w:rsid w:val="00ED30E2"/>
    <w:rsid w:val="00ED5D34"/>
    <w:rsid w:val="00EF295B"/>
    <w:rsid w:val="00EF6ADF"/>
    <w:rsid w:val="00EF7E0D"/>
    <w:rsid w:val="00F002AC"/>
    <w:rsid w:val="00F03DC0"/>
    <w:rsid w:val="00F1248E"/>
    <w:rsid w:val="00F13E66"/>
    <w:rsid w:val="00F21BB6"/>
    <w:rsid w:val="00F2705D"/>
    <w:rsid w:val="00F33407"/>
    <w:rsid w:val="00F348A1"/>
    <w:rsid w:val="00F422E1"/>
    <w:rsid w:val="00F44CE8"/>
    <w:rsid w:val="00F44D9D"/>
    <w:rsid w:val="00F47532"/>
    <w:rsid w:val="00F530A7"/>
    <w:rsid w:val="00F56711"/>
    <w:rsid w:val="00F67BBD"/>
    <w:rsid w:val="00F71F8E"/>
    <w:rsid w:val="00F74762"/>
    <w:rsid w:val="00F754D4"/>
    <w:rsid w:val="00F837EA"/>
    <w:rsid w:val="00F91367"/>
    <w:rsid w:val="00F9255F"/>
    <w:rsid w:val="00F95133"/>
    <w:rsid w:val="00FA1B1D"/>
    <w:rsid w:val="00FA49B2"/>
    <w:rsid w:val="00FB0592"/>
    <w:rsid w:val="00FB06F2"/>
    <w:rsid w:val="00FB139B"/>
    <w:rsid w:val="00FB4F07"/>
    <w:rsid w:val="00FC078C"/>
    <w:rsid w:val="00FC7B9C"/>
    <w:rsid w:val="00FD644F"/>
    <w:rsid w:val="00FE290A"/>
    <w:rsid w:val="00FE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BCCC2"/>
  <w15:docId w15:val="{67666040-29EF-4936-A638-CEA0506D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B75"/>
    <w:rPr>
      <w:sz w:val="24"/>
      <w:szCs w:val="24"/>
    </w:rPr>
  </w:style>
  <w:style w:type="paragraph" w:styleId="Heading1">
    <w:name w:val="heading 1"/>
    <w:basedOn w:val="Normal"/>
    <w:next w:val="Normal"/>
    <w:link w:val="Heading1Char"/>
    <w:uiPriority w:val="99"/>
    <w:qFormat/>
    <w:rsid w:val="00212B75"/>
    <w:pPr>
      <w:keepNext/>
      <w:outlineLvl w:val="0"/>
    </w:pPr>
    <w:rPr>
      <w:b/>
      <w:bCs/>
      <w:sz w:val="20"/>
      <w:szCs w:val="12"/>
    </w:rPr>
  </w:style>
  <w:style w:type="paragraph" w:styleId="Heading2">
    <w:name w:val="heading 2"/>
    <w:basedOn w:val="Normal"/>
    <w:next w:val="Normal"/>
    <w:link w:val="Heading2Char"/>
    <w:uiPriority w:val="99"/>
    <w:qFormat/>
    <w:rsid w:val="00212B75"/>
    <w:pPr>
      <w:keepNext/>
      <w:outlineLvl w:val="1"/>
    </w:pPr>
    <w:rPr>
      <w:b/>
      <w:bCs/>
      <w:u w:val="single"/>
    </w:rPr>
  </w:style>
  <w:style w:type="paragraph" w:styleId="Heading3">
    <w:name w:val="heading 3"/>
    <w:basedOn w:val="Normal"/>
    <w:next w:val="Normal"/>
    <w:link w:val="Heading3Char"/>
    <w:uiPriority w:val="99"/>
    <w:qFormat/>
    <w:rsid w:val="00212B75"/>
    <w:pPr>
      <w:keepNext/>
      <w:outlineLvl w:val="2"/>
    </w:pPr>
    <w:rPr>
      <w:b/>
      <w:bCs/>
    </w:rPr>
  </w:style>
  <w:style w:type="paragraph" w:styleId="Heading4">
    <w:name w:val="heading 4"/>
    <w:basedOn w:val="Normal"/>
    <w:next w:val="Normal"/>
    <w:link w:val="Heading4Char"/>
    <w:uiPriority w:val="99"/>
    <w:qFormat/>
    <w:rsid w:val="00212B75"/>
    <w:pPr>
      <w:keepNext/>
      <w:jc w:val="center"/>
      <w:outlineLvl w:val="3"/>
    </w:pPr>
    <w:rPr>
      <w:b/>
      <w:bCs/>
    </w:rPr>
  </w:style>
  <w:style w:type="paragraph" w:styleId="Heading5">
    <w:name w:val="heading 5"/>
    <w:basedOn w:val="Normal"/>
    <w:next w:val="Normal"/>
    <w:link w:val="Heading5Char"/>
    <w:uiPriority w:val="99"/>
    <w:qFormat/>
    <w:rsid w:val="00212B75"/>
    <w:pPr>
      <w:keepNext/>
      <w:outlineLvl w:val="4"/>
    </w:pPr>
    <w:rPr>
      <w:b/>
      <w:szCs w:val="20"/>
    </w:rPr>
  </w:style>
  <w:style w:type="paragraph" w:styleId="Heading6">
    <w:name w:val="heading 6"/>
    <w:basedOn w:val="Normal"/>
    <w:next w:val="Normal"/>
    <w:link w:val="Heading6Char"/>
    <w:uiPriority w:val="99"/>
    <w:qFormat/>
    <w:rsid w:val="00212B75"/>
    <w:pPr>
      <w:keepNext/>
      <w:tabs>
        <w:tab w:val="num" w:pos="0"/>
      </w:tabs>
      <w:jc w:val="center"/>
      <w:outlineLvl w:val="5"/>
    </w:pPr>
    <w:rPr>
      <w:b/>
      <w:szCs w:val="20"/>
    </w:rPr>
  </w:style>
  <w:style w:type="paragraph" w:styleId="Heading7">
    <w:name w:val="heading 7"/>
    <w:basedOn w:val="Normal"/>
    <w:next w:val="Normal"/>
    <w:link w:val="Heading7Char"/>
    <w:uiPriority w:val="99"/>
    <w:qFormat/>
    <w:rsid w:val="00212B75"/>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77D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077D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077D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077D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077D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077DE"/>
    <w:rPr>
      <w:rFonts w:ascii="Calibri" w:hAnsi="Calibri" w:cs="Times New Roman"/>
      <w:b/>
      <w:bCs/>
    </w:rPr>
  </w:style>
  <w:style w:type="character" w:customStyle="1" w:styleId="Heading7Char">
    <w:name w:val="Heading 7 Char"/>
    <w:basedOn w:val="DefaultParagraphFont"/>
    <w:link w:val="Heading7"/>
    <w:uiPriority w:val="99"/>
    <w:semiHidden/>
    <w:locked/>
    <w:rsid w:val="001077DE"/>
    <w:rPr>
      <w:rFonts w:ascii="Calibri" w:hAnsi="Calibri" w:cs="Times New Roman"/>
      <w:sz w:val="24"/>
      <w:szCs w:val="24"/>
    </w:rPr>
  </w:style>
  <w:style w:type="paragraph" w:styleId="Header">
    <w:name w:val="header"/>
    <w:basedOn w:val="Normal"/>
    <w:link w:val="HeaderChar"/>
    <w:uiPriority w:val="99"/>
    <w:rsid w:val="00212B75"/>
    <w:pPr>
      <w:tabs>
        <w:tab w:val="center" w:pos="4320"/>
        <w:tab w:val="right" w:pos="8640"/>
      </w:tabs>
    </w:pPr>
  </w:style>
  <w:style w:type="character" w:customStyle="1" w:styleId="HeaderChar">
    <w:name w:val="Header Char"/>
    <w:basedOn w:val="DefaultParagraphFont"/>
    <w:link w:val="Header"/>
    <w:uiPriority w:val="99"/>
    <w:semiHidden/>
    <w:locked/>
    <w:rsid w:val="001077DE"/>
    <w:rPr>
      <w:rFonts w:cs="Times New Roman"/>
      <w:sz w:val="24"/>
      <w:szCs w:val="24"/>
    </w:rPr>
  </w:style>
  <w:style w:type="paragraph" w:styleId="Footer">
    <w:name w:val="footer"/>
    <w:basedOn w:val="Normal"/>
    <w:link w:val="FooterChar"/>
    <w:uiPriority w:val="99"/>
    <w:rsid w:val="00212B75"/>
    <w:pPr>
      <w:tabs>
        <w:tab w:val="center" w:pos="4320"/>
        <w:tab w:val="right" w:pos="8640"/>
      </w:tabs>
    </w:pPr>
  </w:style>
  <w:style w:type="character" w:customStyle="1" w:styleId="FooterChar">
    <w:name w:val="Footer Char"/>
    <w:basedOn w:val="DefaultParagraphFont"/>
    <w:link w:val="Footer"/>
    <w:uiPriority w:val="99"/>
    <w:locked/>
    <w:rsid w:val="00D574CA"/>
    <w:rPr>
      <w:rFonts w:cs="Times New Roman"/>
      <w:sz w:val="24"/>
    </w:rPr>
  </w:style>
  <w:style w:type="paragraph" w:styleId="Title">
    <w:name w:val="Title"/>
    <w:basedOn w:val="Normal"/>
    <w:link w:val="TitleChar"/>
    <w:uiPriority w:val="99"/>
    <w:qFormat/>
    <w:rsid w:val="00212B75"/>
    <w:pPr>
      <w:jc w:val="center"/>
    </w:pPr>
    <w:rPr>
      <w:b/>
      <w:bCs/>
      <w:szCs w:val="20"/>
    </w:rPr>
  </w:style>
  <w:style w:type="character" w:customStyle="1" w:styleId="TitleChar">
    <w:name w:val="Title Char"/>
    <w:basedOn w:val="DefaultParagraphFont"/>
    <w:link w:val="Title"/>
    <w:uiPriority w:val="99"/>
    <w:locked/>
    <w:rsid w:val="001077DE"/>
    <w:rPr>
      <w:rFonts w:ascii="Cambria" w:hAnsi="Cambria" w:cs="Times New Roman"/>
      <w:b/>
      <w:bCs/>
      <w:kern w:val="28"/>
      <w:sz w:val="32"/>
      <w:szCs w:val="32"/>
    </w:rPr>
  </w:style>
  <w:style w:type="character" w:customStyle="1" w:styleId="EmailStyle20">
    <w:name w:val="EmailStyle20"/>
    <w:uiPriority w:val="99"/>
    <w:rsid w:val="00212B75"/>
    <w:rPr>
      <w:rFonts w:ascii="Arial" w:hAnsi="Arial"/>
      <w:color w:val="000000"/>
      <w:sz w:val="20"/>
    </w:rPr>
  </w:style>
  <w:style w:type="paragraph" w:styleId="NormalWeb">
    <w:name w:val="Normal (Web)"/>
    <w:basedOn w:val="Normal"/>
    <w:uiPriority w:val="99"/>
    <w:rsid w:val="00212B75"/>
    <w:pPr>
      <w:spacing w:before="100" w:beforeAutospacing="1" w:after="100" w:afterAutospacing="1"/>
    </w:pPr>
    <w:rPr>
      <w:rFonts w:ascii="Arial Unicode MS" w:hAnsi="Arial Unicode MS" w:cs="Arial Unicode MS"/>
    </w:rPr>
  </w:style>
  <w:style w:type="character" w:styleId="Strong">
    <w:name w:val="Strong"/>
    <w:basedOn w:val="DefaultParagraphFont"/>
    <w:uiPriority w:val="22"/>
    <w:qFormat/>
    <w:rsid w:val="00212B75"/>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77DE"/>
    <w:rPr>
      <w:rFonts w:cs="Times New Roman"/>
      <w:sz w:val="2"/>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99"/>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F3D44"/>
    <w:rPr>
      <w:rFonts w:cs="Times New Roman"/>
      <w:sz w:val="16"/>
      <w:szCs w:val="16"/>
    </w:rPr>
  </w:style>
  <w:style w:type="paragraph" w:styleId="CommentText">
    <w:name w:val="annotation text"/>
    <w:basedOn w:val="Normal"/>
    <w:link w:val="CommentTextChar"/>
    <w:uiPriority w:val="99"/>
    <w:rsid w:val="003F3D44"/>
    <w:rPr>
      <w:sz w:val="20"/>
      <w:szCs w:val="20"/>
    </w:rPr>
  </w:style>
  <w:style w:type="character" w:customStyle="1" w:styleId="CommentTextChar">
    <w:name w:val="Comment Text Char"/>
    <w:basedOn w:val="DefaultParagraphFont"/>
    <w:link w:val="CommentText"/>
    <w:uiPriority w:val="99"/>
    <w:locked/>
    <w:rsid w:val="003F3D44"/>
    <w:rPr>
      <w:rFonts w:cs="Times New Roman"/>
    </w:rPr>
  </w:style>
  <w:style w:type="paragraph" w:styleId="CommentSubject">
    <w:name w:val="annotation subject"/>
    <w:basedOn w:val="CommentText"/>
    <w:next w:val="CommentText"/>
    <w:link w:val="CommentSubjectChar"/>
    <w:uiPriority w:val="99"/>
    <w:rsid w:val="003F3D44"/>
    <w:rPr>
      <w:b/>
      <w:bCs/>
    </w:rPr>
  </w:style>
  <w:style w:type="character" w:customStyle="1" w:styleId="CommentSubjectChar">
    <w:name w:val="Comment Subject Char"/>
    <w:basedOn w:val="CommentTextChar"/>
    <w:link w:val="CommentSubject"/>
    <w:uiPriority w:val="99"/>
    <w:locked/>
    <w:rsid w:val="003F3D44"/>
    <w:rPr>
      <w:rFonts w:cs="Times New Roman"/>
      <w:b/>
      <w:bCs/>
    </w:rPr>
  </w:style>
  <w:style w:type="paragraph" w:styleId="Revision">
    <w:name w:val="Revision"/>
    <w:hidden/>
    <w:uiPriority w:val="99"/>
    <w:semiHidden/>
    <w:rsid w:val="00876A13"/>
    <w:rPr>
      <w:sz w:val="24"/>
      <w:szCs w:val="24"/>
    </w:rPr>
  </w:style>
  <w:style w:type="character" w:styleId="UnresolvedMention">
    <w:name w:val="Unresolved Mention"/>
    <w:basedOn w:val="DefaultParagraphFont"/>
    <w:uiPriority w:val="99"/>
    <w:semiHidden/>
    <w:unhideWhenUsed/>
    <w:rsid w:val="00876C13"/>
    <w:rPr>
      <w:color w:val="605E5C"/>
      <w:shd w:val="clear" w:color="auto" w:fill="E1DFDD"/>
    </w:rPr>
  </w:style>
  <w:style w:type="paragraph" w:customStyle="1" w:styleId="elementor-icon-list-item">
    <w:name w:val="elementor-icon-list-item"/>
    <w:basedOn w:val="Normal"/>
    <w:rsid w:val="00F530A7"/>
    <w:pPr>
      <w:spacing w:before="100" w:beforeAutospacing="1" w:after="100" w:afterAutospacing="1"/>
    </w:pPr>
  </w:style>
  <w:style w:type="character" w:customStyle="1" w:styleId="elementor-icon-list-text">
    <w:name w:val="elementor-icon-list-text"/>
    <w:basedOn w:val="DefaultParagraphFont"/>
    <w:rsid w:val="00F530A7"/>
  </w:style>
  <w:style w:type="character" w:styleId="Emphasis">
    <w:name w:val="Emphasis"/>
    <w:basedOn w:val="DefaultParagraphFont"/>
    <w:uiPriority w:val="20"/>
    <w:qFormat/>
    <w:locked/>
    <w:rsid w:val="00054498"/>
    <w:rPr>
      <w:i/>
      <w:iCs/>
    </w:rPr>
  </w:style>
  <w:style w:type="paragraph" w:styleId="ListParagraph">
    <w:name w:val="List Paragraph"/>
    <w:basedOn w:val="Normal"/>
    <w:uiPriority w:val="34"/>
    <w:qFormat/>
    <w:rsid w:val="007D307F"/>
    <w:pPr>
      <w:ind w:left="720"/>
      <w:contextualSpacing/>
    </w:pPr>
  </w:style>
  <w:style w:type="character" w:customStyle="1" w:styleId="toptext">
    <w:name w:val="top__text"/>
    <w:basedOn w:val="DefaultParagraphFont"/>
    <w:rsid w:val="004B617A"/>
  </w:style>
  <w:style w:type="character" w:customStyle="1" w:styleId="cf01">
    <w:name w:val="cf01"/>
    <w:basedOn w:val="DefaultParagraphFont"/>
    <w:rsid w:val="005B6EAD"/>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30470">
      <w:bodyDiv w:val="1"/>
      <w:marLeft w:val="0"/>
      <w:marRight w:val="0"/>
      <w:marTop w:val="0"/>
      <w:marBottom w:val="0"/>
      <w:divBdr>
        <w:top w:val="none" w:sz="0" w:space="0" w:color="auto"/>
        <w:left w:val="none" w:sz="0" w:space="0" w:color="auto"/>
        <w:bottom w:val="none" w:sz="0" w:space="0" w:color="auto"/>
        <w:right w:val="none" w:sz="0" w:space="0" w:color="auto"/>
      </w:divBdr>
    </w:div>
    <w:div w:id="381560309">
      <w:bodyDiv w:val="1"/>
      <w:marLeft w:val="0"/>
      <w:marRight w:val="0"/>
      <w:marTop w:val="0"/>
      <w:marBottom w:val="0"/>
      <w:divBdr>
        <w:top w:val="none" w:sz="0" w:space="0" w:color="auto"/>
        <w:left w:val="none" w:sz="0" w:space="0" w:color="auto"/>
        <w:bottom w:val="none" w:sz="0" w:space="0" w:color="auto"/>
        <w:right w:val="none" w:sz="0" w:space="0" w:color="auto"/>
      </w:divBdr>
      <w:divsChild>
        <w:div w:id="1242593896">
          <w:marLeft w:val="0"/>
          <w:marRight w:val="0"/>
          <w:marTop w:val="0"/>
          <w:marBottom w:val="0"/>
          <w:divBdr>
            <w:top w:val="none" w:sz="0" w:space="0" w:color="auto"/>
            <w:left w:val="none" w:sz="0" w:space="0" w:color="auto"/>
            <w:bottom w:val="none" w:sz="0" w:space="0" w:color="auto"/>
            <w:right w:val="none" w:sz="0" w:space="0" w:color="auto"/>
          </w:divBdr>
        </w:div>
      </w:divsChild>
    </w:div>
    <w:div w:id="393166770">
      <w:bodyDiv w:val="1"/>
      <w:marLeft w:val="0"/>
      <w:marRight w:val="0"/>
      <w:marTop w:val="0"/>
      <w:marBottom w:val="0"/>
      <w:divBdr>
        <w:top w:val="none" w:sz="0" w:space="0" w:color="auto"/>
        <w:left w:val="none" w:sz="0" w:space="0" w:color="auto"/>
        <w:bottom w:val="none" w:sz="0" w:space="0" w:color="auto"/>
        <w:right w:val="none" w:sz="0" w:space="0" w:color="auto"/>
      </w:divBdr>
      <w:divsChild>
        <w:div w:id="12224458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69271566">
      <w:bodyDiv w:val="1"/>
      <w:marLeft w:val="0"/>
      <w:marRight w:val="0"/>
      <w:marTop w:val="0"/>
      <w:marBottom w:val="0"/>
      <w:divBdr>
        <w:top w:val="none" w:sz="0" w:space="0" w:color="auto"/>
        <w:left w:val="none" w:sz="0" w:space="0" w:color="auto"/>
        <w:bottom w:val="none" w:sz="0" w:space="0" w:color="auto"/>
        <w:right w:val="none" w:sz="0" w:space="0" w:color="auto"/>
      </w:divBdr>
      <w:divsChild>
        <w:div w:id="955256851">
          <w:marLeft w:val="0"/>
          <w:marRight w:val="0"/>
          <w:marTop w:val="0"/>
          <w:marBottom w:val="0"/>
          <w:divBdr>
            <w:top w:val="none" w:sz="0" w:space="0" w:color="auto"/>
            <w:left w:val="none" w:sz="0" w:space="0" w:color="auto"/>
            <w:bottom w:val="none" w:sz="0" w:space="0" w:color="auto"/>
            <w:right w:val="none" w:sz="0" w:space="0" w:color="auto"/>
          </w:divBdr>
        </w:div>
        <w:div w:id="1079323765">
          <w:marLeft w:val="0"/>
          <w:marRight w:val="0"/>
          <w:marTop w:val="0"/>
          <w:marBottom w:val="0"/>
          <w:divBdr>
            <w:top w:val="none" w:sz="0" w:space="0" w:color="auto"/>
            <w:left w:val="none" w:sz="0" w:space="0" w:color="auto"/>
            <w:bottom w:val="none" w:sz="0" w:space="0" w:color="auto"/>
            <w:right w:val="none" w:sz="0" w:space="0" w:color="auto"/>
          </w:divBdr>
        </w:div>
      </w:divsChild>
    </w:div>
    <w:div w:id="742525546">
      <w:bodyDiv w:val="1"/>
      <w:marLeft w:val="0"/>
      <w:marRight w:val="0"/>
      <w:marTop w:val="0"/>
      <w:marBottom w:val="0"/>
      <w:divBdr>
        <w:top w:val="none" w:sz="0" w:space="0" w:color="auto"/>
        <w:left w:val="none" w:sz="0" w:space="0" w:color="auto"/>
        <w:bottom w:val="none" w:sz="0" w:space="0" w:color="auto"/>
        <w:right w:val="none" w:sz="0" w:space="0" w:color="auto"/>
      </w:divBdr>
    </w:div>
    <w:div w:id="906915586">
      <w:bodyDiv w:val="1"/>
      <w:marLeft w:val="0"/>
      <w:marRight w:val="0"/>
      <w:marTop w:val="0"/>
      <w:marBottom w:val="0"/>
      <w:divBdr>
        <w:top w:val="none" w:sz="0" w:space="0" w:color="auto"/>
        <w:left w:val="none" w:sz="0" w:space="0" w:color="auto"/>
        <w:bottom w:val="none" w:sz="0" w:space="0" w:color="auto"/>
        <w:right w:val="none" w:sz="0" w:space="0" w:color="auto"/>
      </w:divBdr>
      <w:divsChild>
        <w:div w:id="769085166">
          <w:marLeft w:val="0"/>
          <w:marRight w:val="0"/>
          <w:marTop w:val="0"/>
          <w:marBottom w:val="0"/>
          <w:divBdr>
            <w:top w:val="none" w:sz="0" w:space="0" w:color="auto"/>
            <w:left w:val="none" w:sz="0" w:space="0" w:color="auto"/>
            <w:bottom w:val="none" w:sz="0" w:space="0" w:color="auto"/>
            <w:right w:val="none" w:sz="0" w:space="0" w:color="auto"/>
          </w:divBdr>
        </w:div>
        <w:div w:id="486285836">
          <w:marLeft w:val="0"/>
          <w:marRight w:val="0"/>
          <w:marTop w:val="0"/>
          <w:marBottom w:val="0"/>
          <w:divBdr>
            <w:top w:val="none" w:sz="0" w:space="0" w:color="auto"/>
            <w:left w:val="none" w:sz="0" w:space="0" w:color="auto"/>
            <w:bottom w:val="none" w:sz="0" w:space="0" w:color="auto"/>
            <w:right w:val="none" w:sz="0" w:space="0" w:color="auto"/>
          </w:divBdr>
        </w:div>
        <w:div w:id="1005715745">
          <w:marLeft w:val="0"/>
          <w:marRight w:val="0"/>
          <w:marTop w:val="0"/>
          <w:marBottom w:val="0"/>
          <w:divBdr>
            <w:top w:val="none" w:sz="0" w:space="0" w:color="auto"/>
            <w:left w:val="none" w:sz="0" w:space="0" w:color="auto"/>
            <w:bottom w:val="none" w:sz="0" w:space="0" w:color="auto"/>
            <w:right w:val="none" w:sz="0" w:space="0" w:color="auto"/>
          </w:divBdr>
        </w:div>
        <w:div w:id="1604190209">
          <w:marLeft w:val="0"/>
          <w:marRight w:val="0"/>
          <w:marTop w:val="0"/>
          <w:marBottom w:val="0"/>
          <w:divBdr>
            <w:top w:val="none" w:sz="0" w:space="0" w:color="auto"/>
            <w:left w:val="none" w:sz="0" w:space="0" w:color="auto"/>
            <w:bottom w:val="none" w:sz="0" w:space="0" w:color="auto"/>
            <w:right w:val="none" w:sz="0" w:space="0" w:color="auto"/>
          </w:divBdr>
        </w:div>
      </w:divsChild>
    </w:div>
    <w:div w:id="991953302">
      <w:bodyDiv w:val="1"/>
      <w:marLeft w:val="0"/>
      <w:marRight w:val="0"/>
      <w:marTop w:val="0"/>
      <w:marBottom w:val="0"/>
      <w:divBdr>
        <w:top w:val="none" w:sz="0" w:space="0" w:color="auto"/>
        <w:left w:val="none" w:sz="0" w:space="0" w:color="auto"/>
        <w:bottom w:val="none" w:sz="0" w:space="0" w:color="auto"/>
        <w:right w:val="none" w:sz="0" w:space="0" w:color="auto"/>
      </w:divBdr>
      <w:divsChild>
        <w:div w:id="586958428">
          <w:marLeft w:val="0"/>
          <w:marRight w:val="0"/>
          <w:marTop w:val="0"/>
          <w:marBottom w:val="0"/>
          <w:divBdr>
            <w:top w:val="none" w:sz="0" w:space="0" w:color="auto"/>
            <w:left w:val="none" w:sz="0" w:space="0" w:color="auto"/>
            <w:bottom w:val="none" w:sz="0" w:space="0" w:color="auto"/>
            <w:right w:val="none" w:sz="0" w:space="0" w:color="auto"/>
          </w:divBdr>
          <w:divsChild>
            <w:div w:id="1505782182">
              <w:marLeft w:val="0"/>
              <w:marRight w:val="0"/>
              <w:marTop w:val="0"/>
              <w:marBottom w:val="0"/>
              <w:divBdr>
                <w:top w:val="none" w:sz="0" w:space="0" w:color="auto"/>
                <w:left w:val="none" w:sz="0" w:space="0" w:color="auto"/>
                <w:bottom w:val="none" w:sz="0" w:space="0" w:color="auto"/>
                <w:right w:val="none" w:sz="0" w:space="0" w:color="auto"/>
              </w:divBdr>
              <w:divsChild>
                <w:div w:id="1800957628">
                  <w:marLeft w:val="0"/>
                  <w:marRight w:val="0"/>
                  <w:marTop w:val="0"/>
                  <w:marBottom w:val="0"/>
                  <w:divBdr>
                    <w:top w:val="none" w:sz="0" w:space="0" w:color="auto"/>
                    <w:left w:val="none" w:sz="0" w:space="0" w:color="auto"/>
                    <w:bottom w:val="none" w:sz="0" w:space="0" w:color="auto"/>
                    <w:right w:val="none" w:sz="0" w:space="0" w:color="auto"/>
                  </w:divBdr>
                  <w:divsChild>
                    <w:div w:id="1546798829">
                      <w:marLeft w:val="0"/>
                      <w:marRight w:val="0"/>
                      <w:marTop w:val="0"/>
                      <w:marBottom w:val="300"/>
                      <w:divBdr>
                        <w:top w:val="none" w:sz="0" w:space="0" w:color="auto"/>
                        <w:left w:val="none" w:sz="0" w:space="0" w:color="auto"/>
                        <w:bottom w:val="none" w:sz="0" w:space="0" w:color="auto"/>
                        <w:right w:val="none" w:sz="0" w:space="0" w:color="auto"/>
                      </w:divBdr>
                      <w:divsChild>
                        <w:div w:id="847215544">
                          <w:marLeft w:val="0"/>
                          <w:marRight w:val="0"/>
                          <w:marTop w:val="0"/>
                          <w:marBottom w:val="0"/>
                          <w:divBdr>
                            <w:top w:val="none" w:sz="0" w:space="0" w:color="auto"/>
                            <w:left w:val="none" w:sz="0" w:space="0" w:color="auto"/>
                            <w:bottom w:val="none" w:sz="0" w:space="0" w:color="auto"/>
                            <w:right w:val="none" w:sz="0" w:space="0" w:color="auto"/>
                          </w:divBdr>
                        </w:div>
                      </w:divsChild>
                    </w:div>
                    <w:div w:id="1304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00826">
          <w:marLeft w:val="0"/>
          <w:marRight w:val="0"/>
          <w:marTop w:val="0"/>
          <w:marBottom w:val="0"/>
          <w:divBdr>
            <w:top w:val="none" w:sz="0" w:space="0" w:color="auto"/>
            <w:left w:val="none" w:sz="0" w:space="0" w:color="auto"/>
            <w:bottom w:val="none" w:sz="0" w:space="0" w:color="auto"/>
            <w:right w:val="none" w:sz="0" w:space="0" w:color="auto"/>
          </w:divBdr>
          <w:divsChild>
            <w:div w:id="899174793">
              <w:marLeft w:val="0"/>
              <w:marRight w:val="0"/>
              <w:marTop w:val="0"/>
              <w:marBottom w:val="0"/>
              <w:divBdr>
                <w:top w:val="none" w:sz="0" w:space="0" w:color="auto"/>
                <w:left w:val="none" w:sz="0" w:space="0" w:color="auto"/>
                <w:bottom w:val="none" w:sz="0" w:space="0" w:color="auto"/>
                <w:right w:val="none" w:sz="0" w:space="0" w:color="auto"/>
              </w:divBdr>
              <w:divsChild>
                <w:div w:id="422537108">
                  <w:marLeft w:val="0"/>
                  <w:marRight w:val="0"/>
                  <w:marTop w:val="0"/>
                  <w:marBottom w:val="0"/>
                  <w:divBdr>
                    <w:top w:val="none" w:sz="0" w:space="0" w:color="auto"/>
                    <w:left w:val="none" w:sz="0" w:space="0" w:color="auto"/>
                    <w:bottom w:val="none" w:sz="0" w:space="0" w:color="auto"/>
                    <w:right w:val="none" w:sz="0" w:space="0" w:color="auto"/>
                  </w:divBdr>
                  <w:divsChild>
                    <w:div w:id="13545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14690">
      <w:bodyDiv w:val="1"/>
      <w:marLeft w:val="0"/>
      <w:marRight w:val="0"/>
      <w:marTop w:val="0"/>
      <w:marBottom w:val="0"/>
      <w:divBdr>
        <w:top w:val="none" w:sz="0" w:space="0" w:color="auto"/>
        <w:left w:val="none" w:sz="0" w:space="0" w:color="auto"/>
        <w:bottom w:val="none" w:sz="0" w:space="0" w:color="auto"/>
        <w:right w:val="none" w:sz="0" w:space="0" w:color="auto"/>
      </w:divBdr>
      <w:divsChild>
        <w:div w:id="651372638">
          <w:marLeft w:val="0"/>
          <w:marRight w:val="720"/>
          <w:marTop w:val="0"/>
          <w:marBottom w:val="0"/>
          <w:divBdr>
            <w:top w:val="none" w:sz="0" w:space="0" w:color="auto"/>
            <w:left w:val="none" w:sz="0" w:space="0" w:color="auto"/>
            <w:bottom w:val="none" w:sz="0" w:space="0" w:color="auto"/>
            <w:right w:val="none" w:sz="0" w:space="0" w:color="auto"/>
          </w:divBdr>
        </w:div>
        <w:div w:id="698239947">
          <w:marLeft w:val="0"/>
          <w:marRight w:val="0"/>
          <w:marTop w:val="0"/>
          <w:marBottom w:val="0"/>
          <w:divBdr>
            <w:top w:val="none" w:sz="0" w:space="0" w:color="auto"/>
            <w:left w:val="none" w:sz="0" w:space="0" w:color="auto"/>
            <w:bottom w:val="none" w:sz="0" w:space="0" w:color="auto"/>
            <w:right w:val="none" w:sz="0" w:space="0" w:color="auto"/>
          </w:divBdr>
        </w:div>
      </w:divsChild>
    </w:div>
    <w:div w:id="1310867197">
      <w:bodyDiv w:val="1"/>
      <w:marLeft w:val="0"/>
      <w:marRight w:val="0"/>
      <w:marTop w:val="0"/>
      <w:marBottom w:val="0"/>
      <w:divBdr>
        <w:top w:val="none" w:sz="0" w:space="0" w:color="auto"/>
        <w:left w:val="none" w:sz="0" w:space="0" w:color="auto"/>
        <w:bottom w:val="none" w:sz="0" w:space="0" w:color="auto"/>
        <w:right w:val="none" w:sz="0" w:space="0" w:color="auto"/>
      </w:divBdr>
      <w:divsChild>
        <w:div w:id="67411548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78784132">
      <w:bodyDiv w:val="1"/>
      <w:marLeft w:val="0"/>
      <w:marRight w:val="0"/>
      <w:marTop w:val="0"/>
      <w:marBottom w:val="0"/>
      <w:divBdr>
        <w:top w:val="none" w:sz="0" w:space="0" w:color="auto"/>
        <w:left w:val="none" w:sz="0" w:space="0" w:color="auto"/>
        <w:bottom w:val="none" w:sz="0" w:space="0" w:color="auto"/>
        <w:right w:val="none" w:sz="0" w:space="0" w:color="auto"/>
      </w:divBdr>
    </w:div>
    <w:div w:id="1595430053">
      <w:marLeft w:val="0"/>
      <w:marRight w:val="0"/>
      <w:marTop w:val="0"/>
      <w:marBottom w:val="0"/>
      <w:divBdr>
        <w:top w:val="none" w:sz="0" w:space="0" w:color="auto"/>
        <w:left w:val="none" w:sz="0" w:space="0" w:color="auto"/>
        <w:bottom w:val="none" w:sz="0" w:space="0" w:color="auto"/>
        <w:right w:val="none" w:sz="0" w:space="0" w:color="auto"/>
      </w:divBdr>
    </w:div>
    <w:div w:id="1595430055">
      <w:marLeft w:val="0"/>
      <w:marRight w:val="0"/>
      <w:marTop w:val="0"/>
      <w:marBottom w:val="0"/>
      <w:divBdr>
        <w:top w:val="none" w:sz="0" w:space="0" w:color="auto"/>
        <w:left w:val="none" w:sz="0" w:space="0" w:color="auto"/>
        <w:bottom w:val="none" w:sz="0" w:space="0" w:color="auto"/>
        <w:right w:val="none" w:sz="0" w:space="0" w:color="auto"/>
      </w:divBdr>
      <w:divsChild>
        <w:div w:id="1595430054">
          <w:marLeft w:val="0"/>
          <w:marRight w:val="0"/>
          <w:marTop w:val="0"/>
          <w:marBottom w:val="0"/>
          <w:divBdr>
            <w:top w:val="none" w:sz="0" w:space="0" w:color="auto"/>
            <w:left w:val="none" w:sz="0" w:space="0" w:color="auto"/>
            <w:bottom w:val="none" w:sz="0" w:space="0" w:color="auto"/>
            <w:right w:val="none" w:sz="0" w:space="0" w:color="auto"/>
          </w:divBdr>
        </w:div>
        <w:div w:id="1595430057">
          <w:marLeft w:val="0"/>
          <w:marRight w:val="0"/>
          <w:marTop w:val="0"/>
          <w:marBottom w:val="0"/>
          <w:divBdr>
            <w:top w:val="none" w:sz="0" w:space="0" w:color="auto"/>
            <w:left w:val="none" w:sz="0" w:space="0" w:color="auto"/>
            <w:bottom w:val="none" w:sz="0" w:space="0" w:color="auto"/>
            <w:right w:val="none" w:sz="0" w:space="0" w:color="auto"/>
          </w:divBdr>
        </w:div>
      </w:divsChild>
    </w:div>
    <w:div w:id="1595430056">
      <w:marLeft w:val="0"/>
      <w:marRight w:val="0"/>
      <w:marTop w:val="0"/>
      <w:marBottom w:val="0"/>
      <w:divBdr>
        <w:top w:val="none" w:sz="0" w:space="0" w:color="auto"/>
        <w:left w:val="none" w:sz="0" w:space="0" w:color="auto"/>
        <w:bottom w:val="none" w:sz="0" w:space="0" w:color="auto"/>
        <w:right w:val="none" w:sz="0" w:space="0" w:color="auto"/>
      </w:divBdr>
    </w:div>
    <w:div w:id="206314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ptodat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m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yncardia.com/total-artificial-heart-50-cc-and-70-c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3E8-2BE7-43CD-9F6E-8FF530CE00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6DF29C-E23F-4805-B1F3-773B256F2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915E9-DD00-480A-A675-112A43C3DAE2}">
  <ds:schemaRefs>
    <ds:schemaRef ds:uri="http://schemas.microsoft.com/sharepoint/v3/contenttype/forms"/>
  </ds:schemaRefs>
</ds:datastoreItem>
</file>

<file path=customXml/itemProps4.xml><?xml version="1.0" encoding="utf-8"?>
<ds:datastoreItem xmlns:ds="http://schemas.openxmlformats.org/officeDocument/2006/customXml" ds:itemID="{44CB3DBE-B4DD-470D-AC3D-4FBF6104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2197</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Tara M. Doucette</cp:lastModifiedBy>
  <cp:revision>3</cp:revision>
  <cp:lastPrinted>2015-06-25T20:16:00Z</cp:lastPrinted>
  <dcterms:created xsi:type="dcterms:W3CDTF">2025-05-15T13:47:00Z</dcterms:created>
  <dcterms:modified xsi:type="dcterms:W3CDTF">2025-05-19T16:46:00Z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2022-08-25T17:40:21Z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3e42f408-9038-44b5-878e-c9d8a07ef4ed</vt:lpwstr>
  </property>
  <property fmtid="{D5CDD505-2E9C-101B-9397-08002B2CF9AE}" pid="8" name="MSIP_Label_5a776955-85f6-4fec-9553-96dd3e0373c4_ContentBits">
    <vt:lpwstr>0</vt:lpwstr>
  </property>
</Properties>
</file>