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6623" w14:textId="15E51324"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8849A8">
        <w:rPr>
          <w:rFonts w:ascii="Times New Roman" w:hAnsi="Times New Roman"/>
          <w:color w:val="00548C"/>
          <w:sz w:val="36"/>
        </w:rPr>
        <w:t>Pediatric Liver Transplant</w:t>
      </w:r>
    </w:p>
    <w:p w14:paraId="4D896624"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4D896625" w14:textId="77777777" w:rsidR="00B777AF" w:rsidRPr="003D7BE7" w:rsidRDefault="00D574CA" w:rsidP="00480C09">
      <w:pPr>
        <w:pStyle w:val="PolicyMainHead"/>
        <w:spacing w:after="0" w:line="240" w:lineRule="auto"/>
        <w:ind w:left="360"/>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EB6985">
        <w:rPr>
          <w:rFonts w:ascii="Times New Roman" w:hAnsi="Times New Roman"/>
          <w:color w:val="00548C"/>
          <w:sz w:val="24"/>
          <w:szCs w:val="24"/>
        </w:rPr>
        <w:t>120</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hyperlink w:anchor="Coding_Implications" w:history="1">
        <w:r w:rsidR="00091741" w:rsidRPr="00875924">
          <w:rPr>
            <w:rStyle w:val="Hyperlink"/>
            <w:rFonts w:ascii="Times New Roman" w:hAnsi="Times New Roman"/>
            <w:sz w:val="24"/>
            <w:szCs w:val="24"/>
          </w:rPr>
          <w:t>Coding Implications</w:t>
        </w:r>
      </w:hyperlink>
      <w:r w:rsidR="00B777AF" w:rsidRPr="003D7BE7">
        <w:rPr>
          <w:rFonts w:ascii="Times New Roman" w:hAnsi="Times New Roman"/>
          <w:color w:val="00548C"/>
          <w:sz w:val="24"/>
          <w:szCs w:val="24"/>
        </w:rPr>
        <w:tab/>
      </w:r>
    </w:p>
    <w:p w14:paraId="4D896626" w14:textId="10B6EA51" w:rsidR="00875924" w:rsidRDefault="00D574CA" w:rsidP="00D574CA">
      <w:pPr>
        <w:pStyle w:val="PolicyMainHead"/>
        <w:tabs>
          <w:tab w:val="left" w:pos="360"/>
        </w:tabs>
        <w:spacing w:after="0" w:line="240" w:lineRule="auto"/>
        <w:rPr>
          <w:rFonts w:ascii="Times New Roman" w:hAnsi="Times New Roman"/>
          <w:color w:val="00548C"/>
          <w:sz w:val="24"/>
          <w:szCs w:val="24"/>
        </w:rPr>
      </w:pPr>
      <w:r w:rsidRPr="003D7BE7">
        <w:rPr>
          <w:rFonts w:ascii="Times New Roman" w:hAnsi="Times New Roman"/>
          <w:color w:val="00548C"/>
          <w:sz w:val="24"/>
          <w:szCs w:val="24"/>
        </w:rPr>
        <w:t>Date</w:t>
      </w:r>
      <w:r w:rsidR="00AF43A8">
        <w:rPr>
          <w:rFonts w:ascii="Times New Roman" w:hAnsi="Times New Roman"/>
          <w:color w:val="00548C"/>
          <w:sz w:val="24"/>
          <w:szCs w:val="24"/>
        </w:rPr>
        <w:t xml:space="preserve"> of Last Revision</w:t>
      </w:r>
      <w:r w:rsidRPr="003D7BE7">
        <w:rPr>
          <w:rFonts w:ascii="Times New Roman" w:hAnsi="Times New Roman"/>
          <w:color w:val="00548C"/>
          <w:sz w:val="24"/>
          <w:szCs w:val="24"/>
        </w:rPr>
        <w:t xml:space="preserve">: </w:t>
      </w:r>
      <w:r w:rsidR="00FC5ED1">
        <w:rPr>
          <w:rFonts w:ascii="Times New Roman" w:hAnsi="Times New Roman"/>
          <w:color w:val="00548C"/>
          <w:sz w:val="24"/>
          <w:szCs w:val="24"/>
        </w:rPr>
        <w:t>0</w:t>
      </w:r>
      <w:r w:rsidR="00C309F9">
        <w:rPr>
          <w:rFonts w:ascii="Times New Roman" w:hAnsi="Times New Roman"/>
          <w:color w:val="00548C"/>
          <w:sz w:val="24"/>
          <w:szCs w:val="24"/>
        </w:rPr>
        <w:t>5</w:t>
      </w:r>
      <w:r w:rsidR="00FC5ED1">
        <w:rPr>
          <w:rFonts w:ascii="Times New Roman" w:hAnsi="Times New Roman"/>
          <w:color w:val="00548C"/>
          <w:sz w:val="24"/>
          <w:szCs w:val="24"/>
        </w:rPr>
        <w:t>/25</w:t>
      </w:r>
    </w:p>
    <w:p w14:paraId="4D896627"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091741">
          <w:type w:val="continuous"/>
          <w:pgSz w:w="12240" w:h="15840" w:code="1"/>
          <w:pgMar w:top="1440" w:right="162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4D896628"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4D896629"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4D89662A" w14:textId="77777777" w:rsidR="00C73CF5"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4D89662B" w14:textId="77777777" w:rsidR="00583376" w:rsidRPr="00B777AF" w:rsidRDefault="00583376">
      <w:pPr>
        <w:pStyle w:val="Heading2"/>
        <w:rPr>
          <w:u w:val="none"/>
        </w:rPr>
      </w:pPr>
      <w:r w:rsidRPr="00B777AF">
        <w:rPr>
          <w:u w:val="none"/>
        </w:rPr>
        <w:t xml:space="preserve">Description </w:t>
      </w:r>
    </w:p>
    <w:p w14:paraId="4D89662C" w14:textId="4A47E6AF" w:rsidR="00ED0F03" w:rsidRPr="00AC2D62" w:rsidRDefault="00ED0F03" w:rsidP="00ED0F03">
      <w:r>
        <w:t>End</w:t>
      </w:r>
      <w:r w:rsidR="0016602D">
        <w:t>-</w:t>
      </w:r>
      <w:r>
        <w:t>stage liver disease presents unique clinical considerations in the pediatric population</w:t>
      </w:r>
      <w:r w:rsidR="001A53BB">
        <w:t xml:space="preserve">. </w:t>
      </w:r>
      <w:r>
        <w:t>Liver transplantation provides a therapeutic option for pediatric patients with end stage disease. This policy establishes the medical necessity requirements for pediatric liver transplants.</w:t>
      </w:r>
    </w:p>
    <w:p w14:paraId="4D89662D" w14:textId="77777777" w:rsidR="005D7B81" w:rsidRPr="00B777AF" w:rsidRDefault="005D7B81" w:rsidP="00196935"/>
    <w:p w14:paraId="4D89662E" w14:textId="77777777" w:rsidR="00583376" w:rsidRPr="00B777AF" w:rsidRDefault="00583376">
      <w:pPr>
        <w:pStyle w:val="Heading2"/>
        <w:rPr>
          <w:u w:val="none"/>
        </w:rPr>
      </w:pPr>
      <w:r w:rsidRPr="00B777AF">
        <w:rPr>
          <w:u w:val="none"/>
        </w:rPr>
        <w:t>Policy/Criteria</w:t>
      </w:r>
    </w:p>
    <w:p w14:paraId="4D89662F" w14:textId="2BFF0CD6" w:rsidR="00C96847" w:rsidRDefault="00F74762" w:rsidP="00C96847">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 xml:space="preserve">that </w:t>
      </w:r>
      <w:r w:rsidR="003F0C37">
        <w:t xml:space="preserve">pediatric </w:t>
      </w:r>
      <w:r w:rsidR="008849A8">
        <w:t>liver transplant</w:t>
      </w:r>
      <w:r w:rsidR="00116BE4">
        <w:t>ation</w:t>
      </w:r>
      <w:r w:rsidR="008849A8">
        <w:t xml:space="preserve"> </w:t>
      </w:r>
      <w:r w:rsidR="00C26E0E" w:rsidRPr="00AC2D62">
        <w:t xml:space="preserve">for pediatric </w:t>
      </w:r>
      <w:r w:rsidR="003F0C37">
        <w:t>member</w:t>
      </w:r>
      <w:r w:rsidR="00656ABF">
        <w:t>s</w:t>
      </w:r>
      <w:r w:rsidR="003F0C37">
        <w:t>/enrollee</w:t>
      </w:r>
      <w:r w:rsidR="00C26E0E" w:rsidRPr="00AC2D62">
        <w:t>s</w:t>
      </w:r>
      <w:r w:rsidR="00C26E0E">
        <w:t xml:space="preserve"> (age &lt; </w:t>
      </w:r>
      <w:r w:rsidR="00C26E0E" w:rsidRPr="007A3A65">
        <w:t>18) with end</w:t>
      </w:r>
      <w:r w:rsidR="007C466A" w:rsidRPr="00EC64B2">
        <w:t>-</w:t>
      </w:r>
      <w:r w:rsidR="00C26E0E" w:rsidRPr="007A3A65">
        <w:t>stage liver disease</w:t>
      </w:r>
      <w:r w:rsidR="00C26E0E">
        <w:t xml:space="preserve"> </w:t>
      </w:r>
      <w:r w:rsidR="00116BE4">
        <w:t>is</w:t>
      </w:r>
      <w:r w:rsidR="00C96847">
        <w:t xml:space="preserve"> </w:t>
      </w:r>
      <w:r w:rsidR="00C96847" w:rsidRPr="005D6347">
        <w:rPr>
          <w:b/>
        </w:rPr>
        <w:t>medically necessary</w:t>
      </w:r>
      <w:r w:rsidR="00C96847">
        <w:t xml:space="preserve"> </w:t>
      </w:r>
      <w:r w:rsidR="000368AA" w:rsidRPr="00AC2D62">
        <w:t>when all of the following conditions are met:</w:t>
      </w:r>
    </w:p>
    <w:p w14:paraId="4D896630" w14:textId="77777777" w:rsidR="009C11FE" w:rsidRDefault="00116BE4" w:rsidP="000368AA">
      <w:pPr>
        <w:numPr>
          <w:ilvl w:val="1"/>
          <w:numId w:val="11"/>
        </w:numPr>
        <w:ind w:left="720"/>
      </w:pPr>
      <w:r>
        <w:t>E</w:t>
      </w:r>
      <w:r w:rsidR="00B4542A">
        <w:t>nd-stage liver disease</w:t>
      </w:r>
      <w:r>
        <w:t xml:space="preserve"> </w:t>
      </w:r>
      <w:r w:rsidR="00B4542A">
        <w:t xml:space="preserve">has resulted </w:t>
      </w:r>
      <w:r>
        <w:t>in any of the following:</w:t>
      </w:r>
    </w:p>
    <w:p w14:paraId="4D896631" w14:textId="77777777" w:rsidR="000368AA" w:rsidRPr="00D2675F" w:rsidRDefault="000368AA" w:rsidP="000368AA">
      <w:pPr>
        <w:numPr>
          <w:ilvl w:val="2"/>
          <w:numId w:val="11"/>
        </w:numPr>
        <w:ind w:left="1080" w:hanging="360"/>
        <w:rPr>
          <w:color w:val="000000"/>
        </w:rPr>
      </w:pPr>
      <w:r w:rsidRPr="00D2675F">
        <w:t>Life</w:t>
      </w:r>
      <w:r w:rsidRPr="00D2675F">
        <w:rPr>
          <w:color w:val="000000"/>
          <w:lang w:val="x-none"/>
        </w:rPr>
        <w:t xml:space="preserve"> expectancy </w:t>
      </w:r>
      <w:r w:rsidR="00EC52BD" w:rsidRPr="00D2675F">
        <w:rPr>
          <w:color w:val="000000"/>
          <w:lang w:val="x-none"/>
        </w:rPr>
        <w:t>≤</w:t>
      </w:r>
      <w:r w:rsidRPr="00D2675F">
        <w:rPr>
          <w:color w:val="000000"/>
        </w:rPr>
        <w:t xml:space="preserve"> 18 months</w:t>
      </w:r>
      <w:r w:rsidR="00D47B36" w:rsidRPr="00D2675F">
        <w:rPr>
          <w:color w:val="000000"/>
        </w:rPr>
        <w:t xml:space="preserve"> without liver transplant</w:t>
      </w:r>
      <w:r w:rsidRPr="00D2675F">
        <w:rPr>
          <w:color w:val="000000"/>
        </w:rPr>
        <w:t>;</w:t>
      </w:r>
    </w:p>
    <w:p w14:paraId="4D896632" w14:textId="77777777" w:rsidR="000368AA" w:rsidRPr="00D2675F" w:rsidRDefault="000368AA" w:rsidP="000368AA">
      <w:pPr>
        <w:numPr>
          <w:ilvl w:val="2"/>
          <w:numId w:val="11"/>
        </w:numPr>
        <w:ind w:left="1080" w:hanging="360"/>
        <w:rPr>
          <w:color w:val="000000"/>
        </w:rPr>
      </w:pPr>
      <w:r w:rsidRPr="00D2675F">
        <w:t>Unacceptable</w:t>
      </w:r>
      <w:r w:rsidRPr="00D2675F">
        <w:rPr>
          <w:color w:val="000000"/>
        </w:rPr>
        <w:t xml:space="preserve"> quality of life;</w:t>
      </w:r>
    </w:p>
    <w:p w14:paraId="4D896633" w14:textId="77777777" w:rsidR="00052316" w:rsidRPr="00AB7BDC" w:rsidRDefault="000368AA" w:rsidP="000863C2">
      <w:pPr>
        <w:numPr>
          <w:ilvl w:val="2"/>
          <w:numId w:val="11"/>
        </w:numPr>
        <w:ind w:left="1080" w:hanging="360"/>
        <w:rPr>
          <w:color w:val="000000"/>
        </w:rPr>
      </w:pPr>
      <w:r w:rsidRPr="00AB7BDC">
        <w:t xml:space="preserve">Growth failure or </w:t>
      </w:r>
      <w:r w:rsidR="00E918EB" w:rsidRPr="00AB7BDC">
        <w:t xml:space="preserve">reversible </w:t>
      </w:r>
      <w:r w:rsidRPr="00AB7BDC">
        <w:t>neurodevelopment impairment;</w:t>
      </w:r>
    </w:p>
    <w:p w14:paraId="4D896634" w14:textId="77777777" w:rsidR="00052316" w:rsidRPr="00AB7BDC" w:rsidRDefault="00E110B7" w:rsidP="00052316">
      <w:pPr>
        <w:numPr>
          <w:ilvl w:val="1"/>
          <w:numId w:val="11"/>
        </w:numPr>
        <w:ind w:left="720"/>
      </w:pPr>
      <w:r w:rsidRPr="00AB7BDC">
        <w:t>End</w:t>
      </w:r>
      <w:r w:rsidR="00B4542A" w:rsidRPr="00AB7BDC">
        <w:t>-</w:t>
      </w:r>
      <w:r w:rsidRPr="00AB7BDC">
        <w:t>stage liver disease is due to one</w:t>
      </w:r>
      <w:r w:rsidR="000368AA" w:rsidRPr="00AB7BDC">
        <w:t xml:space="preserve"> of the following</w:t>
      </w:r>
      <w:r w:rsidR="00052316" w:rsidRPr="00AB7BDC">
        <w:t>:</w:t>
      </w:r>
    </w:p>
    <w:p w14:paraId="4D896635" w14:textId="11AFCD8D" w:rsidR="007F0888" w:rsidRPr="00AB7BDC" w:rsidRDefault="007F0888" w:rsidP="00052316">
      <w:pPr>
        <w:numPr>
          <w:ilvl w:val="2"/>
          <w:numId w:val="11"/>
        </w:numPr>
        <w:ind w:left="1080" w:hanging="360"/>
      </w:pPr>
      <w:r w:rsidRPr="00AB7BDC">
        <w:t>Cholestatic diseases</w:t>
      </w:r>
      <w:r w:rsidR="00357D0E" w:rsidRPr="00AB7BDC">
        <w:t>, one of the following:</w:t>
      </w:r>
    </w:p>
    <w:p w14:paraId="4D896636" w14:textId="0AA8297B" w:rsidR="007F0888" w:rsidRPr="00AB7BDC" w:rsidRDefault="00075ACA" w:rsidP="007F0888">
      <w:pPr>
        <w:numPr>
          <w:ilvl w:val="3"/>
          <w:numId w:val="11"/>
        </w:numPr>
        <w:ind w:left="1440"/>
      </w:pPr>
      <w:r w:rsidRPr="00AB7BDC">
        <w:t>Biliary atresia, any of the following:</w:t>
      </w:r>
      <w:r w:rsidR="004274B0" w:rsidRPr="00AB7BDC">
        <w:t xml:space="preserve"> </w:t>
      </w:r>
    </w:p>
    <w:p w14:paraId="4D896637" w14:textId="77777777" w:rsidR="00075ACA" w:rsidRPr="00AB7BDC" w:rsidRDefault="006A65F6" w:rsidP="00A06ECE">
      <w:pPr>
        <w:numPr>
          <w:ilvl w:val="4"/>
          <w:numId w:val="11"/>
        </w:numPr>
        <w:ind w:left="1800"/>
      </w:pPr>
      <w:r w:rsidRPr="00AB7BDC">
        <w:rPr>
          <w:color w:val="000000"/>
        </w:rPr>
        <w:t>Pre-he</w:t>
      </w:r>
      <w:r w:rsidR="00075ACA" w:rsidRPr="00AB7BDC">
        <w:rPr>
          <w:color w:val="000000"/>
        </w:rPr>
        <w:t>patoportoenterostomy</w:t>
      </w:r>
      <w:r w:rsidR="00FE5B0C" w:rsidRPr="00AB7BDC">
        <w:rPr>
          <w:color w:val="000000"/>
        </w:rPr>
        <w:t xml:space="preserve"> in i</w:t>
      </w:r>
      <w:r w:rsidR="00075ACA" w:rsidRPr="00AB7BDC">
        <w:rPr>
          <w:color w:val="000000"/>
        </w:rPr>
        <w:t>nfants with evidence of decompensated liver disease;</w:t>
      </w:r>
    </w:p>
    <w:p w14:paraId="4D896638" w14:textId="44B5568C" w:rsidR="00075ACA" w:rsidRPr="00AB7BDC" w:rsidRDefault="006A65F6" w:rsidP="00075ACA">
      <w:pPr>
        <w:numPr>
          <w:ilvl w:val="4"/>
          <w:numId w:val="11"/>
        </w:numPr>
        <w:ind w:left="1800"/>
      </w:pPr>
      <w:r w:rsidRPr="00AB7BDC">
        <w:rPr>
          <w:color w:val="000000"/>
        </w:rPr>
        <w:t>Post-h</w:t>
      </w:r>
      <w:r w:rsidR="00075ACA" w:rsidRPr="00AB7BDC">
        <w:rPr>
          <w:color w:val="000000"/>
        </w:rPr>
        <w:t>epatoportoenterostomy</w:t>
      </w:r>
      <w:r w:rsidR="00075ACA" w:rsidRPr="00AB7BDC">
        <w:t xml:space="preserve">, </w:t>
      </w:r>
      <w:r w:rsidR="00B4542A" w:rsidRPr="00AB7BDC">
        <w:t xml:space="preserve">and </w:t>
      </w:r>
      <w:r w:rsidR="00075ACA" w:rsidRPr="00AB7BDC">
        <w:t>any of the following:</w:t>
      </w:r>
    </w:p>
    <w:p w14:paraId="4D896639" w14:textId="194B1BDC" w:rsidR="00075ACA" w:rsidRPr="00AB7BDC" w:rsidRDefault="00075ACA" w:rsidP="00075ACA">
      <w:pPr>
        <w:numPr>
          <w:ilvl w:val="5"/>
          <w:numId w:val="11"/>
        </w:numPr>
        <w:ind w:left="2160" w:hanging="360"/>
      </w:pPr>
      <w:r w:rsidRPr="00AB7BDC">
        <w:rPr>
          <w:color w:val="000000"/>
        </w:rPr>
        <w:t>Total bilirubin</w:t>
      </w:r>
      <w:r w:rsidR="00FF23B8" w:rsidRPr="00AB7BDC">
        <w:rPr>
          <w:color w:val="000000"/>
        </w:rPr>
        <w:t xml:space="preserve"> &gt; 6 mg/dL beyond </w:t>
      </w:r>
      <w:r w:rsidR="0093511A" w:rsidRPr="00AB7BDC">
        <w:rPr>
          <w:color w:val="000000"/>
        </w:rPr>
        <w:t>three</w:t>
      </w:r>
      <w:r w:rsidR="00FF23B8" w:rsidRPr="00AB7BDC">
        <w:rPr>
          <w:color w:val="000000"/>
        </w:rPr>
        <w:t xml:space="preserve"> months from </w:t>
      </w:r>
      <w:r w:rsidR="00665484" w:rsidRPr="00AB7BDC">
        <w:rPr>
          <w:color w:val="000000"/>
        </w:rPr>
        <w:t>hepato</w:t>
      </w:r>
      <w:r w:rsidR="00981D02" w:rsidRPr="00AB7BDC">
        <w:rPr>
          <w:color w:val="000000"/>
        </w:rPr>
        <w:t>portoenterostomy</w:t>
      </w:r>
      <w:r w:rsidRPr="00AB7BDC">
        <w:rPr>
          <w:color w:val="000000"/>
        </w:rPr>
        <w:t>;</w:t>
      </w:r>
    </w:p>
    <w:p w14:paraId="1FFE7715" w14:textId="7A5B993C" w:rsidR="00E91DB6" w:rsidRPr="00AB7BDC" w:rsidRDefault="00E67D88" w:rsidP="00075ACA">
      <w:pPr>
        <w:numPr>
          <w:ilvl w:val="5"/>
          <w:numId w:val="11"/>
        </w:numPr>
        <w:ind w:left="2160" w:hanging="360"/>
      </w:pPr>
      <w:r w:rsidRPr="00AB7BDC">
        <w:rPr>
          <w:color w:val="000000"/>
        </w:rPr>
        <w:t xml:space="preserve">Total bilirubin </w:t>
      </w:r>
      <w:r w:rsidR="0093675F" w:rsidRPr="00AB7BDC">
        <w:rPr>
          <w:color w:val="000000"/>
        </w:rPr>
        <w:t xml:space="preserve">remains </w:t>
      </w:r>
      <w:r w:rsidR="0045249D" w:rsidRPr="00AB7BDC">
        <w:rPr>
          <w:color w:val="000000"/>
        </w:rPr>
        <w:t>between 2</w:t>
      </w:r>
      <w:r w:rsidR="002D04A0" w:rsidRPr="00AB7BDC">
        <w:rPr>
          <w:color w:val="000000"/>
        </w:rPr>
        <w:t xml:space="preserve"> to 6 mg/dL</w:t>
      </w:r>
      <w:r w:rsidR="00F16D31" w:rsidRPr="00AB7BDC">
        <w:rPr>
          <w:color w:val="000000"/>
        </w:rPr>
        <w:t>;</w:t>
      </w:r>
    </w:p>
    <w:p w14:paraId="4D89663A" w14:textId="77777777" w:rsidR="00075ACA" w:rsidRPr="00AB7BDC" w:rsidRDefault="00075ACA" w:rsidP="00EB6985">
      <w:pPr>
        <w:numPr>
          <w:ilvl w:val="5"/>
          <w:numId w:val="11"/>
        </w:numPr>
        <w:ind w:left="2160" w:hanging="360"/>
      </w:pPr>
      <w:r w:rsidRPr="00AB7BDC">
        <w:rPr>
          <w:color w:val="000000"/>
        </w:rPr>
        <w:t xml:space="preserve">Total bilirubin &lt; 2 </w:t>
      </w:r>
      <w:r w:rsidR="00E110B7" w:rsidRPr="00AB7BDC">
        <w:rPr>
          <w:color w:val="000000"/>
        </w:rPr>
        <w:t xml:space="preserve">with </w:t>
      </w:r>
      <w:r w:rsidRPr="00AB7BDC">
        <w:rPr>
          <w:color w:val="000000"/>
        </w:rPr>
        <w:t xml:space="preserve">unmanageable complications </w:t>
      </w:r>
      <w:r w:rsidR="006A65F6" w:rsidRPr="00AB7BDC">
        <w:rPr>
          <w:color w:val="000000"/>
        </w:rPr>
        <w:t>due to</w:t>
      </w:r>
      <w:r w:rsidR="00E110B7" w:rsidRPr="00AB7BDC">
        <w:rPr>
          <w:color w:val="000000"/>
        </w:rPr>
        <w:t xml:space="preserve"> b</w:t>
      </w:r>
      <w:r w:rsidRPr="00AB7BDC">
        <w:rPr>
          <w:color w:val="000000"/>
        </w:rPr>
        <w:t>iliary cirrhosis</w:t>
      </w:r>
      <w:r w:rsidR="00E110B7" w:rsidRPr="00AB7BDC">
        <w:rPr>
          <w:color w:val="000000"/>
        </w:rPr>
        <w:t xml:space="preserve"> or p</w:t>
      </w:r>
      <w:r w:rsidRPr="00AB7BDC">
        <w:rPr>
          <w:color w:val="000000"/>
        </w:rPr>
        <w:t>ortal hypertension;</w:t>
      </w:r>
    </w:p>
    <w:p w14:paraId="4D89663B" w14:textId="77C92F3F" w:rsidR="007F171B" w:rsidRPr="00AB7BDC" w:rsidRDefault="007F171B" w:rsidP="007F171B">
      <w:pPr>
        <w:numPr>
          <w:ilvl w:val="3"/>
          <w:numId w:val="11"/>
        </w:numPr>
        <w:ind w:left="1440"/>
      </w:pPr>
      <w:r w:rsidRPr="00AB7BDC">
        <w:t>Familial intrahepatic cholestasis</w:t>
      </w:r>
      <w:r w:rsidR="00C30075" w:rsidRPr="00AB7BDC">
        <w:t xml:space="preserve"> 1 (FIC1) disease</w:t>
      </w:r>
      <w:r w:rsidR="00A5285D" w:rsidRPr="00AB7BDC">
        <w:t xml:space="preserve"> if partial external biliary diversion or ileal exclusion </w:t>
      </w:r>
      <w:r w:rsidR="00AC0CE4" w:rsidRPr="00AB7BDC">
        <w:t>failed or could not be performed</w:t>
      </w:r>
      <w:r w:rsidRPr="00AB7BDC">
        <w:t>;</w:t>
      </w:r>
    </w:p>
    <w:p w14:paraId="4D89663C" w14:textId="77777777" w:rsidR="0040647A" w:rsidRPr="00AB7BDC" w:rsidRDefault="007F171B" w:rsidP="0040647A">
      <w:pPr>
        <w:numPr>
          <w:ilvl w:val="3"/>
          <w:numId w:val="11"/>
        </w:numPr>
        <w:ind w:left="1440"/>
      </w:pPr>
      <w:r w:rsidRPr="00AB7BDC">
        <w:t>Primary sclerosing cholangitis;</w:t>
      </w:r>
    </w:p>
    <w:p w14:paraId="4D89663D" w14:textId="77777777" w:rsidR="007F171B" w:rsidRPr="00AB7BDC" w:rsidRDefault="0040647A" w:rsidP="0040647A">
      <w:pPr>
        <w:numPr>
          <w:ilvl w:val="3"/>
          <w:numId w:val="11"/>
        </w:numPr>
        <w:ind w:left="1440"/>
      </w:pPr>
      <w:r w:rsidRPr="00AB7BDC">
        <w:t>Alagille Syndrome;</w:t>
      </w:r>
    </w:p>
    <w:p w14:paraId="4D89663E" w14:textId="77777777" w:rsidR="00435F50" w:rsidRPr="00AB7BDC" w:rsidRDefault="00435F50" w:rsidP="00091741">
      <w:pPr>
        <w:numPr>
          <w:ilvl w:val="2"/>
          <w:numId w:val="11"/>
        </w:numPr>
        <w:ind w:left="1080" w:hanging="360"/>
      </w:pPr>
      <w:r w:rsidRPr="00AB7BDC">
        <w:t>Acute liver failure, all of the following:</w:t>
      </w:r>
    </w:p>
    <w:p w14:paraId="4D89663F" w14:textId="77777777" w:rsidR="00435F50" w:rsidRPr="00AB7BDC" w:rsidRDefault="00435F50" w:rsidP="00435F50">
      <w:pPr>
        <w:numPr>
          <w:ilvl w:val="3"/>
          <w:numId w:val="11"/>
        </w:numPr>
        <w:ind w:left="1440"/>
      </w:pPr>
      <w:r w:rsidRPr="00AB7BDC">
        <w:t>Absence of a known, chronic liver disease</w:t>
      </w:r>
      <w:r w:rsidR="00091741" w:rsidRPr="00AB7BDC">
        <w:t>;</w:t>
      </w:r>
    </w:p>
    <w:p w14:paraId="4D896640" w14:textId="77777777" w:rsidR="00435F50" w:rsidRPr="00AB7BDC" w:rsidRDefault="00435F50" w:rsidP="00435F50">
      <w:pPr>
        <w:numPr>
          <w:ilvl w:val="3"/>
          <w:numId w:val="11"/>
        </w:numPr>
        <w:ind w:left="1440"/>
      </w:pPr>
      <w:r w:rsidRPr="00AB7BDC">
        <w:t>Liver-based coagulopathy that is not responsive to parenteral vitamin K</w:t>
      </w:r>
      <w:r w:rsidR="00091741" w:rsidRPr="00AB7BDC">
        <w:t>;</w:t>
      </w:r>
    </w:p>
    <w:p w14:paraId="4D896641" w14:textId="77777777" w:rsidR="00435F50" w:rsidRPr="00AB7BDC" w:rsidRDefault="00435F50" w:rsidP="00435F50">
      <w:pPr>
        <w:numPr>
          <w:ilvl w:val="3"/>
          <w:numId w:val="11"/>
        </w:numPr>
        <w:ind w:left="1440"/>
      </w:pPr>
      <w:r w:rsidRPr="00AB7BDC">
        <w:t>International Normalized Ratio (INR), one of the following:</w:t>
      </w:r>
    </w:p>
    <w:p w14:paraId="4D896642" w14:textId="77777777" w:rsidR="00435F50" w:rsidRPr="00AB7BDC" w:rsidRDefault="00435F50" w:rsidP="00091741">
      <w:pPr>
        <w:numPr>
          <w:ilvl w:val="4"/>
          <w:numId w:val="11"/>
        </w:numPr>
        <w:ind w:left="1800"/>
      </w:pPr>
      <w:r w:rsidRPr="00AB7BDC">
        <w:t>Between 1.5 and 1.9 with clinical evidence of encephalopathy</w:t>
      </w:r>
      <w:r w:rsidR="00B4542A" w:rsidRPr="00AB7BDC">
        <w:t>;</w:t>
      </w:r>
    </w:p>
    <w:p w14:paraId="4D896643" w14:textId="1D7C3585" w:rsidR="00435F50" w:rsidRPr="00AB7BDC" w:rsidRDefault="00435F50" w:rsidP="00091741">
      <w:pPr>
        <w:numPr>
          <w:ilvl w:val="4"/>
          <w:numId w:val="11"/>
        </w:numPr>
        <w:ind w:left="1800"/>
      </w:pPr>
      <w:r w:rsidRPr="00AB7BDC">
        <w:rPr>
          <w:color w:val="000000"/>
        </w:rPr>
        <w:t xml:space="preserve">≥ </w:t>
      </w:r>
      <w:r w:rsidRPr="00AB7BDC">
        <w:t>2.0 regardless of the presence of clinical encephalopathy</w:t>
      </w:r>
      <w:r w:rsidR="00B4542A" w:rsidRPr="00AB7BDC">
        <w:t>;</w:t>
      </w:r>
      <w:r w:rsidR="004274B0" w:rsidRPr="00AB7BDC">
        <w:t xml:space="preserve"> </w:t>
      </w:r>
    </w:p>
    <w:p w14:paraId="4D896644" w14:textId="2169B978" w:rsidR="007F171B" w:rsidRPr="00AB7BDC" w:rsidRDefault="007F0888" w:rsidP="007F171B">
      <w:pPr>
        <w:numPr>
          <w:ilvl w:val="2"/>
          <w:numId w:val="11"/>
        </w:numPr>
        <w:ind w:left="1080" w:hanging="360"/>
      </w:pPr>
      <w:r w:rsidRPr="00AB7BDC">
        <w:t xml:space="preserve">Hepatocellular </w:t>
      </w:r>
      <w:r w:rsidR="00FE5B0C" w:rsidRPr="00AB7BDC">
        <w:t xml:space="preserve">or </w:t>
      </w:r>
      <w:r w:rsidR="007F171B" w:rsidRPr="00AB7BDC">
        <w:t xml:space="preserve">vascular </w:t>
      </w:r>
      <w:r w:rsidRPr="00AB7BDC">
        <w:t>disease</w:t>
      </w:r>
      <w:r w:rsidR="00085F7C" w:rsidRPr="00AB7BDC">
        <w:t>,</w:t>
      </w:r>
      <w:r w:rsidR="007F171B" w:rsidRPr="00AB7BDC">
        <w:t xml:space="preserve"> </w:t>
      </w:r>
      <w:r w:rsidR="00E35F5A" w:rsidRPr="00AB7BDC">
        <w:t>any of the following</w:t>
      </w:r>
      <w:r w:rsidR="00085F7C" w:rsidRPr="00AB7BDC">
        <w:t>:</w:t>
      </w:r>
    </w:p>
    <w:p w14:paraId="4D896645" w14:textId="118B06B2" w:rsidR="007F171B" w:rsidRPr="00AB7BDC" w:rsidRDefault="007F171B" w:rsidP="007F0888">
      <w:pPr>
        <w:numPr>
          <w:ilvl w:val="3"/>
          <w:numId w:val="11"/>
        </w:numPr>
        <w:ind w:left="1440"/>
      </w:pPr>
      <w:r w:rsidRPr="00AB7BDC">
        <w:t>Autoimmune hepatitis</w:t>
      </w:r>
      <w:r w:rsidR="00C945B0" w:rsidRPr="00AB7BDC">
        <w:t xml:space="preserve"> with </w:t>
      </w:r>
      <w:r w:rsidR="00A21422" w:rsidRPr="00AB7BDC">
        <w:t>any of the following:</w:t>
      </w:r>
    </w:p>
    <w:p w14:paraId="6648DF8C" w14:textId="462D0E36" w:rsidR="00AC5C5D" w:rsidRPr="00AB7BDC" w:rsidRDefault="00A21422" w:rsidP="00DC15E7">
      <w:pPr>
        <w:numPr>
          <w:ilvl w:val="4"/>
          <w:numId w:val="11"/>
        </w:numPr>
        <w:ind w:left="1800"/>
      </w:pPr>
      <w:r w:rsidRPr="00AB7BDC">
        <w:t>Acute liver failure associated with encephalopathy;</w:t>
      </w:r>
      <w:r w:rsidR="00DF0A06" w:rsidRPr="00AB7BDC">
        <w:t xml:space="preserve"> </w:t>
      </w:r>
    </w:p>
    <w:p w14:paraId="3441046C" w14:textId="7B742342" w:rsidR="00A21422" w:rsidRPr="00AB7BDC" w:rsidRDefault="00A21422" w:rsidP="00202389">
      <w:pPr>
        <w:numPr>
          <w:ilvl w:val="4"/>
          <w:numId w:val="11"/>
        </w:numPr>
        <w:ind w:left="1800"/>
      </w:pPr>
      <w:r w:rsidRPr="00AB7BDC">
        <w:t>Complications of end</w:t>
      </w:r>
      <w:r w:rsidR="007C466A" w:rsidRPr="00AB7BDC">
        <w:t>-</w:t>
      </w:r>
      <w:r w:rsidRPr="00AB7BDC">
        <w:t xml:space="preserve">stage liver disease not responsive to medical therapy;  </w:t>
      </w:r>
    </w:p>
    <w:p w14:paraId="4D896646" w14:textId="23F0139B" w:rsidR="00C945B0" w:rsidRPr="00AB7BDC" w:rsidRDefault="00C945B0" w:rsidP="001B2D96">
      <w:pPr>
        <w:numPr>
          <w:ilvl w:val="3"/>
          <w:numId w:val="11"/>
        </w:numPr>
        <w:ind w:left="1440"/>
      </w:pPr>
      <w:r w:rsidRPr="00AB7BDC">
        <w:t>Decompensated liver disease, recurrent cholangitis, unmanageable bile duct strictures</w:t>
      </w:r>
      <w:r w:rsidR="00B4542A" w:rsidRPr="00AB7BDC">
        <w:t>,</w:t>
      </w:r>
      <w:r w:rsidRPr="00AB7BDC">
        <w:t xml:space="preserve"> or concerns for the risk of cholangiocarcinoma</w:t>
      </w:r>
      <w:r w:rsidR="00B4542A" w:rsidRPr="00AB7BDC">
        <w:t>;</w:t>
      </w:r>
    </w:p>
    <w:p w14:paraId="4C2CF993" w14:textId="57D3DF03" w:rsidR="008B5973" w:rsidRPr="00AB7BDC" w:rsidRDefault="008B5973" w:rsidP="001B2D96">
      <w:pPr>
        <w:numPr>
          <w:ilvl w:val="3"/>
          <w:numId w:val="11"/>
        </w:numPr>
        <w:ind w:left="1440"/>
      </w:pPr>
      <w:r w:rsidRPr="00AB7BDC">
        <w:lastRenderedPageBreak/>
        <w:t xml:space="preserve"> Budd-Chiari </w:t>
      </w:r>
      <w:r w:rsidR="00315013" w:rsidRPr="00AB7BDC">
        <w:t>S</w:t>
      </w:r>
      <w:r w:rsidRPr="00AB7BDC">
        <w:t>yndrome;</w:t>
      </w:r>
      <w:r w:rsidR="008808F6" w:rsidRPr="00AB7BDC">
        <w:t xml:space="preserve"> </w:t>
      </w:r>
    </w:p>
    <w:p w14:paraId="4D896647" w14:textId="7C11BB3C" w:rsidR="007F0888" w:rsidRPr="00AB7BDC" w:rsidRDefault="007F0888" w:rsidP="00052316">
      <w:pPr>
        <w:numPr>
          <w:ilvl w:val="2"/>
          <w:numId w:val="11"/>
        </w:numPr>
        <w:ind w:left="1080" w:hanging="360"/>
      </w:pPr>
      <w:r w:rsidRPr="00AB7BDC">
        <w:t>Malignancies</w:t>
      </w:r>
      <w:r w:rsidR="00C95F4E" w:rsidRPr="00AB7BDC">
        <w:t>, any of the following</w:t>
      </w:r>
      <w:r w:rsidR="00A72A75" w:rsidRPr="00AB7BDC">
        <w:t>:</w:t>
      </w:r>
    </w:p>
    <w:p w14:paraId="4D896648" w14:textId="77777777" w:rsidR="007F0888" w:rsidRPr="00AB7BDC" w:rsidRDefault="007F171B" w:rsidP="007F0888">
      <w:pPr>
        <w:numPr>
          <w:ilvl w:val="3"/>
          <w:numId w:val="11"/>
        </w:numPr>
        <w:ind w:left="1440"/>
      </w:pPr>
      <w:r w:rsidRPr="00AB7BDC">
        <w:t xml:space="preserve">Hepatoblastoma, </w:t>
      </w:r>
      <w:r w:rsidR="00091741" w:rsidRPr="00AB7BDC">
        <w:t>either</w:t>
      </w:r>
      <w:r w:rsidRPr="00AB7BDC">
        <w:t xml:space="preserve"> of the following:</w:t>
      </w:r>
    </w:p>
    <w:p w14:paraId="4D896649" w14:textId="77777777" w:rsidR="007F171B" w:rsidRPr="00AB7BDC" w:rsidRDefault="007F171B" w:rsidP="007F171B">
      <w:pPr>
        <w:numPr>
          <w:ilvl w:val="4"/>
          <w:numId w:val="11"/>
        </w:numPr>
        <w:ind w:left="1800"/>
      </w:pPr>
      <w:r w:rsidRPr="00AB7BDC">
        <w:rPr>
          <w:color w:val="000000"/>
        </w:rPr>
        <w:t>Nonmetastatic and unresectable</w:t>
      </w:r>
      <w:r w:rsidR="00B4542A" w:rsidRPr="00AB7BDC">
        <w:rPr>
          <w:color w:val="000000"/>
        </w:rPr>
        <w:t>;</w:t>
      </w:r>
      <w:r w:rsidR="00C95F4E" w:rsidRPr="00AB7BDC">
        <w:rPr>
          <w:color w:val="000000"/>
        </w:rPr>
        <w:t xml:space="preserve"> </w:t>
      </w:r>
    </w:p>
    <w:p w14:paraId="4D89664A" w14:textId="17BD4743" w:rsidR="00A528EB" w:rsidRPr="00AB7BDC" w:rsidRDefault="003E632E" w:rsidP="00A528EB">
      <w:pPr>
        <w:numPr>
          <w:ilvl w:val="4"/>
          <w:numId w:val="11"/>
        </w:numPr>
        <w:ind w:left="1800"/>
      </w:pPr>
      <w:r w:rsidRPr="00AB7BDC">
        <w:rPr>
          <w:color w:val="000000"/>
        </w:rPr>
        <w:t>At the time of diagnosis or n</w:t>
      </w:r>
      <w:r w:rsidR="007F171B" w:rsidRPr="00AB7BDC">
        <w:rPr>
          <w:color w:val="000000"/>
        </w:rPr>
        <w:t xml:space="preserve">o later than after </w:t>
      </w:r>
      <w:r w:rsidR="00D60793" w:rsidRPr="00AB7BDC">
        <w:rPr>
          <w:color w:val="000000"/>
        </w:rPr>
        <w:t>two</w:t>
      </w:r>
      <w:r w:rsidR="007F171B" w:rsidRPr="00AB7BDC">
        <w:rPr>
          <w:color w:val="000000"/>
        </w:rPr>
        <w:t xml:space="preserve"> rounds of chemotherapy;</w:t>
      </w:r>
    </w:p>
    <w:p w14:paraId="4D89664B" w14:textId="77777777" w:rsidR="00C95F4E" w:rsidRPr="00AB7BDC" w:rsidRDefault="00C95F4E" w:rsidP="00EB6985">
      <w:pPr>
        <w:numPr>
          <w:ilvl w:val="3"/>
          <w:numId w:val="11"/>
        </w:numPr>
        <w:ind w:left="1440"/>
      </w:pPr>
      <w:r w:rsidRPr="00AB7BDC">
        <w:rPr>
          <w:color w:val="000000"/>
        </w:rPr>
        <w:t>Hepatoblastoma with pulmonary metastases, any of the following:</w:t>
      </w:r>
    </w:p>
    <w:p w14:paraId="4D89664C" w14:textId="77777777" w:rsidR="00C95F4E" w:rsidRPr="00AB7BDC" w:rsidRDefault="00C95F4E" w:rsidP="00E918EB">
      <w:pPr>
        <w:numPr>
          <w:ilvl w:val="4"/>
          <w:numId w:val="11"/>
        </w:numPr>
        <w:ind w:left="1800"/>
      </w:pPr>
      <w:r w:rsidRPr="00AB7BDC">
        <w:rPr>
          <w:color w:val="000000"/>
        </w:rPr>
        <w:t xml:space="preserve">Chest CT is clear of metastases following chemotherapy; </w:t>
      </w:r>
    </w:p>
    <w:p w14:paraId="4D89664D" w14:textId="77777777" w:rsidR="00C95F4E" w:rsidRPr="00AB7BDC" w:rsidRDefault="00C95F4E" w:rsidP="00E918EB">
      <w:pPr>
        <w:numPr>
          <w:ilvl w:val="4"/>
          <w:numId w:val="11"/>
        </w:numPr>
        <w:ind w:left="1800"/>
      </w:pPr>
      <w:r w:rsidRPr="00AB7BDC">
        <w:rPr>
          <w:color w:val="000000"/>
        </w:rPr>
        <w:t>A pulmonary wedge resection of the identified tumor reveals margins free of the tumor;</w:t>
      </w:r>
    </w:p>
    <w:p w14:paraId="4D89664E" w14:textId="77777777" w:rsidR="00A528EB" w:rsidRPr="00AB7BDC" w:rsidRDefault="00A528EB" w:rsidP="001B2D96">
      <w:pPr>
        <w:numPr>
          <w:ilvl w:val="3"/>
          <w:numId w:val="11"/>
        </w:numPr>
        <w:ind w:left="1440"/>
      </w:pPr>
      <w:r w:rsidRPr="00AB7BDC">
        <w:t xml:space="preserve">Hepatocellular carcinoma </w:t>
      </w:r>
      <w:r w:rsidR="00EB6985" w:rsidRPr="00AB7BDC">
        <w:t>with no evidence of e</w:t>
      </w:r>
      <w:r w:rsidR="00C95F4E" w:rsidRPr="00AB7BDC">
        <w:t>xtrahepatic disease;</w:t>
      </w:r>
    </w:p>
    <w:p w14:paraId="4D89664F" w14:textId="37BBF5D0" w:rsidR="00A528EB" w:rsidRPr="00AB7BDC" w:rsidRDefault="00075878" w:rsidP="001B2D96">
      <w:pPr>
        <w:numPr>
          <w:ilvl w:val="3"/>
          <w:numId w:val="11"/>
        </w:numPr>
        <w:ind w:left="1440"/>
      </w:pPr>
      <w:r w:rsidRPr="00AB7BDC">
        <w:t>Infantile hemangioma</w:t>
      </w:r>
      <w:r w:rsidR="00A528EB" w:rsidRPr="00AB7BDC">
        <w:t>, any of the following:</w:t>
      </w:r>
    </w:p>
    <w:p w14:paraId="4D896650" w14:textId="50EE15E3" w:rsidR="00A528EB" w:rsidRPr="00AB7BDC" w:rsidRDefault="008D4E48" w:rsidP="001B2D96">
      <w:pPr>
        <w:numPr>
          <w:ilvl w:val="4"/>
          <w:numId w:val="11"/>
        </w:numPr>
        <w:ind w:left="1800"/>
      </w:pPr>
      <w:r w:rsidRPr="00AB7BDC">
        <w:rPr>
          <w:color w:val="000000"/>
        </w:rPr>
        <w:t>The hemangioendothelioma is not responding to</w:t>
      </w:r>
      <w:r w:rsidR="00A528EB" w:rsidRPr="00AB7BDC">
        <w:rPr>
          <w:color w:val="000000"/>
        </w:rPr>
        <w:t xml:space="preserve"> medical therapy;</w:t>
      </w:r>
    </w:p>
    <w:p w14:paraId="4D896651" w14:textId="58CA878B" w:rsidR="00A528EB" w:rsidRPr="00AB7BDC" w:rsidRDefault="004723BA" w:rsidP="001B2D96">
      <w:pPr>
        <w:numPr>
          <w:ilvl w:val="4"/>
          <w:numId w:val="11"/>
        </w:numPr>
        <w:ind w:left="1800"/>
        <w:rPr>
          <w:color w:val="000000"/>
        </w:rPr>
      </w:pPr>
      <w:r w:rsidRPr="00AB7BDC">
        <w:rPr>
          <w:color w:val="000000"/>
        </w:rPr>
        <w:t>The hemangioendothelioma is a</w:t>
      </w:r>
      <w:r w:rsidR="00A528EB" w:rsidRPr="00AB7BDC">
        <w:rPr>
          <w:color w:val="000000"/>
        </w:rPr>
        <w:t>ssociated with life-threatening complications;</w:t>
      </w:r>
    </w:p>
    <w:p w14:paraId="4D896652" w14:textId="67873191" w:rsidR="007F0888" w:rsidRPr="00AB7BDC" w:rsidRDefault="007F0888" w:rsidP="00052316">
      <w:pPr>
        <w:numPr>
          <w:ilvl w:val="2"/>
          <w:numId w:val="11"/>
        </w:numPr>
        <w:ind w:left="1080" w:hanging="360"/>
      </w:pPr>
      <w:r w:rsidRPr="00AB7BDC">
        <w:t xml:space="preserve">Metabolic </w:t>
      </w:r>
      <w:r w:rsidR="006A3B61" w:rsidRPr="00AB7BDC">
        <w:t xml:space="preserve">or </w:t>
      </w:r>
      <w:r w:rsidR="00152100" w:rsidRPr="00AB7BDC">
        <w:t>g</w:t>
      </w:r>
      <w:r w:rsidR="006A3B61" w:rsidRPr="00AB7BDC">
        <w:t xml:space="preserve">enetic </w:t>
      </w:r>
      <w:r w:rsidRPr="00AB7BDC">
        <w:t>disorders</w:t>
      </w:r>
      <w:r w:rsidR="000F46A9" w:rsidRPr="00AB7BDC">
        <w:t>, any of the following:</w:t>
      </w:r>
    </w:p>
    <w:p w14:paraId="4D896653" w14:textId="77777777" w:rsidR="00E34641" w:rsidRPr="00AB7BDC" w:rsidRDefault="00E34641" w:rsidP="00E34641">
      <w:pPr>
        <w:numPr>
          <w:ilvl w:val="3"/>
          <w:numId w:val="11"/>
        </w:numPr>
        <w:ind w:left="1440"/>
      </w:pPr>
      <w:r w:rsidRPr="00AB7BDC">
        <w:t>Alpha-1 antitrypsin deficiency</w:t>
      </w:r>
      <w:r w:rsidR="00091741" w:rsidRPr="00AB7BDC">
        <w:t>;</w:t>
      </w:r>
    </w:p>
    <w:p w14:paraId="4D896654" w14:textId="77777777" w:rsidR="001B2D96" w:rsidRPr="00AB7BDC" w:rsidRDefault="00E34641" w:rsidP="001B2D96">
      <w:pPr>
        <w:numPr>
          <w:ilvl w:val="3"/>
          <w:numId w:val="11"/>
        </w:numPr>
        <w:ind w:left="1440"/>
      </w:pPr>
      <w:r w:rsidRPr="00AB7BDC">
        <w:t>Wilson’s disease</w:t>
      </w:r>
      <w:r w:rsidR="006F17D5" w:rsidRPr="00AB7BDC">
        <w:t>;</w:t>
      </w:r>
    </w:p>
    <w:p w14:paraId="4D896655" w14:textId="77777777" w:rsidR="001B2D96" w:rsidRPr="00AB7BDC" w:rsidRDefault="00C945B0" w:rsidP="001B2D96">
      <w:pPr>
        <w:numPr>
          <w:ilvl w:val="3"/>
          <w:numId w:val="11"/>
        </w:numPr>
        <w:ind w:left="1440"/>
      </w:pPr>
      <w:r w:rsidRPr="00AB7BDC">
        <w:t>Severe u</w:t>
      </w:r>
      <w:r w:rsidR="001B2D96" w:rsidRPr="00AB7BDC">
        <w:t>rea cycle defects</w:t>
      </w:r>
      <w:r w:rsidR="0043533F" w:rsidRPr="00AB7BDC">
        <w:t xml:space="preserve"> in the first year of life</w:t>
      </w:r>
      <w:r w:rsidR="001B2D96" w:rsidRPr="00AB7BDC">
        <w:t>;</w:t>
      </w:r>
    </w:p>
    <w:p w14:paraId="4D896656" w14:textId="0248238B" w:rsidR="001B2D96" w:rsidRPr="00AB7BDC" w:rsidRDefault="001B2D96" w:rsidP="001B2D96">
      <w:pPr>
        <w:numPr>
          <w:ilvl w:val="3"/>
          <w:numId w:val="11"/>
        </w:numPr>
        <w:ind w:left="1440"/>
      </w:pPr>
      <w:r w:rsidRPr="00AB7BDC">
        <w:t>Crigler-Najjar Type I</w:t>
      </w:r>
      <w:r w:rsidR="00F115B8">
        <w:t>;</w:t>
      </w:r>
      <w:r w:rsidR="00EA15D1" w:rsidRPr="00AB7BDC">
        <w:t xml:space="preserve"> </w:t>
      </w:r>
    </w:p>
    <w:p w14:paraId="4D896657" w14:textId="7CE889BB" w:rsidR="00517897" w:rsidRPr="00AB7BDC" w:rsidRDefault="00ED5A99" w:rsidP="00ED5A99">
      <w:pPr>
        <w:numPr>
          <w:ilvl w:val="3"/>
          <w:numId w:val="11"/>
        </w:numPr>
        <w:ind w:left="1440"/>
      </w:pPr>
      <w:r w:rsidRPr="00AB7BDC">
        <w:t>Gestational alloimmune liver disease (</w:t>
      </w:r>
      <w:r w:rsidR="004678C0" w:rsidRPr="00AB7BDC">
        <w:t xml:space="preserve">previously </w:t>
      </w:r>
      <w:r w:rsidRPr="00AB7BDC">
        <w:t>known as n</w:t>
      </w:r>
      <w:r w:rsidR="00517897" w:rsidRPr="00AB7BDC">
        <w:t>eonatal hemochromatosis</w:t>
      </w:r>
      <w:r w:rsidR="00A67BE5" w:rsidRPr="00AB7BDC">
        <w:t>)</w:t>
      </w:r>
      <w:r w:rsidR="00091741" w:rsidRPr="00AB7BDC">
        <w:t>;</w:t>
      </w:r>
    </w:p>
    <w:p w14:paraId="4D896658" w14:textId="77777777" w:rsidR="001B2D96" w:rsidRPr="00AB7BDC" w:rsidRDefault="001B2D96" w:rsidP="001B2D96">
      <w:pPr>
        <w:numPr>
          <w:ilvl w:val="3"/>
          <w:numId w:val="11"/>
        </w:numPr>
        <w:ind w:left="1440"/>
      </w:pPr>
      <w:r w:rsidRPr="00AB7BDC">
        <w:t>Cystic fibrosis with unmanageable complications of portal hypertension;</w:t>
      </w:r>
    </w:p>
    <w:p w14:paraId="4D896659" w14:textId="36C97A4D" w:rsidR="001B2D96" w:rsidRPr="00AB7BDC" w:rsidRDefault="001B2D96" w:rsidP="001B2D96">
      <w:pPr>
        <w:numPr>
          <w:ilvl w:val="3"/>
          <w:numId w:val="11"/>
        </w:numPr>
        <w:ind w:left="1440"/>
      </w:pPr>
      <w:r w:rsidRPr="00AB7BDC">
        <w:t>Multidrug resistance protein</w:t>
      </w:r>
      <w:r w:rsidR="00350226" w:rsidRPr="00AB7BDC">
        <w:t>-</w:t>
      </w:r>
      <w:r w:rsidRPr="00AB7BDC">
        <w:t>3</w:t>
      </w:r>
      <w:r w:rsidR="00350226" w:rsidRPr="00AB7BDC">
        <w:t xml:space="preserve"> (MDR-3)</w:t>
      </w:r>
      <w:r w:rsidRPr="00AB7BDC">
        <w:t xml:space="preserve"> disease that fails to respond to ursodeoxycholic acid;</w:t>
      </w:r>
      <w:r w:rsidR="008808F6" w:rsidRPr="00AB7BDC">
        <w:t xml:space="preserve"> </w:t>
      </w:r>
    </w:p>
    <w:p w14:paraId="02CDD6B1" w14:textId="58AF5627" w:rsidR="00461008" w:rsidRPr="00AB7BDC" w:rsidRDefault="001B2D96" w:rsidP="00DF7B67">
      <w:pPr>
        <w:numPr>
          <w:ilvl w:val="3"/>
          <w:numId w:val="11"/>
        </w:numPr>
        <w:ind w:left="1440"/>
      </w:pPr>
      <w:r w:rsidRPr="00AB7BDC">
        <w:t>Hereditary tyrosinemia type 1</w:t>
      </w:r>
      <w:r w:rsidR="00A904E5" w:rsidRPr="00AB7BDC">
        <w:t>, any of the following:</w:t>
      </w:r>
    </w:p>
    <w:p w14:paraId="538F2A8A" w14:textId="04937449" w:rsidR="00ED456E" w:rsidRPr="00AB7BDC" w:rsidRDefault="00ED456E" w:rsidP="00DA2E3B">
      <w:pPr>
        <w:pStyle w:val="ListParagraph"/>
        <w:numPr>
          <w:ilvl w:val="3"/>
          <w:numId w:val="11"/>
        </w:numPr>
        <w:ind w:left="1800"/>
      </w:pPr>
      <w:r w:rsidRPr="00AB7BDC">
        <w:t xml:space="preserve">Progressive liver disease despite compliance with </w:t>
      </w:r>
      <w:r w:rsidR="005A06FE" w:rsidRPr="00AB7BDC">
        <w:t>NTBC</w:t>
      </w:r>
      <w:r w:rsidR="00C70093" w:rsidRPr="00AB7BDC">
        <w:t>;</w:t>
      </w:r>
    </w:p>
    <w:p w14:paraId="179693CE" w14:textId="1603F1F7" w:rsidR="00C70093" w:rsidRPr="00AB7BDC" w:rsidRDefault="00C70093" w:rsidP="00DA2E3B">
      <w:pPr>
        <w:ind w:left="1800" w:hanging="360"/>
      </w:pPr>
      <w:r w:rsidRPr="00AB7BDC">
        <w:rPr>
          <w:color w:val="000000"/>
        </w:rPr>
        <w:t>i</w:t>
      </w:r>
      <w:r w:rsidR="00CB446D" w:rsidRPr="00AB7BDC">
        <w:rPr>
          <w:color w:val="000000"/>
        </w:rPr>
        <w:t>i</w:t>
      </w:r>
      <w:r w:rsidRPr="00AB7BDC">
        <w:t xml:space="preserve">. </w:t>
      </w:r>
      <w:r w:rsidR="00CB446D" w:rsidRPr="00AB7BDC">
        <w:t xml:space="preserve">  </w:t>
      </w:r>
      <w:r w:rsidR="0017652B" w:rsidRPr="00AB7BDC">
        <w:t>Rising AFP while on NTBC;</w:t>
      </w:r>
    </w:p>
    <w:p w14:paraId="54BE40F3" w14:textId="77777777" w:rsidR="00D74C28" w:rsidRPr="00AB7BDC" w:rsidRDefault="00CB446D" w:rsidP="00DA2E3B">
      <w:pPr>
        <w:tabs>
          <w:tab w:val="left" w:pos="1800"/>
        </w:tabs>
        <w:ind w:left="1800" w:hanging="360"/>
      </w:pPr>
      <w:r w:rsidRPr="00AB7BDC">
        <w:t xml:space="preserve">iii. </w:t>
      </w:r>
      <w:r w:rsidR="0047086C" w:rsidRPr="00AB7BDC">
        <w:t xml:space="preserve"> </w:t>
      </w:r>
      <w:r w:rsidRPr="00AB7BDC">
        <w:t xml:space="preserve">Change in </w:t>
      </w:r>
      <w:r w:rsidR="001810B9" w:rsidRPr="00AB7BDC">
        <w:t>liver imaging</w:t>
      </w:r>
      <w:r w:rsidR="00F02FE3" w:rsidRPr="00AB7BDC">
        <w:t xml:space="preserve"> with a single nodule measuring &gt; 10 mm </w:t>
      </w:r>
      <w:r w:rsidR="004C4605" w:rsidRPr="00AB7BDC">
        <w:t xml:space="preserve">or an </w:t>
      </w:r>
      <w:r w:rsidR="00D74C28" w:rsidRPr="00AB7BDC">
        <w:t xml:space="preserve">          </w:t>
      </w:r>
    </w:p>
    <w:p w14:paraId="306650F2" w14:textId="60A211CA" w:rsidR="00CB446D" w:rsidRPr="00AB7BDC" w:rsidRDefault="00D74C28" w:rsidP="00DA2E3B">
      <w:pPr>
        <w:ind w:left="1800" w:hanging="360"/>
      </w:pPr>
      <w:r w:rsidRPr="00AB7BDC">
        <w:t xml:space="preserve">      increase in the number or size of hepatic nodules;</w:t>
      </w:r>
    </w:p>
    <w:p w14:paraId="68175526" w14:textId="56CF09FB" w:rsidR="0017652B" w:rsidRPr="00AB7BDC" w:rsidRDefault="0047086C" w:rsidP="00DA2E3B">
      <w:pPr>
        <w:ind w:left="1800" w:hanging="360"/>
        <w:rPr>
          <w:color w:val="000000"/>
        </w:rPr>
      </w:pPr>
      <w:r w:rsidRPr="00AB7BDC">
        <w:rPr>
          <w:color w:val="000000"/>
        </w:rPr>
        <w:t>iv</w:t>
      </w:r>
      <w:r w:rsidR="00AC6D6A" w:rsidRPr="00AB7BDC">
        <w:rPr>
          <w:color w:val="000000"/>
        </w:rPr>
        <w:t xml:space="preserve">.  </w:t>
      </w:r>
      <w:r w:rsidR="00A3242C" w:rsidRPr="00AB7BDC">
        <w:rPr>
          <w:color w:val="000000"/>
        </w:rPr>
        <w:t>Management with NTBC and diet cannot</w:t>
      </w:r>
      <w:r w:rsidR="00D74C28" w:rsidRPr="00AB7BDC">
        <w:rPr>
          <w:color w:val="000000"/>
        </w:rPr>
        <w:t xml:space="preserve"> be adequately maintained;</w:t>
      </w:r>
    </w:p>
    <w:p w14:paraId="4D89665B" w14:textId="77777777" w:rsidR="001B2D96" w:rsidRPr="00AB7BDC" w:rsidRDefault="001B2D96" w:rsidP="00DA2E3B">
      <w:pPr>
        <w:numPr>
          <w:ilvl w:val="0"/>
          <w:numId w:val="31"/>
        </w:numPr>
        <w:ind w:left="1440"/>
      </w:pPr>
      <w:r w:rsidRPr="00AB7BDC">
        <w:t>Glycogen storage disease (GSD), any of the following:</w:t>
      </w:r>
    </w:p>
    <w:p w14:paraId="4D89665C" w14:textId="77777777" w:rsidR="00363A2E" w:rsidRPr="00AB7BDC" w:rsidRDefault="00363A2E" w:rsidP="00363A2E">
      <w:pPr>
        <w:numPr>
          <w:ilvl w:val="4"/>
          <w:numId w:val="11"/>
        </w:numPr>
        <w:ind w:left="1800"/>
      </w:pPr>
      <w:r w:rsidRPr="00AB7BDC">
        <w:rPr>
          <w:color w:val="000000"/>
        </w:rPr>
        <w:t>GSD I</w:t>
      </w:r>
      <w:r w:rsidRPr="00AB7BDC">
        <w:t>, any of the following:</w:t>
      </w:r>
    </w:p>
    <w:p w14:paraId="4D89665D" w14:textId="77777777" w:rsidR="00363A2E" w:rsidRPr="00AB7BDC" w:rsidRDefault="00363A2E" w:rsidP="00363A2E">
      <w:pPr>
        <w:numPr>
          <w:ilvl w:val="5"/>
          <w:numId w:val="11"/>
        </w:numPr>
        <w:ind w:left="2160" w:hanging="360"/>
      </w:pPr>
      <w:r w:rsidRPr="00AB7BDC">
        <w:rPr>
          <w:color w:val="000000"/>
        </w:rPr>
        <w:t>Poor metabolic control;</w:t>
      </w:r>
    </w:p>
    <w:p w14:paraId="4D89665E" w14:textId="77777777" w:rsidR="00363A2E" w:rsidRPr="00AB7BDC" w:rsidRDefault="00363A2E" w:rsidP="003465EE">
      <w:pPr>
        <w:numPr>
          <w:ilvl w:val="5"/>
          <w:numId w:val="11"/>
        </w:numPr>
        <w:ind w:left="2160" w:hanging="360"/>
      </w:pPr>
      <w:r w:rsidRPr="00AB7BDC">
        <w:rPr>
          <w:color w:val="000000"/>
        </w:rPr>
        <w:t>Multiple hepatic adenomas</w:t>
      </w:r>
      <w:r w:rsidR="00091741" w:rsidRPr="00AB7BDC">
        <w:rPr>
          <w:color w:val="000000"/>
        </w:rPr>
        <w:t>;</w:t>
      </w:r>
      <w:r w:rsidRPr="00AB7BDC">
        <w:rPr>
          <w:color w:val="000000"/>
        </w:rPr>
        <w:t xml:space="preserve"> </w:t>
      </w:r>
    </w:p>
    <w:p w14:paraId="4D89665F" w14:textId="77777777" w:rsidR="00363A2E" w:rsidRPr="00AB7BDC" w:rsidRDefault="00363A2E" w:rsidP="00363A2E">
      <w:pPr>
        <w:numPr>
          <w:ilvl w:val="5"/>
          <w:numId w:val="11"/>
        </w:numPr>
        <w:ind w:left="2160" w:hanging="360"/>
      </w:pPr>
      <w:r w:rsidRPr="00AB7BDC">
        <w:rPr>
          <w:color w:val="000000"/>
        </w:rPr>
        <w:t xml:space="preserve">Concern for </w:t>
      </w:r>
      <w:r w:rsidRPr="00AB7BDC">
        <w:t>hepatocellular carcinoma;</w:t>
      </w:r>
    </w:p>
    <w:p w14:paraId="4D896660" w14:textId="77777777" w:rsidR="00363A2E" w:rsidRPr="00AB7BDC" w:rsidRDefault="001B2D96" w:rsidP="001B2D96">
      <w:pPr>
        <w:numPr>
          <w:ilvl w:val="4"/>
          <w:numId w:val="11"/>
        </w:numPr>
        <w:ind w:left="1800"/>
      </w:pPr>
      <w:r w:rsidRPr="00AB7BDC">
        <w:rPr>
          <w:color w:val="000000"/>
        </w:rPr>
        <w:t>GSD III</w:t>
      </w:r>
      <w:r w:rsidR="00363A2E" w:rsidRPr="00AB7BDC">
        <w:rPr>
          <w:color w:val="000000"/>
        </w:rPr>
        <w:t xml:space="preserve"> or GSD IV</w:t>
      </w:r>
      <w:r w:rsidR="00363A2E" w:rsidRPr="00AB7BDC">
        <w:t>, any of the following:</w:t>
      </w:r>
    </w:p>
    <w:p w14:paraId="4D896661" w14:textId="77777777" w:rsidR="00363A2E" w:rsidRPr="00AB7BDC" w:rsidRDefault="00363A2E" w:rsidP="00363A2E">
      <w:pPr>
        <w:numPr>
          <w:ilvl w:val="5"/>
          <w:numId w:val="11"/>
        </w:numPr>
        <w:ind w:left="2160" w:hanging="360"/>
      </w:pPr>
      <w:r w:rsidRPr="00AB7BDC">
        <w:rPr>
          <w:color w:val="000000"/>
        </w:rPr>
        <w:t>Poor metabolic control;</w:t>
      </w:r>
    </w:p>
    <w:p w14:paraId="4D896662" w14:textId="77777777" w:rsidR="00363A2E" w:rsidRPr="00AB7BDC" w:rsidRDefault="00363A2E" w:rsidP="00363A2E">
      <w:pPr>
        <w:numPr>
          <w:ilvl w:val="5"/>
          <w:numId w:val="11"/>
        </w:numPr>
        <w:ind w:left="2160" w:hanging="360"/>
      </w:pPr>
      <w:r w:rsidRPr="00AB7BDC">
        <w:rPr>
          <w:color w:val="000000"/>
        </w:rPr>
        <w:t>C</w:t>
      </w:r>
      <w:r w:rsidR="00091741" w:rsidRPr="00AB7BDC">
        <w:rPr>
          <w:color w:val="000000"/>
        </w:rPr>
        <w:t>omplications of cirrhosis;</w:t>
      </w:r>
    </w:p>
    <w:p w14:paraId="4D896663" w14:textId="77777777" w:rsidR="00363A2E" w:rsidRPr="00AB7BDC" w:rsidRDefault="00363A2E" w:rsidP="00363A2E">
      <w:pPr>
        <w:numPr>
          <w:ilvl w:val="5"/>
          <w:numId w:val="11"/>
        </w:numPr>
        <w:ind w:left="2160" w:hanging="360"/>
      </w:pPr>
      <w:r w:rsidRPr="00AB7BDC">
        <w:rPr>
          <w:color w:val="000000"/>
        </w:rPr>
        <w:t>P</w:t>
      </w:r>
      <w:r w:rsidR="00091741" w:rsidRPr="00AB7BDC">
        <w:rPr>
          <w:color w:val="000000"/>
        </w:rPr>
        <w:t>rogressive hepatic failure;</w:t>
      </w:r>
      <w:r w:rsidR="001B2D96" w:rsidRPr="00AB7BDC">
        <w:rPr>
          <w:color w:val="000000"/>
        </w:rPr>
        <w:t xml:space="preserve"> </w:t>
      </w:r>
    </w:p>
    <w:p w14:paraId="4D896664" w14:textId="77777777" w:rsidR="001B2D96" w:rsidRPr="00AB7BDC" w:rsidRDefault="00363A2E" w:rsidP="00363A2E">
      <w:pPr>
        <w:numPr>
          <w:ilvl w:val="5"/>
          <w:numId w:val="11"/>
        </w:numPr>
        <w:ind w:left="2160" w:hanging="360"/>
      </w:pPr>
      <w:r w:rsidRPr="00AB7BDC">
        <w:rPr>
          <w:color w:val="000000"/>
        </w:rPr>
        <w:t>S</w:t>
      </w:r>
      <w:r w:rsidR="006F17D5" w:rsidRPr="00AB7BDC">
        <w:rPr>
          <w:color w:val="000000"/>
        </w:rPr>
        <w:t xml:space="preserve">uspected </w:t>
      </w:r>
      <w:r w:rsidR="001B2D96" w:rsidRPr="00AB7BDC">
        <w:rPr>
          <w:color w:val="000000"/>
        </w:rPr>
        <w:t>liver malignancy;</w:t>
      </w:r>
    </w:p>
    <w:p w14:paraId="4D896665" w14:textId="77777777" w:rsidR="001B2D96" w:rsidRPr="00AB7BDC" w:rsidRDefault="001B2D96" w:rsidP="00DA2E3B">
      <w:pPr>
        <w:numPr>
          <w:ilvl w:val="0"/>
          <w:numId w:val="31"/>
        </w:numPr>
        <w:ind w:left="1440"/>
      </w:pPr>
      <w:r w:rsidRPr="00AB7BDC">
        <w:t>Fatty acid oxidation defects, any of the following:</w:t>
      </w:r>
    </w:p>
    <w:p w14:paraId="4D896666" w14:textId="77777777" w:rsidR="001B2D96" w:rsidRPr="00AB7BDC" w:rsidRDefault="001B2D96" w:rsidP="00DA2E3B">
      <w:pPr>
        <w:numPr>
          <w:ilvl w:val="0"/>
          <w:numId w:val="32"/>
        </w:numPr>
        <w:ind w:left="1800"/>
      </w:pPr>
      <w:r w:rsidRPr="00AB7BDC">
        <w:rPr>
          <w:color w:val="000000"/>
        </w:rPr>
        <w:t>Failed medical therapy;</w:t>
      </w:r>
    </w:p>
    <w:p w14:paraId="4D896667" w14:textId="77777777" w:rsidR="001B2D96" w:rsidRPr="00AB7BDC" w:rsidRDefault="001B2D96" w:rsidP="00DA2E3B">
      <w:pPr>
        <w:numPr>
          <w:ilvl w:val="0"/>
          <w:numId w:val="32"/>
        </w:numPr>
        <w:ind w:left="1800"/>
        <w:rPr>
          <w:color w:val="000000"/>
        </w:rPr>
      </w:pPr>
      <w:r w:rsidRPr="00AB7BDC">
        <w:rPr>
          <w:color w:val="000000"/>
        </w:rPr>
        <w:t>Experience recurrent episodes</w:t>
      </w:r>
      <w:r w:rsidR="00251D83" w:rsidRPr="00AB7BDC">
        <w:rPr>
          <w:color w:val="000000"/>
        </w:rPr>
        <w:t xml:space="preserve"> of complications</w:t>
      </w:r>
      <w:r w:rsidRPr="00AB7BDC">
        <w:rPr>
          <w:color w:val="000000"/>
        </w:rPr>
        <w:t>;</w:t>
      </w:r>
    </w:p>
    <w:p w14:paraId="4D896668" w14:textId="24882E57" w:rsidR="001B2D96" w:rsidRPr="00AB7BDC" w:rsidRDefault="001B2D96" w:rsidP="00DA2E3B">
      <w:pPr>
        <w:numPr>
          <w:ilvl w:val="0"/>
          <w:numId w:val="31"/>
        </w:numPr>
        <w:ind w:left="1440"/>
        <w:rPr>
          <w:color w:val="000000"/>
        </w:rPr>
      </w:pPr>
      <w:r w:rsidRPr="00AB7BDC">
        <w:t>Primary hyperoxaluria type 1</w:t>
      </w:r>
      <w:r w:rsidR="00F115B8">
        <w:t>;</w:t>
      </w:r>
      <w:r w:rsidR="004F09D8" w:rsidRPr="00AB7BDC">
        <w:t xml:space="preserve"> </w:t>
      </w:r>
    </w:p>
    <w:p w14:paraId="4D896669" w14:textId="77777777" w:rsidR="001B2D96" w:rsidRPr="00AB7BDC" w:rsidRDefault="001B2D96" w:rsidP="00DA2E3B">
      <w:pPr>
        <w:numPr>
          <w:ilvl w:val="0"/>
          <w:numId w:val="31"/>
        </w:numPr>
        <w:ind w:left="1440"/>
        <w:rPr>
          <w:color w:val="000000"/>
        </w:rPr>
      </w:pPr>
      <w:r w:rsidRPr="00AB7BDC">
        <w:t xml:space="preserve">Organic </w:t>
      </w:r>
      <w:r w:rsidR="006F17D5" w:rsidRPr="00AB7BDC">
        <w:t>acidemia</w:t>
      </w:r>
      <w:r w:rsidRPr="00AB7BDC">
        <w:t>,</w:t>
      </w:r>
      <w:r w:rsidR="004F09D8" w:rsidRPr="00AB7BDC">
        <w:t xml:space="preserve"> any </w:t>
      </w:r>
      <w:r w:rsidRPr="00AB7BDC">
        <w:t>of the following:</w:t>
      </w:r>
    </w:p>
    <w:p w14:paraId="4D89666A" w14:textId="77777777" w:rsidR="001B2D96" w:rsidRPr="00AB7BDC" w:rsidRDefault="001B2D96" w:rsidP="00DA2E3B">
      <w:pPr>
        <w:numPr>
          <w:ilvl w:val="0"/>
          <w:numId w:val="33"/>
        </w:numPr>
        <w:ind w:left="1800"/>
      </w:pPr>
      <w:r w:rsidRPr="00AB7BDC">
        <w:rPr>
          <w:color w:val="000000"/>
        </w:rPr>
        <w:t>Metabolic decompensation despite conventional therapy;</w:t>
      </w:r>
    </w:p>
    <w:p w14:paraId="4D89666B" w14:textId="76B61078" w:rsidR="001B2D96" w:rsidRPr="00AB7BDC" w:rsidRDefault="001B2D96" w:rsidP="00DA2E3B">
      <w:pPr>
        <w:numPr>
          <w:ilvl w:val="0"/>
          <w:numId w:val="33"/>
        </w:numPr>
        <w:ind w:left="1800"/>
      </w:pPr>
      <w:r w:rsidRPr="00AB7BDC">
        <w:t xml:space="preserve">Uncontrollable </w:t>
      </w:r>
      <w:r w:rsidR="000A3883" w:rsidRPr="00AB7BDC">
        <w:t>hyperammonemia</w:t>
      </w:r>
      <w:r w:rsidRPr="00AB7BDC">
        <w:t>;</w:t>
      </w:r>
      <w:r w:rsidR="00DF0A06" w:rsidRPr="00AB7BDC">
        <w:t xml:space="preserve"> </w:t>
      </w:r>
    </w:p>
    <w:p w14:paraId="4D89666C" w14:textId="77777777" w:rsidR="001B2D96" w:rsidRPr="00AB7BDC" w:rsidRDefault="001B2D96" w:rsidP="00DA2E3B">
      <w:pPr>
        <w:numPr>
          <w:ilvl w:val="0"/>
          <w:numId w:val="33"/>
        </w:numPr>
        <w:ind w:left="1800"/>
      </w:pPr>
      <w:r w:rsidRPr="00AB7BDC">
        <w:lastRenderedPageBreak/>
        <w:t>Restricted growth;</w:t>
      </w:r>
    </w:p>
    <w:p w14:paraId="4D89666D" w14:textId="75A7E2D1" w:rsidR="001B2D96" w:rsidRPr="00AB7BDC" w:rsidRDefault="001B2D96" w:rsidP="00DA2E3B">
      <w:pPr>
        <w:numPr>
          <w:ilvl w:val="0"/>
          <w:numId w:val="33"/>
        </w:numPr>
        <w:ind w:left="1800"/>
      </w:pPr>
      <w:r w:rsidRPr="00AB7BDC">
        <w:t>Severe impairment of health</w:t>
      </w:r>
      <w:r w:rsidR="00B4542A" w:rsidRPr="00AB7BDC">
        <w:t>-</w:t>
      </w:r>
      <w:r w:rsidRPr="00AB7BDC">
        <w:t>related quali</w:t>
      </w:r>
      <w:r w:rsidR="0041473E" w:rsidRPr="00AB7BDC">
        <w:t>t</w:t>
      </w:r>
      <w:r w:rsidRPr="00AB7BDC">
        <w:t>y of life</w:t>
      </w:r>
      <w:r w:rsidR="00B4542A" w:rsidRPr="00AB7BDC">
        <w:t>,</w:t>
      </w:r>
      <w:r w:rsidRPr="00AB7BDC">
        <w:t xml:space="preserve"> despite</w:t>
      </w:r>
      <w:r w:rsidRPr="00AB7BDC">
        <w:rPr>
          <w:color w:val="000000"/>
        </w:rPr>
        <w:t xml:space="preserve"> conventional therapy;</w:t>
      </w:r>
    </w:p>
    <w:p w14:paraId="4D89666E" w14:textId="77777777" w:rsidR="00C945B0" w:rsidRPr="00AB7BDC" w:rsidRDefault="00C945B0" w:rsidP="00DA2E3B">
      <w:pPr>
        <w:numPr>
          <w:ilvl w:val="0"/>
          <w:numId w:val="31"/>
        </w:numPr>
        <w:ind w:left="1440"/>
      </w:pPr>
      <w:r w:rsidRPr="00AB7BDC">
        <w:rPr>
          <w:color w:val="000000"/>
        </w:rPr>
        <w:t>Inborn errors of bile acid synthesis or those refractory to medical therapy</w:t>
      </w:r>
      <w:r w:rsidR="00091741" w:rsidRPr="00AB7BDC">
        <w:rPr>
          <w:color w:val="000000"/>
        </w:rPr>
        <w:t>;</w:t>
      </w:r>
    </w:p>
    <w:p w14:paraId="4D89666F" w14:textId="299F5644" w:rsidR="00E34641" w:rsidRPr="00AB7BDC" w:rsidRDefault="004F09D8" w:rsidP="00E34641">
      <w:pPr>
        <w:numPr>
          <w:ilvl w:val="2"/>
          <w:numId w:val="11"/>
        </w:numPr>
        <w:ind w:left="1080" w:hanging="360"/>
      </w:pPr>
      <w:r w:rsidRPr="00AB7BDC">
        <w:t xml:space="preserve">Fibrotic or </w:t>
      </w:r>
      <w:r w:rsidR="00091741" w:rsidRPr="00AB7BDC">
        <w:t>c</w:t>
      </w:r>
      <w:r w:rsidR="000748F0" w:rsidRPr="00AB7BDC">
        <w:t>irrhotic</w:t>
      </w:r>
      <w:r w:rsidR="00091741" w:rsidRPr="00AB7BDC">
        <w:t xml:space="preserve"> c</w:t>
      </w:r>
      <w:r w:rsidRPr="00AB7BDC">
        <w:t>onditions</w:t>
      </w:r>
      <w:r w:rsidR="00C2404C" w:rsidRPr="00AB7BDC">
        <w:t>, any of the following:</w:t>
      </w:r>
    </w:p>
    <w:p w14:paraId="4D896670" w14:textId="77777777" w:rsidR="004F09D8" w:rsidRPr="00AB7BDC" w:rsidRDefault="004F09D8" w:rsidP="005C5AEE">
      <w:pPr>
        <w:numPr>
          <w:ilvl w:val="3"/>
          <w:numId w:val="11"/>
        </w:numPr>
        <w:ind w:left="1440"/>
      </w:pPr>
      <w:r w:rsidRPr="00AB7BDC">
        <w:rPr>
          <w:color w:val="000000"/>
        </w:rPr>
        <w:t xml:space="preserve">Ductal plate malformations with recurrent cholangitis or </w:t>
      </w:r>
      <w:r w:rsidRPr="00AB7BDC">
        <w:t>complications of portal hypertension</w:t>
      </w:r>
      <w:r w:rsidR="00091741" w:rsidRPr="00AB7BDC">
        <w:t>;</w:t>
      </w:r>
    </w:p>
    <w:p w14:paraId="4D896671" w14:textId="77777777" w:rsidR="000748F0" w:rsidRPr="00AB7BDC" w:rsidRDefault="000748F0" w:rsidP="005C5AEE">
      <w:pPr>
        <w:numPr>
          <w:ilvl w:val="3"/>
          <w:numId w:val="11"/>
        </w:numPr>
        <w:ind w:left="1440"/>
      </w:pPr>
      <w:r w:rsidRPr="00AB7BDC">
        <w:rPr>
          <w:color w:val="000000"/>
        </w:rPr>
        <w:t>Parenteral nutrition</w:t>
      </w:r>
      <w:r w:rsidR="00BD086E" w:rsidRPr="00AB7BDC">
        <w:rPr>
          <w:color w:val="000000"/>
        </w:rPr>
        <w:t>-</w:t>
      </w:r>
      <w:r w:rsidRPr="00AB7BDC">
        <w:rPr>
          <w:color w:val="000000"/>
        </w:rPr>
        <w:t>associated</w:t>
      </w:r>
      <w:r w:rsidR="00BD086E" w:rsidRPr="00AB7BDC">
        <w:rPr>
          <w:color w:val="000000"/>
        </w:rPr>
        <w:t xml:space="preserve"> </w:t>
      </w:r>
      <w:r w:rsidRPr="00AB7BDC">
        <w:rPr>
          <w:color w:val="000000"/>
        </w:rPr>
        <w:t>liver disease with enteral autonomy and complications of cirrhosis</w:t>
      </w:r>
      <w:r w:rsidR="00091741" w:rsidRPr="00AB7BDC">
        <w:rPr>
          <w:color w:val="000000"/>
        </w:rPr>
        <w:t>;</w:t>
      </w:r>
    </w:p>
    <w:p w14:paraId="4D896672" w14:textId="0D8D1B14" w:rsidR="000748F0" w:rsidRPr="00AB7BDC" w:rsidRDefault="000748F0" w:rsidP="00091741">
      <w:pPr>
        <w:numPr>
          <w:ilvl w:val="2"/>
          <w:numId w:val="11"/>
        </w:numPr>
        <w:ind w:left="1080" w:hanging="360"/>
      </w:pPr>
      <w:r w:rsidRPr="00AB7BDC">
        <w:rPr>
          <w:color w:val="000000"/>
        </w:rPr>
        <w:t xml:space="preserve">Miscellaneous </w:t>
      </w:r>
      <w:r w:rsidR="00091741" w:rsidRPr="00AB7BDC">
        <w:rPr>
          <w:color w:val="000000"/>
        </w:rPr>
        <w:t>c</w:t>
      </w:r>
      <w:r w:rsidRPr="00AB7BDC">
        <w:rPr>
          <w:color w:val="000000"/>
        </w:rPr>
        <w:t>onditions</w:t>
      </w:r>
      <w:r w:rsidR="00227898" w:rsidRPr="00AB7BDC">
        <w:rPr>
          <w:color w:val="000000"/>
        </w:rPr>
        <w:t>, any of the following:</w:t>
      </w:r>
      <w:r w:rsidR="00DF0A06" w:rsidRPr="00AB7BDC">
        <w:rPr>
          <w:color w:val="000000"/>
        </w:rPr>
        <w:t xml:space="preserve"> </w:t>
      </w:r>
    </w:p>
    <w:p w14:paraId="4D896673" w14:textId="77777777" w:rsidR="000748F0" w:rsidRPr="00AB7BDC" w:rsidRDefault="000748F0" w:rsidP="000748F0">
      <w:pPr>
        <w:numPr>
          <w:ilvl w:val="3"/>
          <w:numId w:val="11"/>
        </w:numPr>
        <w:ind w:left="1440"/>
      </w:pPr>
      <w:r w:rsidRPr="00AB7BDC">
        <w:rPr>
          <w:color w:val="000000"/>
        </w:rPr>
        <w:t>Non-cirrhotic portal hypertension with cardiopulmonary complications;</w:t>
      </w:r>
    </w:p>
    <w:p w14:paraId="560B6F0E" w14:textId="155B36DF" w:rsidR="008C270E" w:rsidRPr="00AB7BDC" w:rsidRDefault="000748F0" w:rsidP="00FF3109">
      <w:pPr>
        <w:numPr>
          <w:ilvl w:val="3"/>
          <w:numId w:val="11"/>
        </w:numPr>
        <w:ind w:left="1440"/>
      </w:pPr>
      <w:r w:rsidRPr="00AB7BDC">
        <w:rPr>
          <w:color w:val="000000"/>
        </w:rPr>
        <w:t xml:space="preserve">Factor VII </w:t>
      </w:r>
      <w:r w:rsidR="00B4542A" w:rsidRPr="00AB7BDC">
        <w:rPr>
          <w:color w:val="000000"/>
        </w:rPr>
        <w:t>deficiency</w:t>
      </w:r>
      <w:r w:rsidR="00FF3109" w:rsidRPr="00AB7BDC">
        <w:rPr>
          <w:color w:val="000000"/>
        </w:rPr>
        <w:t xml:space="preserve"> with complications from or failure of medical management;</w:t>
      </w:r>
    </w:p>
    <w:p w14:paraId="4D896676" w14:textId="1593E783" w:rsidR="000748F0" w:rsidRPr="00080492" w:rsidRDefault="000748F0" w:rsidP="00080492">
      <w:pPr>
        <w:numPr>
          <w:ilvl w:val="3"/>
          <w:numId w:val="11"/>
        </w:numPr>
        <w:ind w:left="1440"/>
        <w:rPr>
          <w:strike/>
        </w:rPr>
      </w:pPr>
      <w:r w:rsidRPr="00080492">
        <w:t>Protein C deficiency</w:t>
      </w:r>
      <w:r w:rsidR="004560A5" w:rsidRPr="00080492">
        <w:t xml:space="preserve"> with complications from or failure of medical management</w:t>
      </w:r>
      <w:r w:rsidR="00BA5A00" w:rsidRPr="00080492">
        <w:t>;</w:t>
      </w:r>
    </w:p>
    <w:p w14:paraId="0E0522D1" w14:textId="76C1D67D" w:rsidR="001F73F7" w:rsidRPr="00AB7BDC" w:rsidRDefault="001F73F7" w:rsidP="0096018F">
      <w:pPr>
        <w:numPr>
          <w:ilvl w:val="3"/>
          <w:numId w:val="11"/>
        </w:numPr>
        <w:ind w:left="1440"/>
      </w:pPr>
      <w:r w:rsidRPr="00AB7BDC">
        <w:t>Hepatopulmonary syndrome (HPS)</w:t>
      </w:r>
      <w:r w:rsidR="00BC6E5B" w:rsidRPr="00AB7BDC">
        <w:t xml:space="preserve"> </w:t>
      </w:r>
      <w:r w:rsidR="00B32EAB" w:rsidRPr="00AB7BDC">
        <w:t xml:space="preserve">and </w:t>
      </w:r>
      <w:r w:rsidR="005A06FE" w:rsidRPr="00AB7BDC">
        <w:t>any of the following:</w:t>
      </w:r>
    </w:p>
    <w:p w14:paraId="5826EFB8" w14:textId="2AAF63E7" w:rsidR="005A06FE" w:rsidRPr="00AB7BDC" w:rsidRDefault="00412079" w:rsidP="005A06FE">
      <w:pPr>
        <w:numPr>
          <w:ilvl w:val="4"/>
          <w:numId w:val="11"/>
        </w:numPr>
        <w:ind w:left="1800"/>
      </w:pPr>
      <w:r w:rsidRPr="00AB7BDC">
        <w:t>P</w:t>
      </w:r>
      <w:r w:rsidR="00BC6E5B" w:rsidRPr="00AB7BDC">
        <w:t>ortosystemic shunting resulting from either a congenital or acquired vascular anomaly or liver disease (cirrhotic or noncirrhotic);</w:t>
      </w:r>
    </w:p>
    <w:p w14:paraId="2924F0FE" w14:textId="0ED60230" w:rsidR="005A06FE" w:rsidRPr="00AB7BDC" w:rsidRDefault="00BC6E5B" w:rsidP="00202389">
      <w:pPr>
        <w:numPr>
          <w:ilvl w:val="4"/>
          <w:numId w:val="11"/>
        </w:numPr>
        <w:ind w:left="1800"/>
      </w:pPr>
      <w:r w:rsidRPr="00AB7BDC">
        <w:t>Portal hypertension who are not candidates for closure of the shunt;</w:t>
      </w:r>
    </w:p>
    <w:p w14:paraId="4D896677" w14:textId="77777777" w:rsidR="00C26E0E" w:rsidRPr="00AB7BDC" w:rsidRDefault="00C26E0E" w:rsidP="00C26E0E">
      <w:pPr>
        <w:numPr>
          <w:ilvl w:val="1"/>
          <w:numId w:val="11"/>
        </w:numPr>
        <w:tabs>
          <w:tab w:val="left" w:pos="2520"/>
        </w:tabs>
        <w:ind w:left="720"/>
      </w:pPr>
      <w:r w:rsidRPr="00AB7BDC">
        <w:rPr>
          <w:color w:val="000000"/>
        </w:rPr>
        <w:t>Does not have any of the following contraindications:</w:t>
      </w:r>
    </w:p>
    <w:p w14:paraId="4D896678" w14:textId="34DFD0B4" w:rsidR="00C26E0E" w:rsidRPr="00AB7BDC" w:rsidRDefault="003421EE" w:rsidP="00417C54">
      <w:pPr>
        <w:pStyle w:val="ListParagraph"/>
        <w:numPr>
          <w:ilvl w:val="0"/>
          <w:numId w:val="27"/>
        </w:numPr>
        <w:ind w:left="1080"/>
      </w:pPr>
      <w:r w:rsidRPr="00AB7BDC">
        <w:t>Active</w:t>
      </w:r>
      <w:r w:rsidR="00C26E0E" w:rsidRPr="00AB7BDC">
        <w:t xml:space="preserve"> infection with highly virulent and/or resistant microbes that are poorly controlled pre-transplant;</w:t>
      </w:r>
    </w:p>
    <w:p w14:paraId="14F5BDB2" w14:textId="1CF127DD" w:rsidR="000F6FC8" w:rsidRPr="00AB7BDC" w:rsidRDefault="000F6FC8" w:rsidP="00417C54">
      <w:pPr>
        <w:pStyle w:val="ListParagraph"/>
        <w:numPr>
          <w:ilvl w:val="0"/>
          <w:numId w:val="27"/>
        </w:numPr>
        <w:ind w:left="1080"/>
      </w:pPr>
      <w:r w:rsidRPr="00AB7BDC">
        <w:t>HIV infection with detectable viral load</w:t>
      </w:r>
      <w:r w:rsidR="006379F5" w:rsidRPr="00AB7BDC">
        <w:t>, unless all of the following are documented:</w:t>
      </w:r>
    </w:p>
    <w:p w14:paraId="68685250" w14:textId="7D198A52" w:rsidR="006379F5" w:rsidRPr="00AB7BDC" w:rsidRDefault="006379F5" w:rsidP="000D5C56">
      <w:pPr>
        <w:pStyle w:val="ListParagraph"/>
        <w:numPr>
          <w:ilvl w:val="1"/>
          <w:numId w:val="27"/>
        </w:numPr>
        <w:ind w:left="1350" w:hanging="270"/>
      </w:pPr>
      <w:r w:rsidRPr="00AB7BDC">
        <w:t xml:space="preserve"> CD4 cell count</w:t>
      </w:r>
      <w:r w:rsidR="006C29BD" w:rsidRPr="00AB7BDC">
        <w:t xml:space="preserve"> &gt; 200 cells/mm3;</w:t>
      </w:r>
    </w:p>
    <w:p w14:paraId="27D141D4" w14:textId="3BEA9615" w:rsidR="006C29BD" w:rsidRPr="00AB7BDC" w:rsidRDefault="006C29BD" w:rsidP="000D5C56">
      <w:pPr>
        <w:pStyle w:val="ListParagraph"/>
        <w:numPr>
          <w:ilvl w:val="1"/>
          <w:numId w:val="27"/>
        </w:numPr>
        <w:ind w:left="1440"/>
      </w:pPr>
      <w:r w:rsidRPr="00AB7BDC">
        <w:t>Absence of active AIDS-defining opportunistic infection;</w:t>
      </w:r>
    </w:p>
    <w:p w14:paraId="2A209820" w14:textId="460725AC" w:rsidR="006C29BD" w:rsidRPr="00AB7BDC" w:rsidRDefault="009E0FB0" w:rsidP="000D5C56">
      <w:pPr>
        <w:pStyle w:val="ListParagraph"/>
        <w:numPr>
          <w:ilvl w:val="1"/>
          <w:numId w:val="27"/>
        </w:numPr>
        <w:ind w:left="1350" w:hanging="270"/>
      </w:pPr>
      <w:r w:rsidRPr="00AB7BDC">
        <w:t xml:space="preserve"> Member/enrollee is currently on effective ART (antiretroviral therapy);</w:t>
      </w:r>
    </w:p>
    <w:p w14:paraId="0CE7F195" w14:textId="35C3613D" w:rsidR="00EA362F" w:rsidRPr="00AB7BDC" w:rsidRDefault="00FF3109" w:rsidP="00417C54">
      <w:pPr>
        <w:pStyle w:val="ListParagraph"/>
        <w:numPr>
          <w:ilvl w:val="0"/>
          <w:numId w:val="27"/>
        </w:numPr>
        <w:ind w:left="1080"/>
      </w:pPr>
      <w:r w:rsidRPr="00AB7BDC">
        <w:t>M</w:t>
      </w:r>
      <w:r w:rsidR="00714336" w:rsidRPr="00AB7BDC">
        <w:t>alignancy</w:t>
      </w:r>
      <w:r w:rsidR="00EA362F" w:rsidRPr="00AB7BDC">
        <w:t xml:space="preserve"> with high risk of recurrence or death related to cancer</w:t>
      </w:r>
      <w:r w:rsidRPr="00AB7BDC">
        <w:t xml:space="preserve"> (excluding malignancies that transplant could sufficiently address, as noted in I.B.4)</w:t>
      </w:r>
      <w:r w:rsidR="00EA362F" w:rsidRPr="00AB7BDC">
        <w:t>;</w:t>
      </w:r>
    </w:p>
    <w:p w14:paraId="12CA0EF2" w14:textId="0A58E3E4" w:rsidR="00EA362F" w:rsidRPr="00AB7BDC" w:rsidRDefault="00EA362F" w:rsidP="00417C54">
      <w:pPr>
        <w:pStyle w:val="ListParagraph"/>
        <w:numPr>
          <w:ilvl w:val="0"/>
          <w:numId w:val="27"/>
        </w:numPr>
        <w:tabs>
          <w:tab w:val="left" w:pos="2520"/>
        </w:tabs>
        <w:ind w:left="1080"/>
      </w:pPr>
      <w:r w:rsidRPr="00AB7BDC">
        <w:t>Glomerular filtration rate &lt;</w:t>
      </w:r>
      <w:r w:rsidR="00A77F43" w:rsidRPr="00A77F43">
        <w:rPr>
          <w:color w:val="FF0000"/>
        </w:rPr>
        <w:t xml:space="preserve"> </w:t>
      </w:r>
      <w:r w:rsidR="00AF4D1D" w:rsidRPr="00A77F43">
        <w:t>30</w:t>
      </w:r>
      <w:r w:rsidR="00AF4D1D" w:rsidRPr="00AB7BDC">
        <w:rPr>
          <w:color w:val="FF0000"/>
        </w:rPr>
        <w:t xml:space="preserve"> </w:t>
      </w:r>
      <w:r w:rsidRPr="00AB7BDC">
        <w:t>mL/min/1.73m</w:t>
      </w:r>
      <w:r w:rsidRPr="00AB7BDC">
        <w:rPr>
          <w:vertAlign w:val="superscript"/>
        </w:rPr>
        <w:t>2</w:t>
      </w:r>
      <w:r w:rsidRPr="00AB7BDC">
        <w:t xml:space="preserve"> unless being considered for multi-organ transplant</w:t>
      </w:r>
      <w:r w:rsidR="00566F36" w:rsidRPr="00AB7BDC">
        <w:t>;</w:t>
      </w:r>
    </w:p>
    <w:p w14:paraId="0ED7A0A4" w14:textId="43EC86B2" w:rsidR="00EA362F" w:rsidRPr="00AB7BDC" w:rsidRDefault="00EA362F" w:rsidP="00417C54">
      <w:pPr>
        <w:pStyle w:val="ListParagraph"/>
        <w:numPr>
          <w:ilvl w:val="0"/>
          <w:numId w:val="27"/>
        </w:numPr>
        <w:autoSpaceDE w:val="0"/>
        <w:autoSpaceDN w:val="0"/>
        <w:ind w:left="1080" w:right="663"/>
      </w:pPr>
      <w:r w:rsidRPr="00AB7BDC">
        <w:t>Stroke, acute coronary syndrome, or myocardial infarction (excluding demand ischemia) within 30 days;</w:t>
      </w:r>
    </w:p>
    <w:p w14:paraId="4D89667A" w14:textId="77777777" w:rsidR="00AD70E2" w:rsidRPr="00AB7BDC" w:rsidRDefault="00AD70E2" w:rsidP="00417C54">
      <w:pPr>
        <w:pStyle w:val="ListParagraph"/>
        <w:numPr>
          <w:ilvl w:val="0"/>
          <w:numId w:val="27"/>
        </w:numPr>
        <w:tabs>
          <w:tab w:val="left" w:pos="2520"/>
        </w:tabs>
        <w:ind w:left="1080"/>
      </w:pPr>
      <w:r w:rsidRPr="00AB7BDC">
        <w:rPr>
          <w:bCs/>
          <w:color w:val="000000"/>
        </w:rPr>
        <w:t>Severe</w:t>
      </w:r>
      <w:r w:rsidR="004F09D8" w:rsidRPr="00AB7BDC">
        <w:rPr>
          <w:bCs/>
          <w:color w:val="000000"/>
        </w:rPr>
        <w:t>, life threatening extrahepatic multi</w:t>
      </w:r>
      <w:r w:rsidR="00B4542A" w:rsidRPr="00AB7BDC">
        <w:rPr>
          <w:bCs/>
          <w:color w:val="000000"/>
        </w:rPr>
        <w:t>-</w:t>
      </w:r>
      <w:r w:rsidR="004F09D8" w:rsidRPr="00AB7BDC">
        <w:rPr>
          <w:bCs/>
          <w:color w:val="000000"/>
        </w:rPr>
        <w:t>organ</w:t>
      </w:r>
      <w:r w:rsidRPr="00AB7BDC">
        <w:rPr>
          <w:bCs/>
          <w:color w:val="000000"/>
        </w:rPr>
        <w:t xml:space="preserve"> mitochondrial di</w:t>
      </w:r>
      <w:r w:rsidR="003D601F" w:rsidRPr="00AB7BDC">
        <w:rPr>
          <w:bCs/>
          <w:color w:val="000000"/>
        </w:rPr>
        <w:t>s</w:t>
      </w:r>
      <w:r w:rsidRPr="00AB7BDC">
        <w:rPr>
          <w:bCs/>
          <w:color w:val="000000"/>
        </w:rPr>
        <w:t>ease</w:t>
      </w:r>
      <w:r w:rsidR="006F17D5" w:rsidRPr="00AB7BDC">
        <w:rPr>
          <w:bCs/>
          <w:color w:val="000000"/>
        </w:rPr>
        <w:t>;</w:t>
      </w:r>
    </w:p>
    <w:p w14:paraId="4D89667B" w14:textId="285C5B7D" w:rsidR="00363A2E" w:rsidRPr="00AB7BDC" w:rsidRDefault="00363A2E" w:rsidP="00417C54">
      <w:pPr>
        <w:pStyle w:val="ListParagraph"/>
        <w:numPr>
          <w:ilvl w:val="0"/>
          <w:numId w:val="27"/>
        </w:numPr>
        <w:tabs>
          <w:tab w:val="left" w:pos="2520"/>
        </w:tabs>
        <w:ind w:left="1080"/>
      </w:pPr>
      <w:r w:rsidRPr="00AB7BDC">
        <w:rPr>
          <w:bCs/>
          <w:color w:val="000000"/>
        </w:rPr>
        <w:t>Alpers syndrome</w:t>
      </w:r>
      <w:r w:rsidR="00B4542A" w:rsidRPr="00AB7BDC">
        <w:rPr>
          <w:bCs/>
          <w:color w:val="000000"/>
        </w:rPr>
        <w:t>;</w:t>
      </w:r>
    </w:p>
    <w:p w14:paraId="4D89667C" w14:textId="639F8A58" w:rsidR="00150D41" w:rsidRPr="00AB7BDC" w:rsidRDefault="004F09D8" w:rsidP="00417C54">
      <w:pPr>
        <w:pStyle w:val="ListParagraph"/>
        <w:numPr>
          <w:ilvl w:val="0"/>
          <w:numId w:val="27"/>
        </w:numPr>
        <w:tabs>
          <w:tab w:val="left" w:pos="2520"/>
        </w:tabs>
        <w:ind w:left="1080"/>
      </w:pPr>
      <w:r w:rsidRPr="00AB7BDC">
        <w:rPr>
          <w:bCs/>
          <w:color w:val="000000"/>
        </w:rPr>
        <w:t>Valproate</w:t>
      </w:r>
      <w:r w:rsidR="00B4542A" w:rsidRPr="00AB7BDC">
        <w:rPr>
          <w:bCs/>
          <w:color w:val="000000"/>
        </w:rPr>
        <w:t>-</w:t>
      </w:r>
      <w:r w:rsidR="00150D41" w:rsidRPr="00AB7BDC">
        <w:rPr>
          <w:bCs/>
          <w:color w:val="000000"/>
        </w:rPr>
        <w:t>associated liver failure</w:t>
      </w:r>
      <w:r w:rsidR="006F17D5" w:rsidRPr="00AB7BDC">
        <w:rPr>
          <w:bCs/>
          <w:color w:val="000000"/>
        </w:rPr>
        <w:t>;</w:t>
      </w:r>
      <w:r w:rsidR="00A66751" w:rsidRPr="00AB7BDC">
        <w:rPr>
          <w:bCs/>
          <w:color w:val="000000"/>
        </w:rPr>
        <w:t xml:space="preserve"> </w:t>
      </w:r>
    </w:p>
    <w:p w14:paraId="4D89667D" w14:textId="77777777" w:rsidR="003D601F" w:rsidRPr="00AB7BDC" w:rsidRDefault="003D601F" w:rsidP="00417C54">
      <w:pPr>
        <w:pStyle w:val="ListParagraph"/>
        <w:numPr>
          <w:ilvl w:val="0"/>
          <w:numId w:val="27"/>
        </w:numPr>
        <w:tabs>
          <w:tab w:val="left" w:pos="2520"/>
        </w:tabs>
        <w:ind w:left="1080"/>
      </w:pPr>
      <w:r w:rsidRPr="00AB7BDC">
        <w:rPr>
          <w:bCs/>
          <w:color w:val="000000"/>
        </w:rPr>
        <w:t>Severe portopulmonary hypertension that is not responsive to medical therapy</w:t>
      </w:r>
      <w:r w:rsidR="00B4542A" w:rsidRPr="00AB7BDC">
        <w:rPr>
          <w:bCs/>
          <w:color w:val="000000"/>
        </w:rPr>
        <w:t>;</w:t>
      </w:r>
    </w:p>
    <w:p w14:paraId="4D89667E" w14:textId="77777777" w:rsidR="00AD70E2" w:rsidRPr="00AB7BDC" w:rsidRDefault="003D601F" w:rsidP="00417C54">
      <w:pPr>
        <w:pStyle w:val="ListParagraph"/>
        <w:numPr>
          <w:ilvl w:val="0"/>
          <w:numId w:val="27"/>
        </w:numPr>
        <w:tabs>
          <w:tab w:val="left" w:pos="2520"/>
        </w:tabs>
        <w:ind w:left="1080"/>
      </w:pPr>
      <w:r w:rsidRPr="00AB7BDC">
        <w:t>Niemann-Pick disease type C</w:t>
      </w:r>
      <w:r w:rsidR="006F17D5" w:rsidRPr="00AB7BDC">
        <w:t>;</w:t>
      </w:r>
    </w:p>
    <w:p w14:paraId="4D89667F" w14:textId="42AE4F44" w:rsidR="000748F0" w:rsidRPr="00AB7BDC" w:rsidRDefault="000748F0" w:rsidP="00417C54">
      <w:pPr>
        <w:pStyle w:val="ListParagraph"/>
        <w:numPr>
          <w:ilvl w:val="0"/>
          <w:numId w:val="27"/>
        </w:numPr>
        <w:tabs>
          <w:tab w:val="left" w:pos="2520"/>
        </w:tabs>
        <w:ind w:left="1080"/>
      </w:pPr>
      <w:r w:rsidRPr="00AB7BDC">
        <w:t>Hemophagocytic lymphohistiocytosis presenting acute liver failure</w:t>
      </w:r>
      <w:r w:rsidR="00B4542A" w:rsidRPr="00AB7BDC">
        <w:t>;</w:t>
      </w:r>
    </w:p>
    <w:p w14:paraId="31FA9598" w14:textId="2BFB6C65" w:rsidR="00566F36" w:rsidRPr="001B7347" w:rsidRDefault="00566F36" w:rsidP="00417C54">
      <w:pPr>
        <w:pStyle w:val="ListParagraph"/>
        <w:numPr>
          <w:ilvl w:val="0"/>
          <w:numId w:val="27"/>
        </w:numPr>
        <w:tabs>
          <w:tab w:val="left" w:pos="2520"/>
        </w:tabs>
        <w:ind w:left="1080"/>
      </w:pPr>
      <w:r w:rsidRPr="001B7347">
        <w:t>Acute renal failure with rising creatinine or on dialysis and low likelihood of recovery;</w:t>
      </w:r>
    </w:p>
    <w:p w14:paraId="7549B3D2" w14:textId="69F66130" w:rsidR="00566F36" w:rsidRPr="001B7347" w:rsidRDefault="00566F36" w:rsidP="00417C54">
      <w:pPr>
        <w:pStyle w:val="ListParagraph"/>
        <w:numPr>
          <w:ilvl w:val="0"/>
          <w:numId w:val="27"/>
        </w:numPr>
        <w:tabs>
          <w:tab w:val="left" w:pos="1440"/>
          <w:tab w:val="left" w:pos="2520"/>
        </w:tabs>
        <w:ind w:left="1080"/>
      </w:pPr>
      <w:r w:rsidRPr="001B7347">
        <w:t>Septic shock;</w:t>
      </w:r>
    </w:p>
    <w:p w14:paraId="75C6AEBC" w14:textId="71C46184" w:rsidR="00566F36" w:rsidRPr="001B7347" w:rsidRDefault="00566F36" w:rsidP="00417C54">
      <w:pPr>
        <w:pStyle w:val="ListParagraph"/>
        <w:numPr>
          <w:ilvl w:val="0"/>
          <w:numId w:val="27"/>
        </w:numPr>
        <w:tabs>
          <w:tab w:val="left" w:pos="1440"/>
          <w:tab w:val="left" w:pos="2520"/>
        </w:tabs>
        <w:ind w:left="1080"/>
        <w:rPr>
          <w:color w:val="000000"/>
        </w:rPr>
      </w:pPr>
      <w:r w:rsidRPr="001B7347">
        <w:rPr>
          <w:color w:val="000000"/>
        </w:rPr>
        <w:t>Progressive cognitive impairment;</w:t>
      </w:r>
    </w:p>
    <w:p w14:paraId="3A5A8CFF" w14:textId="15DDFBA4" w:rsidR="00566F36" w:rsidRPr="001B7347" w:rsidRDefault="00566F36" w:rsidP="00417C54">
      <w:pPr>
        <w:pStyle w:val="ListParagraph"/>
        <w:numPr>
          <w:ilvl w:val="0"/>
          <w:numId w:val="27"/>
        </w:numPr>
        <w:tabs>
          <w:tab w:val="left" w:pos="1440"/>
          <w:tab w:val="left" w:pos="2520"/>
        </w:tabs>
        <w:ind w:left="1080"/>
      </w:pPr>
      <w:r w:rsidRPr="001B7347">
        <w:t>Other severe uncontrolled medical condition expected to limit survival after transplant;</w:t>
      </w:r>
    </w:p>
    <w:p w14:paraId="493B3F49" w14:textId="71BC5AF0" w:rsidR="003D49A0" w:rsidRPr="001E5E5B" w:rsidRDefault="003D49A0" w:rsidP="00417C54">
      <w:pPr>
        <w:pStyle w:val="ListParagraph"/>
        <w:numPr>
          <w:ilvl w:val="0"/>
          <w:numId w:val="27"/>
        </w:numPr>
        <w:tabs>
          <w:tab w:val="left" w:pos="1080"/>
          <w:tab w:val="left" w:pos="2520"/>
        </w:tabs>
        <w:ind w:left="1080"/>
      </w:pPr>
      <w:r w:rsidRPr="001E5E5B">
        <w:t>Inability to adhere to the regimen necessary to preserve the transplant, even with caregiver support;</w:t>
      </w:r>
    </w:p>
    <w:p w14:paraId="4D896683" w14:textId="5A2F0C18" w:rsidR="00C26E0E" w:rsidRDefault="00C26E0E" w:rsidP="00417C54">
      <w:pPr>
        <w:pStyle w:val="ListParagraph"/>
        <w:numPr>
          <w:ilvl w:val="0"/>
          <w:numId w:val="27"/>
        </w:numPr>
        <w:ind w:left="1080"/>
      </w:pPr>
      <w:r>
        <w:t>Absence of an adequate or reliable social support system</w:t>
      </w:r>
      <w:r w:rsidR="003D49A0">
        <w:t>;</w:t>
      </w:r>
    </w:p>
    <w:p w14:paraId="51EFDFDB" w14:textId="4ADF65F0" w:rsidR="00566F36" w:rsidRPr="00417C54" w:rsidRDefault="00566F36" w:rsidP="00417C54">
      <w:pPr>
        <w:pStyle w:val="ListParagraph"/>
        <w:numPr>
          <w:ilvl w:val="0"/>
          <w:numId w:val="27"/>
        </w:numPr>
        <w:ind w:left="1080"/>
      </w:pPr>
      <w:r w:rsidRPr="00417C54">
        <w:rPr>
          <w:bCs/>
          <w:color w:val="000000"/>
        </w:rPr>
        <w:lastRenderedPageBreak/>
        <w:t xml:space="preserve">Active substance use or dependence including current tobacco use, </w:t>
      </w:r>
      <w:r w:rsidRPr="00566F36">
        <w:rPr>
          <w:bCs/>
          <w:color w:val="000000"/>
        </w:rPr>
        <w:t xml:space="preserve">vaping, marijuana </w:t>
      </w:r>
      <w:r w:rsidR="0015186F" w:rsidRPr="0015186F">
        <w:rPr>
          <w:bCs/>
          <w:color w:val="000000"/>
        </w:rPr>
        <w:t>use (unless prescribed by a licensed practitioner)</w:t>
      </w:r>
      <w:r w:rsidRPr="00566F36">
        <w:rPr>
          <w:bCs/>
          <w:color w:val="000000"/>
        </w:rPr>
        <w:t>, or IV drug use without convincing evidence of risk reduction behavior</w:t>
      </w:r>
      <w:r w:rsidRPr="00417C54">
        <w:rPr>
          <w:bCs/>
          <w:color w:val="000000"/>
        </w:rPr>
        <w:t xml:space="preserve">s, </w:t>
      </w:r>
      <w:r w:rsidR="00127F67" w:rsidRPr="00127F67">
        <w:rPr>
          <w:bCs/>
          <w:color w:val="000000"/>
        </w:rPr>
        <w:t>(unless urgent transplant timelines are present, in which case a commitment to reducing behaviors is acceptable)</w:t>
      </w:r>
      <w:r w:rsidRPr="00417C54">
        <w:rPr>
          <w:bCs/>
          <w:color w:val="000000"/>
        </w:rPr>
        <w:t>. Serial blood and urine testing may be used to verify abstinence from substances that are of concern.</w:t>
      </w:r>
      <w:r w:rsidRPr="00417C54" w:rsidDel="00566F36">
        <w:rPr>
          <w:bCs/>
          <w:color w:val="000000"/>
        </w:rPr>
        <w:t xml:space="preserve"> </w:t>
      </w:r>
    </w:p>
    <w:p w14:paraId="6274B45E" w14:textId="77777777" w:rsidR="00566F36" w:rsidRDefault="00566F36" w:rsidP="00EC64B2"/>
    <w:p w14:paraId="4D896685" w14:textId="77777777" w:rsidR="00FB0592" w:rsidRDefault="00FB0592" w:rsidP="00FB0592">
      <w:pPr>
        <w:pStyle w:val="Heading2"/>
        <w:rPr>
          <w:u w:val="none"/>
        </w:rPr>
      </w:pPr>
      <w:r w:rsidRPr="00B777AF">
        <w:rPr>
          <w:u w:val="none"/>
        </w:rPr>
        <w:t>Background</w:t>
      </w:r>
    </w:p>
    <w:p w14:paraId="4D896686" w14:textId="2D7710D0" w:rsidR="00AD2AC6" w:rsidRDefault="00067B0A">
      <w:pPr>
        <w:rPr>
          <w:bCs/>
        </w:rPr>
      </w:pPr>
      <w:r>
        <w:rPr>
          <w:bCs/>
        </w:rPr>
        <w:t xml:space="preserve">Liver transplantation is an effective </w:t>
      </w:r>
      <w:r w:rsidR="00E86BE6">
        <w:rPr>
          <w:bCs/>
        </w:rPr>
        <w:t>therapeutic</w:t>
      </w:r>
      <w:r>
        <w:rPr>
          <w:bCs/>
        </w:rPr>
        <w:t xml:space="preserve"> option for </w:t>
      </w:r>
      <w:r w:rsidR="00E86BE6">
        <w:rPr>
          <w:bCs/>
        </w:rPr>
        <w:t xml:space="preserve">an assortment of acute and chronic hepatic disorders that lead to end stage liver disease in the pediatric population. According to the practice guideline of the American Association for the Study of Liver Diseases (AASLD), pediatric liver </w:t>
      </w:r>
      <w:r w:rsidR="00AE589B">
        <w:rPr>
          <w:bCs/>
        </w:rPr>
        <w:t>transplants</w:t>
      </w:r>
      <w:r w:rsidR="00E86BE6">
        <w:rPr>
          <w:bCs/>
        </w:rPr>
        <w:t xml:space="preserve"> account </w:t>
      </w:r>
      <w:r w:rsidR="00E86BE6" w:rsidRPr="00F14205">
        <w:rPr>
          <w:bCs/>
        </w:rPr>
        <w:t>for ~7</w:t>
      </w:r>
      <w:r w:rsidR="00E86BE6">
        <w:rPr>
          <w:bCs/>
        </w:rPr>
        <w:t>.8% of all liver transplants in the United States.</w:t>
      </w:r>
      <w:r w:rsidR="00E86BE6" w:rsidRPr="00E86BE6">
        <w:rPr>
          <w:bCs/>
          <w:vertAlign w:val="superscript"/>
        </w:rPr>
        <w:t>1</w:t>
      </w:r>
      <w:r w:rsidR="00E86BE6">
        <w:rPr>
          <w:bCs/>
        </w:rPr>
        <w:t xml:space="preserve"> </w:t>
      </w:r>
      <w:r w:rsidR="00AE589B">
        <w:rPr>
          <w:bCs/>
        </w:rPr>
        <w:t>The evaluation of children for liver transplants should include a multidisciplinary team of specialists that achieve psychosocial, neurocognitive, and developmental needs as well as the complex clinical necessities of these patients.</w:t>
      </w:r>
    </w:p>
    <w:p w14:paraId="4D896687" w14:textId="77777777" w:rsidR="00AE589B" w:rsidRDefault="00AE589B">
      <w:pPr>
        <w:rPr>
          <w:bCs/>
        </w:rPr>
      </w:pPr>
    </w:p>
    <w:p w14:paraId="4D896688" w14:textId="7340EE52" w:rsidR="00AE589B" w:rsidRPr="00067B0A" w:rsidRDefault="00AE589B">
      <w:pPr>
        <w:rPr>
          <w:bCs/>
        </w:rPr>
      </w:pPr>
      <w:r>
        <w:rPr>
          <w:bCs/>
        </w:rPr>
        <w:t xml:space="preserve">For adult liver transplants (and children ≥ 12 years of age), the Model for </w:t>
      </w:r>
      <w:r w:rsidR="00207409">
        <w:rPr>
          <w:bCs/>
        </w:rPr>
        <w:t>End</w:t>
      </w:r>
      <w:r w:rsidR="005104B1">
        <w:rPr>
          <w:bCs/>
        </w:rPr>
        <w:t>-</w:t>
      </w:r>
      <w:r w:rsidR="00207409">
        <w:rPr>
          <w:bCs/>
        </w:rPr>
        <w:t>stage</w:t>
      </w:r>
      <w:r>
        <w:rPr>
          <w:bCs/>
        </w:rPr>
        <w:t xml:space="preserve"> Liver Disease (MELD) formula is commonly utilized to determine assess organ allocation for liver candidates. The Pediatric </w:t>
      </w:r>
      <w:r w:rsidR="00207409">
        <w:rPr>
          <w:bCs/>
        </w:rPr>
        <w:t>End</w:t>
      </w:r>
      <w:r w:rsidR="005104B1">
        <w:rPr>
          <w:bCs/>
        </w:rPr>
        <w:t>-</w:t>
      </w:r>
      <w:r w:rsidR="00207409">
        <w:rPr>
          <w:bCs/>
        </w:rPr>
        <w:t>stage</w:t>
      </w:r>
      <w:r>
        <w:rPr>
          <w:bCs/>
        </w:rPr>
        <w:t xml:space="preserve"> Liver Disease (PELD) score was analogously developed for children &lt; 12 years of age</w:t>
      </w:r>
      <w:r w:rsidR="001C71E9">
        <w:rPr>
          <w:bCs/>
        </w:rPr>
        <w:t xml:space="preserve"> and utilizes total serum bilirubin</w:t>
      </w:r>
      <w:r w:rsidR="000D2E46">
        <w:rPr>
          <w:bCs/>
        </w:rPr>
        <w:t>,</w:t>
      </w:r>
      <w:r w:rsidR="001C71E9">
        <w:rPr>
          <w:bCs/>
        </w:rPr>
        <w:t xml:space="preserve"> INR, height, </w:t>
      </w:r>
      <w:r w:rsidR="00EC64B2">
        <w:rPr>
          <w:bCs/>
        </w:rPr>
        <w:t>weight,</w:t>
      </w:r>
      <w:r w:rsidR="001C71E9">
        <w:rPr>
          <w:bCs/>
        </w:rPr>
        <w:t xml:space="preserve"> and albumin; however</w:t>
      </w:r>
      <w:r w:rsidR="005620FB">
        <w:rPr>
          <w:bCs/>
        </w:rPr>
        <w:t>,</w:t>
      </w:r>
      <w:r w:rsidR="001C71E9">
        <w:rPr>
          <w:bCs/>
        </w:rPr>
        <w:t xml:space="preserve"> this scoring system is not ubiquitously utilized.</w:t>
      </w:r>
      <w:r w:rsidR="001C71E9" w:rsidRPr="001C71E9">
        <w:rPr>
          <w:bCs/>
          <w:vertAlign w:val="superscript"/>
        </w:rPr>
        <w:t>1</w:t>
      </w:r>
    </w:p>
    <w:p w14:paraId="4D896689" w14:textId="77777777" w:rsidR="00067B0A" w:rsidRDefault="00067B0A">
      <w:pPr>
        <w:rPr>
          <w:b/>
          <w:bCs/>
        </w:rPr>
      </w:pPr>
    </w:p>
    <w:p w14:paraId="620CDBAC" w14:textId="53802E92" w:rsidR="00081CAB" w:rsidRDefault="000E5927" w:rsidP="00170B14">
      <w:pPr>
        <w:rPr>
          <w:b/>
        </w:rPr>
      </w:pPr>
      <w:r>
        <w:rPr>
          <w:bCs/>
        </w:rPr>
        <w:t xml:space="preserve">Common indications for pediatric liver transplants are acute liver failure, biliary atresia and other cholestatic diseases, metabolic diseases, immune disorders, and hepatic malignancies. A recent multicenter analysis of </w:t>
      </w:r>
      <w:r w:rsidR="00EC64B2">
        <w:rPr>
          <w:bCs/>
        </w:rPr>
        <w:t>five-year</w:t>
      </w:r>
      <w:r>
        <w:rPr>
          <w:bCs/>
        </w:rPr>
        <w:t xml:space="preserve"> survival of 461 children revealed</w:t>
      </w:r>
      <w:r w:rsidR="00E80161">
        <w:rPr>
          <w:bCs/>
        </w:rPr>
        <w:t xml:space="preserve"> an </w:t>
      </w:r>
      <w:r w:rsidR="001C4A57">
        <w:rPr>
          <w:bCs/>
        </w:rPr>
        <w:t>8</w:t>
      </w:r>
      <w:r w:rsidR="00E80161">
        <w:rPr>
          <w:bCs/>
        </w:rPr>
        <w:t>8%</w:t>
      </w:r>
      <w:r>
        <w:rPr>
          <w:bCs/>
        </w:rPr>
        <w:t xml:space="preserve"> survival rate </w:t>
      </w:r>
      <w:r w:rsidR="00E80161">
        <w:rPr>
          <w:bCs/>
        </w:rPr>
        <w:t>for the first year</w:t>
      </w:r>
      <w:r w:rsidRPr="001C4A57">
        <w:rPr>
          <w:bCs/>
        </w:rPr>
        <w:t>.</w:t>
      </w:r>
      <w:r w:rsidRPr="001C4A57">
        <w:rPr>
          <w:bCs/>
          <w:vertAlign w:val="superscript"/>
        </w:rPr>
        <w:t>5</w:t>
      </w:r>
      <w:r w:rsidR="00814601">
        <w:rPr>
          <w:bCs/>
          <w:vertAlign w:val="superscript"/>
        </w:rPr>
        <w:t xml:space="preserve"> </w:t>
      </w:r>
      <w:r w:rsidR="003E7C1F">
        <w:rPr>
          <w:bCs/>
        </w:rPr>
        <w:t xml:space="preserve">The majority of these children also show strong graft function at </w:t>
      </w:r>
      <w:r w:rsidR="00B14D70">
        <w:rPr>
          <w:bCs/>
        </w:rPr>
        <w:t>five</w:t>
      </w:r>
      <w:r w:rsidR="003E7C1F">
        <w:rPr>
          <w:bCs/>
        </w:rPr>
        <w:t xml:space="preserve"> years, but there are multiple chronic post-transplantation complications in extrahepatic organs.</w:t>
      </w:r>
      <w:r w:rsidR="003E7C1F">
        <w:rPr>
          <w:bCs/>
          <w:vertAlign w:val="superscript"/>
        </w:rPr>
        <w:t>5</w:t>
      </w:r>
      <w:bookmarkStart w:id="0" w:name="Coding_Implications"/>
    </w:p>
    <w:p w14:paraId="052D9DBB" w14:textId="77777777" w:rsidR="00081CAB" w:rsidRDefault="00081CAB" w:rsidP="00170B14">
      <w:pPr>
        <w:rPr>
          <w:b/>
        </w:rPr>
      </w:pPr>
    </w:p>
    <w:p w14:paraId="4D89668C" w14:textId="35D69C0E" w:rsidR="00170B14" w:rsidRPr="00B777AF" w:rsidRDefault="00170B14" w:rsidP="00170B14">
      <w:pPr>
        <w:rPr>
          <w:b/>
        </w:rPr>
      </w:pPr>
      <w:r w:rsidRPr="00B777AF">
        <w:rPr>
          <w:b/>
        </w:rPr>
        <w:t>Coding Implications</w:t>
      </w:r>
    </w:p>
    <w:bookmarkEnd w:id="0"/>
    <w:p w14:paraId="4D89668D" w14:textId="129B4288"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184B07" w:rsidRPr="00507DC0">
        <w:t>20</w:t>
      </w:r>
      <w:r w:rsidR="00184B07">
        <w:t>24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4D89668E" w14:textId="77777777" w:rsidR="00AF5490" w:rsidRPr="00A85489" w:rsidRDefault="00AF5490" w:rsidP="00AF5490"/>
    <w:tbl>
      <w:tblPr>
        <w:tblStyle w:val="TableGrid"/>
        <w:tblW w:w="4772" w:type="pct"/>
        <w:tblLook w:val="0020" w:firstRow="1" w:lastRow="0" w:firstColumn="0" w:lastColumn="0" w:noHBand="0" w:noVBand="0"/>
      </w:tblPr>
      <w:tblGrid>
        <w:gridCol w:w="1106"/>
        <w:gridCol w:w="7818"/>
      </w:tblGrid>
      <w:tr w:rsidR="00B777AF" w:rsidRPr="00B777AF" w14:paraId="4D896691" w14:textId="77777777" w:rsidTr="00B92DF1">
        <w:trPr>
          <w:tblHeader/>
        </w:trPr>
        <w:tc>
          <w:tcPr>
            <w:tcW w:w="1138" w:type="dxa"/>
            <w:shd w:val="clear" w:color="auto" w:fill="00548C"/>
          </w:tcPr>
          <w:p w14:paraId="4D89668F" w14:textId="77777777" w:rsidR="00D36448" w:rsidRPr="00B777AF" w:rsidRDefault="00D36448" w:rsidP="00C10DF0">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8510" w:type="dxa"/>
            <w:shd w:val="clear" w:color="auto" w:fill="00548C"/>
          </w:tcPr>
          <w:p w14:paraId="4D896690" w14:textId="77777777" w:rsidR="00D36448" w:rsidRPr="00B777AF" w:rsidRDefault="00D36448" w:rsidP="00C10DF0">
            <w:pPr>
              <w:rPr>
                <w:b/>
                <w:bCs/>
                <w:color w:val="FFFFFF" w:themeColor="background1"/>
              </w:rPr>
            </w:pPr>
            <w:r w:rsidRPr="00B777AF">
              <w:rPr>
                <w:b/>
                <w:color w:val="FFFFFF" w:themeColor="background1"/>
              </w:rPr>
              <w:t>Description</w:t>
            </w:r>
          </w:p>
        </w:tc>
      </w:tr>
      <w:tr w:rsidR="00076246" w:rsidRPr="005144C0" w14:paraId="4D896694" w14:textId="77777777" w:rsidTr="00480C09">
        <w:tc>
          <w:tcPr>
            <w:tcW w:w="1138" w:type="dxa"/>
          </w:tcPr>
          <w:p w14:paraId="4D896692" w14:textId="77777777" w:rsidR="00076246" w:rsidRDefault="00076246" w:rsidP="00C10DF0">
            <w:pPr>
              <w:rPr>
                <w:bCs/>
              </w:rPr>
            </w:pPr>
            <w:r>
              <w:rPr>
                <w:bCs/>
              </w:rPr>
              <w:t>47133</w:t>
            </w:r>
          </w:p>
        </w:tc>
        <w:tc>
          <w:tcPr>
            <w:tcW w:w="8510" w:type="dxa"/>
          </w:tcPr>
          <w:p w14:paraId="4D896693" w14:textId="77777777" w:rsidR="00076246" w:rsidRPr="005144C0" w:rsidRDefault="00076246" w:rsidP="00C10DF0">
            <w:pPr>
              <w:rPr>
                <w:bCs/>
              </w:rPr>
            </w:pPr>
            <w:r w:rsidRPr="00076246">
              <w:rPr>
                <w:bCs/>
              </w:rPr>
              <w:t>Donor hepatectomy (including cold preservation), from cadaver donor</w:t>
            </w:r>
          </w:p>
        </w:tc>
      </w:tr>
      <w:tr w:rsidR="00D36448" w:rsidRPr="005144C0" w14:paraId="4D896697" w14:textId="77777777" w:rsidTr="00480C09">
        <w:tc>
          <w:tcPr>
            <w:tcW w:w="1138" w:type="dxa"/>
          </w:tcPr>
          <w:p w14:paraId="4D896695" w14:textId="77777777" w:rsidR="00D36448" w:rsidRPr="005144C0" w:rsidRDefault="007E73D5" w:rsidP="00C10DF0">
            <w:pPr>
              <w:rPr>
                <w:bCs/>
              </w:rPr>
            </w:pPr>
            <w:r>
              <w:rPr>
                <w:bCs/>
              </w:rPr>
              <w:t>47135</w:t>
            </w:r>
          </w:p>
        </w:tc>
        <w:tc>
          <w:tcPr>
            <w:tcW w:w="8510" w:type="dxa"/>
          </w:tcPr>
          <w:p w14:paraId="4D896696" w14:textId="77777777" w:rsidR="00D36448" w:rsidRPr="005144C0" w:rsidRDefault="00076246" w:rsidP="00C10DF0">
            <w:pPr>
              <w:rPr>
                <w:bCs/>
              </w:rPr>
            </w:pPr>
            <w:r w:rsidRPr="00076246">
              <w:rPr>
                <w:bCs/>
              </w:rPr>
              <w:t>Liver allotransplantation, orthotopic, partial or whole, from cadaver or living donor, any age</w:t>
            </w:r>
          </w:p>
        </w:tc>
      </w:tr>
      <w:tr w:rsidR="00076246" w:rsidRPr="005144C0" w14:paraId="4D89669A" w14:textId="77777777" w:rsidTr="00480C09">
        <w:tc>
          <w:tcPr>
            <w:tcW w:w="1138" w:type="dxa"/>
          </w:tcPr>
          <w:p w14:paraId="4D896698" w14:textId="77777777" w:rsidR="00076246" w:rsidRDefault="00076246" w:rsidP="00C10DF0">
            <w:pPr>
              <w:rPr>
                <w:bCs/>
              </w:rPr>
            </w:pPr>
            <w:r>
              <w:rPr>
                <w:bCs/>
              </w:rPr>
              <w:t>47140</w:t>
            </w:r>
          </w:p>
        </w:tc>
        <w:tc>
          <w:tcPr>
            <w:tcW w:w="8510" w:type="dxa"/>
          </w:tcPr>
          <w:p w14:paraId="4D896699" w14:textId="77777777" w:rsidR="00076246" w:rsidRPr="00076246" w:rsidRDefault="00076246" w:rsidP="00C10DF0">
            <w:pPr>
              <w:rPr>
                <w:bCs/>
              </w:rPr>
            </w:pPr>
            <w:r w:rsidRPr="00076246">
              <w:rPr>
                <w:bCs/>
              </w:rPr>
              <w:t>Donor hepatectomy (including cold preservation), from living donor; left lateral segment only (segments II and III)</w:t>
            </w:r>
          </w:p>
        </w:tc>
      </w:tr>
      <w:tr w:rsidR="00076246" w:rsidRPr="005144C0" w14:paraId="4D89669D" w14:textId="77777777" w:rsidTr="00480C09">
        <w:tc>
          <w:tcPr>
            <w:tcW w:w="1138" w:type="dxa"/>
          </w:tcPr>
          <w:p w14:paraId="4D89669B" w14:textId="77777777" w:rsidR="00076246" w:rsidRDefault="005427C7" w:rsidP="00C10DF0">
            <w:pPr>
              <w:rPr>
                <w:bCs/>
              </w:rPr>
            </w:pPr>
            <w:r>
              <w:rPr>
                <w:bCs/>
              </w:rPr>
              <w:t>47141</w:t>
            </w:r>
          </w:p>
        </w:tc>
        <w:tc>
          <w:tcPr>
            <w:tcW w:w="8510" w:type="dxa"/>
          </w:tcPr>
          <w:p w14:paraId="4D89669C" w14:textId="77777777" w:rsidR="00076246" w:rsidRPr="00076246" w:rsidRDefault="005427C7" w:rsidP="00C10DF0">
            <w:pPr>
              <w:rPr>
                <w:bCs/>
              </w:rPr>
            </w:pPr>
            <w:r w:rsidRPr="005427C7">
              <w:rPr>
                <w:bCs/>
              </w:rPr>
              <w:t>Donor hepatectomy (including cold preservation), from living donor; total left lobectomy (segments II, III and IV)</w:t>
            </w:r>
          </w:p>
        </w:tc>
      </w:tr>
      <w:tr w:rsidR="005427C7" w:rsidRPr="005144C0" w14:paraId="4D8966A0" w14:textId="77777777" w:rsidTr="00480C09">
        <w:tc>
          <w:tcPr>
            <w:tcW w:w="1138" w:type="dxa"/>
          </w:tcPr>
          <w:p w14:paraId="4D89669E" w14:textId="77777777" w:rsidR="005427C7" w:rsidRDefault="005427C7" w:rsidP="00C10DF0">
            <w:pPr>
              <w:rPr>
                <w:bCs/>
              </w:rPr>
            </w:pPr>
            <w:r>
              <w:rPr>
                <w:bCs/>
              </w:rPr>
              <w:lastRenderedPageBreak/>
              <w:t>47142</w:t>
            </w:r>
          </w:p>
        </w:tc>
        <w:tc>
          <w:tcPr>
            <w:tcW w:w="8510" w:type="dxa"/>
          </w:tcPr>
          <w:p w14:paraId="4D89669F" w14:textId="77777777" w:rsidR="005427C7" w:rsidRPr="005427C7" w:rsidRDefault="005427C7" w:rsidP="00C10DF0">
            <w:pPr>
              <w:rPr>
                <w:bCs/>
              </w:rPr>
            </w:pPr>
            <w:r w:rsidRPr="005427C7">
              <w:rPr>
                <w:bCs/>
              </w:rPr>
              <w:t>Donor hepatectomy (including cold preservation), from living donor; total right lobectomy (segments V, VI, VII and VIII)</w:t>
            </w:r>
          </w:p>
        </w:tc>
      </w:tr>
      <w:tr w:rsidR="005427C7" w:rsidRPr="005144C0" w14:paraId="4D8966A3" w14:textId="77777777" w:rsidTr="00480C09">
        <w:tc>
          <w:tcPr>
            <w:tcW w:w="1138" w:type="dxa"/>
          </w:tcPr>
          <w:p w14:paraId="4D8966A1" w14:textId="77777777" w:rsidR="005427C7" w:rsidRDefault="005427C7" w:rsidP="00C10DF0">
            <w:pPr>
              <w:rPr>
                <w:bCs/>
              </w:rPr>
            </w:pPr>
            <w:r>
              <w:rPr>
                <w:bCs/>
              </w:rPr>
              <w:t>47143</w:t>
            </w:r>
          </w:p>
        </w:tc>
        <w:tc>
          <w:tcPr>
            <w:tcW w:w="8510" w:type="dxa"/>
          </w:tcPr>
          <w:p w14:paraId="4D8966A2" w14:textId="77777777" w:rsidR="005427C7" w:rsidRPr="005427C7" w:rsidRDefault="005427C7" w:rsidP="00C10DF0">
            <w:pPr>
              <w:rPr>
                <w:bCs/>
              </w:rPr>
            </w:pPr>
            <w:r w:rsidRPr="005427C7">
              <w:rPr>
                <w:bCs/>
              </w:rPr>
              <w:t>Backbench standard preparation of cadaver donor whole liver graft prior to allotransplantation, including cholecystectomy, if necessary, and dissection and removal of surrounding soft tissues to prepare the vena cava, portal vein, hepatic artery, and common bile duct for implantation; without trisegment or lobe split</w:t>
            </w:r>
          </w:p>
        </w:tc>
      </w:tr>
      <w:tr w:rsidR="005427C7" w:rsidRPr="005144C0" w14:paraId="4D8966A6" w14:textId="77777777" w:rsidTr="00480C09">
        <w:tc>
          <w:tcPr>
            <w:tcW w:w="1138" w:type="dxa"/>
          </w:tcPr>
          <w:p w14:paraId="4D8966A4" w14:textId="77777777" w:rsidR="005427C7" w:rsidRDefault="005427C7" w:rsidP="00C10DF0">
            <w:pPr>
              <w:rPr>
                <w:bCs/>
              </w:rPr>
            </w:pPr>
            <w:r>
              <w:rPr>
                <w:bCs/>
              </w:rPr>
              <w:t>47144</w:t>
            </w:r>
          </w:p>
        </w:tc>
        <w:tc>
          <w:tcPr>
            <w:tcW w:w="8510" w:type="dxa"/>
          </w:tcPr>
          <w:p w14:paraId="4D8966A5" w14:textId="77777777" w:rsidR="005427C7" w:rsidRPr="005427C7" w:rsidRDefault="005427C7" w:rsidP="00C10DF0">
            <w:pPr>
              <w:rPr>
                <w:bCs/>
              </w:rPr>
            </w:pPr>
            <w:r w:rsidRPr="005427C7">
              <w:rPr>
                <w:bCs/>
              </w:rPr>
              <w:t>Backbench standard preparation of cadaver donor whole liver graft prior to allotransplantation, including cholecystectomy, if necessary, and dissection and removal of surrounding soft tissues to prepare the vena cava, portal vein, hepatic artery, and common bile duct for implantation; with trisegment split of whole liver graft into 2 partial liver grafts (ie, left lateral segment [segments II and III] and right trisegment [segments I and IV through VIII])</w:t>
            </w:r>
          </w:p>
        </w:tc>
      </w:tr>
      <w:tr w:rsidR="005427C7" w:rsidRPr="005144C0" w14:paraId="4D8966A9" w14:textId="77777777" w:rsidTr="00480C09">
        <w:tc>
          <w:tcPr>
            <w:tcW w:w="1138" w:type="dxa"/>
          </w:tcPr>
          <w:p w14:paraId="4D8966A7" w14:textId="77777777" w:rsidR="005427C7" w:rsidRDefault="005427C7" w:rsidP="00C10DF0">
            <w:pPr>
              <w:rPr>
                <w:bCs/>
              </w:rPr>
            </w:pPr>
            <w:r>
              <w:rPr>
                <w:bCs/>
              </w:rPr>
              <w:t>47145</w:t>
            </w:r>
          </w:p>
        </w:tc>
        <w:tc>
          <w:tcPr>
            <w:tcW w:w="8510" w:type="dxa"/>
          </w:tcPr>
          <w:p w14:paraId="4D8966A8" w14:textId="77777777" w:rsidR="005427C7" w:rsidRPr="005427C7" w:rsidRDefault="005427C7" w:rsidP="00C10DF0">
            <w:pPr>
              <w:rPr>
                <w:bCs/>
              </w:rPr>
            </w:pPr>
            <w:r w:rsidRPr="005427C7">
              <w:rPr>
                <w:bCs/>
              </w:rPr>
              <w:t>Backbench standard preparation of cadaver donor whole liver graft prior to allotransplantation, including cholecystectomy, if necessary, and dissection and removal of surrounding soft tissues to prepare the vena cava, portal vein, hepatic artery, and common bile duct for implantation; with lobe split of whole liver graft into 2 partial liver grafts (ie, left lobe [segments II, III, and IV] and right lobe [segments I and V through VIII])</w:t>
            </w:r>
          </w:p>
        </w:tc>
      </w:tr>
      <w:tr w:rsidR="005427C7" w:rsidRPr="005144C0" w14:paraId="4D8966AC" w14:textId="77777777" w:rsidTr="00480C09">
        <w:tc>
          <w:tcPr>
            <w:tcW w:w="1138" w:type="dxa"/>
          </w:tcPr>
          <w:p w14:paraId="4D8966AA" w14:textId="77777777" w:rsidR="005427C7" w:rsidRDefault="005427C7" w:rsidP="00C10DF0">
            <w:pPr>
              <w:rPr>
                <w:bCs/>
              </w:rPr>
            </w:pPr>
            <w:r>
              <w:rPr>
                <w:bCs/>
              </w:rPr>
              <w:t>47146</w:t>
            </w:r>
          </w:p>
        </w:tc>
        <w:tc>
          <w:tcPr>
            <w:tcW w:w="8510" w:type="dxa"/>
          </w:tcPr>
          <w:p w14:paraId="4D8966AB" w14:textId="77777777" w:rsidR="005427C7" w:rsidRPr="005427C7" w:rsidRDefault="005427C7" w:rsidP="00C10DF0">
            <w:pPr>
              <w:rPr>
                <w:bCs/>
              </w:rPr>
            </w:pPr>
            <w:r w:rsidRPr="005427C7">
              <w:rPr>
                <w:bCs/>
              </w:rPr>
              <w:t>Backbench reconstruction of cadaver or living donor liver graft prior to allotransplantation; venous anastomosis, each</w:t>
            </w:r>
          </w:p>
        </w:tc>
      </w:tr>
      <w:tr w:rsidR="005427C7" w:rsidRPr="005144C0" w14:paraId="4D8966AF" w14:textId="77777777" w:rsidTr="00480C09">
        <w:tc>
          <w:tcPr>
            <w:tcW w:w="1138" w:type="dxa"/>
          </w:tcPr>
          <w:p w14:paraId="4D8966AD" w14:textId="77777777" w:rsidR="005427C7" w:rsidRDefault="005427C7" w:rsidP="00C10DF0">
            <w:pPr>
              <w:rPr>
                <w:bCs/>
              </w:rPr>
            </w:pPr>
            <w:r>
              <w:rPr>
                <w:bCs/>
              </w:rPr>
              <w:t>47147</w:t>
            </w:r>
          </w:p>
        </w:tc>
        <w:tc>
          <w:tcPr>
            <w:tcW w:w="8510" w:type="dxa"/>
          </w:tcPr>
          <w:p w14:paraId="4D8966AE" w14:textId="77777777" w:rsidR="005427C7" w:rsidRPr="005427C7" w:rsidRDefault="005427C7" w:rsidP="00C10DF0">
            <w:pPr>
              <w:rPr>
                <w:bCs/>
              </w:rPr>
            </w:pPr>
            <w:r w:rsidRPr="005427C7">
              <w:rPr>
                <w:bCs/>
              </w:rPr>
              <w:t>Backbench reconstruction of cadaver or living donor liver graft prior to allotransplantation; arterial anastomosis, each</w:t>
            </w:r>
          </w:p>
        </w:tc>
      </w:tr>
    </w:tbl>
    <w:p w14:paraId="4D8966B0" w14:textId="77777777" w:rsidR="00AF5490" w:rsidRDefault="00AF5490" w:rsidP="00AF5490"/>
    <w:tbl>
      <w:tblPr>
        <w:tblStyle w:val="TableGrid"/>
        <w:tblW w:w="4772" w:type="pct"/>
        <w:tblLook w:val="0020" w:firstRow="1" w:lastRow="0" w:firstColumn="0" w:lastColumn="0" w:noHBand="0" w:noVBand="0"/>
      </w:tblPr>
      <w:tblGrid>
        <w:gridCol w:w="1126"/>
        <w:gridCol w:w="7798"/>
      </w:tblGrid>
      <w:tr w:rsidR="003F3D44" w:rsidRPr="00B777AF" w14:paraId="4D8966B3" w14:textId="77777777" w:rsidTr="007D00AD">
        <w:trPr>
          <w:cantSplit/>
          <w:tblHeader/>
        </w:trPr>
        <w:tc>
          <w:tcPr>
            <w:tcW w:w="1138" w:type="dxa"/>
            <w:shd w:val="clear" w:color="auto" w:fill="00548C"/>
          </w:tcPr>
          <w:p w14:paraId="4D8966B1" w14:textId="77777777" w:rsidR="003F3D44" w:rsidRPr="00B777AF" w:rsidRDefault="003F3D44" w:rsidP="00556CBA">
            <w:pPr>
              <w:rPr>
                <w:b/>
                <w:bCs/>
                <w:color w:val="FFFFFF" w:themeColor="background1"/>
              </w:rPr>
            </w:pPr>
            <w:r>
              <w:rPr>
                <w:b/>
                <w:color w:val="FFFFFF" w:themeColor="background1"/>
              </w:rPr>
              <w:t>HCPCS</w:t>
            </w:r>
            <w:r w:rsidRPr="00B777AF">
              <w:rPr>
                <w:b/>
                <w:color w:val="FFFFFF" w:themeColor="background1"/>
              </w:rPr>
              <w:t xml:space="preserve"> Codes </w:t>
            </w:r>
          </w:p>
        </w:tc>
        <w:tc>
          <w:tcPr>
            <w:tcW w:w="8510" w:type="dxa"/>
            <w:shd w:val="clear" w:color="auto" w:fill="00548C"/>
          </w:tcPr>
          <w:p w14:paraId="4D8966B2" w14:textId="77777777" w:rsidR="003F3D44" w:rsidRPr="00B777AF" w:rsidRDefault="003F3D44" w:rsidP="00556CBA">
            <w:pPr>
              <w:rPr>
                <w:b/>
                <w:bCs/>
                <w:color w:val="FFFFFF" w:themeColor="background1"/>
              </w:rPr>
            </w:pPr>
            <w:r w:rsidRPr="00B777AF">
              <w:rPr>
                <w:b/>
                <w:color w:val="FFFFFF" w:themeColor="background1"/>
              </w:rPr>
              <w:t>Description</w:t>
            </w:r>
          </w:p>
        </w:tc>
      </w:tr>
      <w:tr w:rsidR="003F3D44" w:rsidRPr="005144C0" w14:paraId="4D8966B6" w14:textId="77777777" w:rsidTr="007D00AD">
        <w:trPr>
          <w:cantSplit/>
        </w:trPr>
        <w:tc>
          <w:tcPr>
            <w:tcW w:w="1138" w:type="dxa"/>
          </w:tcPr>
          <w:p w14:paraId="4D8966B4" w14:textId="77777777" w:rsidR="003F3D44" w:rsidRPr="005144C0" w:rsidRDefault="00076246" w:rsidP="00556CBA">
            <w:pPr>
              <w:rPr>
                <w:bCs/>
              </w:rPr>
            </w:pPr>
            <w:r>
              <w:rPr>
                <w:bCs/>
              </w:rPr>
              <w:t>S2152</w:t>
            </w:r>
          </w:p>
        </w:tc>
        <w:tc>
          <w:tcPr>
            <w:tcW w:w="8510" w:type="dxa"/>
          </w:tcPr>
          <w:p w14:paraId="4D8966B5" w14:textId="1B5C0870" w:rsidR="003F3D44" w:rsidRPr="005144C0" w:rsidRDefault="005427C7" w:rsidP="00556CBA">
            <w:pPr>
              <w:rPr>
                <w:bCs/>
              </w:rPr>
            </w:pPr>
            <w:r w:rsidRPr="005427C7">
              <w:rPr>
                <w:bCs/>
              </w:rPr>
              <w:t xml:space="preserve">Solid organ(s), complete or segmental, single organ or combination of organs; deceased or living donor (s), procurement, transplantation, and related complications; </w:t>
            </w:r>
            <w:r w:rsidR="00357D0E" w:rsidRPr="005427C7">
              <w:rPr>
                <w:bCs/>
              </w:rPr>
              <w:t>including</w:t>
            </w:r>
            <w:r w:rsidRPr="005427C7">
              <w:rPr>
                <w:bCs/>
              </w:rPr>
              <w:t xml:space="preserve"> drugs; supplies; hospitalization with outpatient follow-up; medical/surgical, diagnostic, emergency, and rehabilitative services, and the number of days of pre and posttransplant care in the global definition</w:t>
            </w:r>
          </w:p>
        </w:tc>
      </w:tr>
    </w:tbl>
    <w:p w14:paraId="4D896719"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370"/>
        <w:gridCol w:w="1018"/>
        <w:gridCol w:w="1260"/>
      </w:tblGrid>
      <w:tr w:rsidR="00B777AF" w:rsidRPr="00B777AF" w14:paraId="4D89671D" w14:textId="77777777" w:rsidTr="00AF43A8">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370" w:type="dxa"/>
            <w:tcBorders>
              <w:left w:val="none" w:sz="0" w:space="0" w:color="auto"/>
              <w:right w:val="none" w:sz="0" w:space="0" w:color="auto"/>
            </w:tcBorders>
            <w:shd w:val="clear" w:color="auto" w:fill="00548C"/>
          </w:tcPr>
          <w:p w14:paraId="4D89671A" w14:textId="77777777" w:rsidR="00B777AF" w:rsidRPr="00B777AF" w:rsidRDefault="00B777AF" w:rsidP="00B777AF">
            <w:pPr>
              <w:rPr>
                <w:bCs w:val="0"/>
              </w:rPr>
            </w:pPr>
            <w:bookmarkStart w:id="1" w:name="Revision_Log"/>
            <w:r w:rsidRPr="00B777AF">
              <w:rPr>
                <w:bCs w:val="0"/>
              </w:rPr>
              <w:t>Reviews</w:t>
            </w:r>
            <w:r>
              <w:rPr>
                <w:bCs w:val="0"/>
              </w:rPr>
              <w:t>, Revisions, and Approvals</w:t>
            </w:r>
            <w:bookmarkEnd w:id="1"/>
          </w:p>
        </w:tc>
        <w:tc>
          <w:tcPr>
            <w:tcW w:w="1018" w:type="dxa"/>
            <w:shd w:val="clear" w:color="auto" w:fill="00548C"/>
          </w:tcPr>
          <w:p w14:paraId="4BFE4A5F" w14:textId="6AC0A52B" w:rsidR="00AF43A8" w:rsidRDefault="00AF43A8"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Review</w:t>
            </w:r>
          </w:p>
          <w:p w14:paraId="4D89671B" w14:textId="37B8EA38"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4D89671C"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4D896721" w14:textId="77777777" w:rsidTr="00AF43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0" w:type="dxa"/>
            <w:tcBorders>
              <w:top w:val="none" w:sz="0" w:space="0" w:color="auto"/>
              <w:left w:val="none" w:sz="0" w:space="0" w:color="auto"/>
              <w:bottom w:val="none" w:sz="0" w:space="0" w:color="auto"/>
              <w:right w:val="none" w:sz="0" w:space="0" w:color="auto"/>
            </w:tcBorders>
          </w:tcPr>
          <w:p w14:paraId="4D89671E" w14:textId="77777777" w:rsidR="00B777AF" w:rsidRDefault="00601FFC" w:rsidP="008F2A00">
            <w:pPr>
              <w:tabs>
                <w:tab w:val="num" w:pos="720"/>
              </w:tabs>
            </w:pPr>
            <w:r>
              <w:t>Policy developed</w:t>
            </w:r>
          </w:p>
        </w:tc>
        <w:tc>
          <w:tcPr>
            <w:tcW w:w="1018" w:type="dxa"/>
            <w:tcBorders>
              <w:top w:val="none" w:sz="0" w:space="0" w:color="auto"/>
              <w:bottom w:val="none" w:sz="0" w:space="0" w:color="auto"/>
            </w:tcBorders>
          </w:tcPr>
          <w:p w14:paraId="4D89671F" w14:textId="77777777" w:rsidR="00B777AF" w:rsidRDefault="00601FFC" w:rsidP="005776FD">
            <w:pPr>
              <w:jc w:val="center"/>
              <w:cnfStyle w:val="000000100000" w:firstRow="0" w:lastRow="0" w:firstColumn="0" w:lastColumn="0" w:oddVBand="0" w:evenVBand="0" w:oddHBand="1" w:evenHBand="0" w:firstRowFirstColumn="0" w:firstRowLastColumn="0" w:lastRowFirstColumn="0" w:lastRowLastColumn="0"/>
            </w:pPr>
            <w:r>
              <w:t>02/18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D896720" w14:textId="77777777" w:rsidR="00B777AF" w:rsidRDefault="00B4542A" w:rsidP="00857C10">
            <w:pPr>
              <w:jc w:val="center"/>
            </w:pPr>
            <w:r>
              <w:t>04/18</w:t>
            </w:r>
          </w:p>
        </w:tc>
      </w:tr>
      <w:tr w:rsidR="00AF43A8" w14:paraId="7D63308C" w14:textId="77777777" w:rsidTr="00AF43A8">
        <w:tc>
          <w:tcPr>
            <w:cnfStyle w:val="000010000000" w:firstRow="0" w:lastRow="0" w:firstColumn="0" w:lastColumn="0" w:oddVBand="1" w:evenVBand="0" w:oddHBand="0" w:evenHBand="0" w:firstRowFirstColumn="0" w:firstRowLastColumn="0" w:lastRowFirstColumn="0" w:lastRowLastColumn="0"/>
            <w:tcW w:w="7370" w:type="dxa"/>
          </w:tcPr>
          <w:p w14:paraId="3268FBB0" w14:textId="0EBD5068" w:rsidR="00AF43A8" w:rsidRDefault="003D49A0" w:rsidP="003D49A0">
            <w:pPr>
              <w:tabs>
                <w:tab w:val="num" w:pos="720"/>
              </w:tabs>
            </w:pPr>
            <w:r>
              <w:t>Replaced</w:t>
            </w:r>
            <w:r w:rsidR="00AF43A8">
              <w:t xml:space="preserve"> contraindication</w:t>
            </w:r>
            <w:r w:rsidR="003F0054">
              <w:t>s</w:t>
            </w:r>
            <w:r w:rsidR="00AF43A8">
              <w:t xml:space="preserve"> regarding psychological condition preventing compliance with medical therapy</w:t>
            </w:r>
            <w:r w:rsidR="00C046C6">
              <w:t xml:space="preserve"> and “current non-adherence to medical therapy”</w:t>
            </w:r>
            <w:r>
              <w:t xml:space="preserve"> with “</w:t>
            </w:r>
            <w:r w:rsidRPr="003D49A0">
              <w:t>Inability to adhere to the regimen necessary to preserve the transplant</w:t>
            </w:r>
            <w:r>
              <w:t>, even with caregiver support</w:t>
            </w:r>
            <w:r w:rsidR="00AF43A8">
              <w:t>.</w:t>
            </w:r>
            <w:r>
              <w:t>”</w:t>
            </w:r>
            <w:r w:rsidR="00AF43A8">
              <w:t xml:space="preserve"> Changed “Review Date” in header to “Date of Last Revision,” and “Date” in the revision log header to “Revision Date.”</w:t>
            </w:r>
          </w:p>
        </w:tc>
        <w:tc>
          <w:tcPr>
            <w:tcW w:w="1018" w:type="dxa"/>
          </w:tcPr>
          <w:p w14:paraId="008C554D" w14:textId="509823E9" w:rsidR="00AF43A8" w:rsidRDefault="00AF43A8" w:rsidP="00814601">
            <w:pPr>
              <w:jc w:val="center"/>
              <w:cnfStyle w:val="000000000000" w:firstRow="0" w:lastRow="0" w:firstColumn="0" w:lastColumn="0" w:oddVBand="0" w:evenVBand="0" w:oddHBand="0" w:evenHBand="0" w:firstRowFirstColumn="0" w:firstRowLastColumn="0" w:lastRowFirstColumn="0" w:lastRowLastColumn="0"/>
            </w:pPr>
            <w:r>
              <w:t>08/2</w:t>
            </w:r>
            <w:r w:rsidR="00814601">
              <w:t>1</w:t>
            </w:r>
          </w:p>
        </w:tc>
        <w:tc>
          <w:tcPr>
            <w:cnfStyle w:val="000010000000" w:firstRow="0" w:lastRow="0" w:firstColumn="0" w:lastColumn="0" w:oddVBand="1" w:evenVBand="0" w:oddHBand="0" w:evenHBand="0" w:firstRowFirstColumn="0" w:firstRowLastColumn="0" w:lastRowFirstColumn="0" w:lastRowLastColumn="0"/>
            <w:tcW w:w="1260" w:type="dxa"/>
          </w:tcPr>
          <w:p w14:paraId="22B10D97" w14:textId="0C80BAE5" w:rsidR="00AF43A8" w:rsidRDefault="00814601" w:rsidP="00857C10">
            <w:pPr>
              <w:jc w:val="center"/>
            </w:pPr>
            <w:r>
              <w:t>08/21</w:t>
            </w:r>
          </w:p>
        </w:tc>
      </w:tr>
      <w:tr w:rsidR="008F4F7E" w14:paraId="6A055543" w14:textId="77777777" w:rsidTr="00AF43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0" w:type="dxa"/>
          </w:tcPr>
          <w:p w14:paraId="7224BF37" w14:textId="57723066" w:rsidR="008F4F7E" w:rsidRDefault="00B52621" w:rsidP="003D49A0">
            <w:pPr>
              <w:tabs>
                <w:tab w:val="num" w:pos="720"/>
              </w:tabs>
            </w:pPr>
            <w:r>
              <w:t xml:space="preserve">Annual review. References reviewed, updated, and reformatted. </w:t>
            </w:r>
          </w:p>
        </w:tc>
        <w:tc>
          <w:tcPr>
            <w:tcW w:w="1018" w:type="dxa"/>
          </w:tcPr>
          <w:p w14:paraId="06C89101" w14:textId="187DEBD6" w:rsidR="008F4F7E" w:rsidRDefault="00B52621" w:rsidP="00814601">
            <w:pPr>
              <w:jc w:val="center"/>
              <w:cnfStyle w:val="000000100000" w:firstRow="0" w:lastRow="0" w:firstColumn="0" w:lastColumn="0" w:oddVBand="0" w:evenVBand="0" w:oddHBand="1" w:evenHBand="0" w:firstRowFirstColumn="0" w:firstRowLastColumn="0" w:lastRowFirstColumn="0" w:lastRowLastColumn="0"/>
            </w:pPr>
            <w:r>
              <w:t>01/22</w:t>
            </w:r>
          </w:p>
        </w:tc>
        <w:tc>
          <w:tcPr>
            <w:cnfStyle w:val="000010000000" w:firstRow="0" w:lastRow="0" w:firstColumn="0" w:lastColumn="0" w:oddVBand="1" w:evenVBand="0" w:oddHBand="0" w:evenHBand="0" w:firstRowFirstColumn="0" w:firstRowLastColumn="0" w:lastRowFirstColumn="0" w:lastRowLastColumn="0"/>
            <w:tcW w:w="1260" w:type="dxa"/>
          </w:tcPr>
          <w:p w14:paraId="576F75C1" w14:textId="4A85AD90" w:rsidR="008F4F7E" w:rsidRDefault="00AD0A21" w:rsidP="00857C10">
            <w:pPr>
              <w:jc w:val="center"/>
            </w:pPr>
            <w:r>
              <w:t>02/22</w:t>
            </w:r>
          </w:p>
        </w:tc>
      </w:tr>
      <w:tr w:rsidR="00AD0A21" w14:paraId="4D1113C8" w14:textId="77777777" w:rsidTr="00AF43A8">
        <w:tc>
          <w:tcPr>
            <w:cnfStyle w:val="000010000000" w:firstRow="0" w:lastRow="0" w:firstColumn="0" w:lastColumn="0" w:oddVBand="1" w:evenVBand="0" w:oddHBand="0" w:evenHBand="0" w:firstRowFirstColumn="0" w:firstRowLastColumn="0" w:lastRowFirstColumn="0" w:lastRowLastColumn="0"/>
            <w:tcW w:w="7370" w:type="dxa"/>
          </w:tcPr>
          <w:p w14:paraId="024B6CFB" w14:textId="471A400E" w:rsidR="00AD0A21" w:rsidRDefault="00566F36" w:rsidP="003D49A0">
            <w:pPr>
              <w:tabs>
                <w:tab w:val="num" w:pos="720"/>
              </w:tabs>
            </w:pPr>
            <w:r>
              <w:lastRenderedPageBreak/>
              <w:t>Edited contraindications: Replaced “non-hepatic malignancy…” with malignancy with high risk of recurrence or death…”; added GFR restriction,</w:t>
            </w:r>
            <w:r w:rsidR="000F6FC8">
              <w:t xml:space="preserve"> added HIV infection with detectable viral load,</w:t>
            </w:r>
            <w:r>
              <w:t xml:space="preserve"> added stroke, acute coronary syndrome, or MI; added acute renal failure…; added septic shock; added progressive cognitive impairment; replaced “</w:t>
            </w:r>
            <w:r w:rsidR="00BA0BB2">
              <w:t>untreatable significant</w:t>
            </w:r>
            <w:r>
              <w:t xml:space="preserve"> dysfunction</w:t>
            </w:r>
            <w:r w:rsidR="00BA0BB2">
              <w:t xml:space="preserve"> of another major organ system…</w:t>
            </w:r>
            <w:r>
              <w:t>” with “</w:t>
            </w:r>
            <w:r w:rsidRPr="00566F36">
              <w:t>Other severe uncontrolled medical condition expected to limit survival after transplant</w:t>
            </w:r>
            <w:r w:rsidR="00BA0BB2">
              <w:t>;” slightly reworded substance use contraindication.</w:t>
            </w:r>
          </w:p>
        </w:tc>
        <w:tc>
          <w:tcPr>
            <w:tcW w:w="1018" w:type="dxa"/>
          </w:tcPr>
          <w:p w14:paraId="22A082EC" w14:textId="5973E987" w:rsidR="00AD0A21" w:rsidRDefault="00BA0BB2" w:rsidP="00814601">
            <w:pPr>
              <w:jc w:val="center"/>
              <w:cnfStyle w:val="000000000000" w:firstRow="0" w:lastRow="0" w:firstColumn="0" w:lastColumn="0" w:oddVBand="0" w:evenVBand="0" w:oddHBand="0" w:evenHBand="0" w:firstRowFirstColumn="0" w:firstRowLastColumn="0" w:lastRowFirstColumn="0" w:lastRowLastColumn="0"/>
            </w:pPr>
            <w:r>
              <w:t>02/22</w:t>
            </w:r>
          </w:p>
        </w:tc>
        <w:tc>
          <w:tcPr>
            <w:cnfStyle w:val="000010000000" w:firstRow="0" w:lastRow="0" w:firstColumn="0" w:lastColumn="0" w:oddVBand="1" w:evenVBand="0" w:oddHBand="0" w:evenHBand="0" w:firstRowFirstColumn="0" w:firstRowLastColumn="0" w:lastRowFirstColumn="0" w:lastRowLastColumn="0"/>
            <w:tcW w:w="1260" w:type="dxa"/>
          </w:tcPr>
          <w:p w14:paraId="02CB51E3" w14:textId="52FB1AED" w:rsidR="00AD0A21" w:rsidRDefault="00C55DE5" w:rsidP="00857C10">
            <w:pPr>
              <w:jc w:val="center"/>
            </w:pPr>
            <w:r>
              <w:t>02/22</w:t>
            </w:r>
          </w:p>
        </w:tc>
      </w:tr>
      <w:tr w:rsidR="00B14D70" w14:paraId="1400153C" w14:textId="77777777" w:rsidTr="00AF43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0" w:type="dxa"/>
          </w:tcPr>
          <w:p w14:paraId="7279F9F2" w14:textId="519D5159" w:rsidR="00B14D70" w:rsidRDefault="00B14D70" w:rsidP="003D49A0">
            <w:pPr>
              <w:tabs>
                <w:tab w:val="num" w:pos="720"/>
              </w:tabs>
            </w:pPr>
            <w:bookmarkStart w:id="2" w:name="_Hlk126053945"/>
            <w:bookmarkStart w:id="3" w:name="_Hlk126056609"/>
            <w:r>
              <w:t xml:space="preserve">Annual review. </w:t>
            </w:r>
            <w:r w:rsidR="004274B0" w:rsidRPr="004274B0">
              <w:t xml:space="preserve">Criteria I.B.1.a.ii. updated to remove “beyond 3 months from procedure” and added a) Total bilirubin &gt; 6 mg/dL beyond three months from hepatoportoenterostomy b) Total bilirubin remains between 2 to 6 mg/dL. Updated Criteria I.B.1.b. to </w:t>
            </w:r>
            <w:r w:rsidR="00202389">
              <w:t>add</w:t>
            </w:r>
            <w:r w:rsidR="004274B0" w:rsidRPr="004274B0">
              <w:t xml:space="preserve"> “if partial external biliary diversion or ileal exclusion failed or could not be performed.”</w:t>
            </w:r>
            <w:r w:rsidR="004274B0">
              <w:t xml:space="preserve"> </w:t>
            </w:r>
            <w:r w:rsidR="008808F6" w:rsidRPr="008808F6">
              <w:t xml:space="preserve">Removed “acute liver failure associated with encephalopathy” in Criteria I.B.3.a. and added </w:t>
            </w:r>
            <w:r w:rsidR="00202389">
              <w:t xml:space="preserve">I.B.3.a.i. and ii. </w:t>
            </w:r>
            <w:r w:rsidR="008808F6" w:rsidRPr="008808F6">
              <w:t xml:space="preserve">Added Criteria I.B.3.c. Budd-Chiari Syndrome. </w:t>
            </w:r>
            <w:r w:rsidR="00202389">
              <w:t>Added</w:t>
            </w:r>
            <w:r w:rsidR="008808F6" w:rsidRPr="008808F6">
              <w:t>, “At the time of diagnosis</w:t>
            </w:r>
            <w:r w:rsidR="00202389">
              <w:t>…</w:t>
            </w:r>
            <w:r w:rsidR="008808F6" w:rsidRPr="008808F6">
              <w:t xml:space="preserve">” </w:t>
            </w:r>
            <w:r w:rsidR="00202389">
              <w:t xml:space="preserve">to </w:t>
            </w:r>
            <w:r w:rsidR="00202389" w:rsidRPr="008808F6">
              <w:t xml:space="preserve">I.B.4.a.ii. </w:t>
            </w:r>
            <w:r w:rsidR="008808F6" w:rsidRPr="008808F6">
              <w:t xml:space="preserve">Updated Criteria I.B.4.d. to </w:t>
            </w:r>
            <w:r w:rsidR="00202389">
              <w:t>i</w:t>
            </w:r>
            <w:r w:rsidR="008808F6" w:rsidRPr="008808F6">
              <w:t>nfantile hemangioma</w:t>
            </w:r>
            <w:r w:rsidR="00202389">
              <w:t xml:space="preserve"> as well as verbiage in </w:t>
            </w:r>
            <w:r w:rsidR="008808F6" w:rsidRPr="008808F6">
              <w:t xml:space="preserve">I.B.4.d.i. </w:t>
            </w:r>
            <w:bookmarkStart w:id="4" w:name="_Hlk126056563"/>
            <w:r w:rsidR="00202389">
              <w:t xml:space="preserve">and </w:t>
            </w:r>
            <w:r w:rsidR="008808F6" w:rsidRPr="008808F6">
              <w:t xml:space="preserve">ii. </w:t>
            </w:r>
            <w:r w:rsidR="000B30AA" w:rsidRPr="000B30AA">
              <w:t xml:space="preserve">Removed “that is not responsive to medical therapy” in </w:t>
            </w:r>
            <w:r w:rsidR="00202389">
              <w:t>c</w:t>
            </w:r>
            <w:r w:rsidR="000B30AA" w:rsidRPr="000B30AA">
              <w:t xml:space="preserve">riteria I.B.5.h. and added </w:t>
            </w:r>
            <w:r w:rsidR="00202389">
              <w:t>I.B.5.h.</w:t>
            </w:r>
            <w:r w:rsidR="00202389" w:rsidRPr="00202389">
              <w:t>i.</w:t>
            </w:r>
            <w:r w:rsidR="00202389">
              <w:t xml:space="preserve"> through </w:t>
            </w:r>
            <w:r w:rsidR="00202389" w:rsidRPr="00202389">
              <w:t xml:space="preserve">iv. </w:t>
            </w:r>
            <w:r w:rsidR="000B30AA" w:rsidRPr="000B30AA">
              <w:t>Criteria I.B.5.m.ii. changed from “hyper-ammonia” to “hyperammonemia.”</w:t>
            </w:r>
            <w:r w:rsidR="000B30AA">
              <w:t xml:space="preserve"> </w:t>
            </w:r>
            <w:r w:rsidR="000B30AA" w:rsidRPr="000B30AA">
              <w:t xml:space="preserve">Criteria I.B.7.b. updated to Factor VII and updated to state, “with complications from or failure of medical management.” Removed “that has failed medical therapy” from Criteria I.B.7.c. and added </w:t>
            </w:r>
            <w:r w:rsidR="00202389">
              <w:t xml:space="preserve">sub criteria </w:t>
            </w:r>
            <w:r w:rsidR="000B30AA" w:rsidRPr="000B30AA">
              <w:t xml:space="preserve">i. </w:t>
            </w:r>
            <w:r w:rsidR="00202389">
              <w:t xml:space="preserve">and </w:t>
            </w:r>
            <w:r w:rsidR="000B30AA" w:rsidRPr="000B30AA">
              <w:t xml:space="preserve">ii. Removed “Budd-Chiari Syndrome” from I.B.7.d. Added Hepatopulmonary syndrome (HPS) </w:t>
            </w:r>
            <w:r w:rsidR="00202389">
              <w:t>as</w:t>
            </w:r>
            <w:r w:rsidR="000B30AA" w:rsidRPr="000B30AA">
              <w:t xml:space="preserve"> I.B.7.d. and added</w:t>
            </w:r>
            <w:r w:rsidR="00202389">
              <w:t xml:space="preserve"> sub criteria i. and ii.</w:t>
            </w:r>
            <w:r w:rsidR="00C43FA2">
              <w:t xml:space="preserve"> </w:t>
            </w:r>
            <w:r w:rsidR="00B1775E" w:rsidRPr="00B1775E">
              <w:t xml:space="preserve">Criteria I.C.1. updated from “chronic” to “active” infection. Criteria I.C.3. updated </w:t>
            </w:r>
            <w:r w:rsidR="00202389">
              <w:t xml:space="preserve">and added </w:t>
            </w:r>
            <w:r w:rsidR="00B1775E" w:rsidRPr="00B1775E">
              <w:t xml:space="preserve">note </w:t>
            </w:r>
            <w:r w:rsidR="00202389">
              <w:t xml:space="preserve">for </w:t>
            </w:r>
            <w:r w:rsidR="00B1775E" w:rsidRPr="00B1775E">
              <w:t>exclusion of malignancies that transplant could</w:t>
            </w:r>
            <w:r w:rsidR="00C43FA2">
              <w:t xml:space="preserve"> </w:t>
            </w:r>
            <w:r w:rsidR="00B1775E" w:rsidRPr="00B1775E">
              <w:t>sufficiently address. Criteria I.C.8. updated to remove age requirement.</w:t>
            </w:r>
            <w:r w:rsidR="00B1775E">
              <w:t xml:space="preserve"> </w:t>
            </w:r>
            <w:bookmarkStart w:id="5" w:name="_Hlk126056546"/>
            <w:r w:rsidR="00B1775E" w:rsidRPr="00B1775E">
              <w:t>Criteria I.C.18. updated to</w:t>
            </w:r>
            <w:r w:rsidR="00EC64B2">
              <w:t xml:space="preserve"> </w:t>
            </w:r>
            <w:r w:rsidR="00EC64B2" w:rsidRPr="00EC64B2">
              <w:t xml:space="preserve">exclude marijuana use when prescribed by a licensed practitioner and </w:t>
            </w:r>
            <w:r w:rsidR="00B1775E" w:rsidRPr="00B1775E">
              <w:t>include required commitment to reducing substance use behaviors if urgent transplant timelines are present.</w:t>
            </w:r>
            <w:r w:rsidR="00865364">
              <w:t xml:space="preserve"> </w:t>
            </w:r>
            <w:bookmarkEnd w:id="5"/>
            <w:r w:rsidR="00EC64B2" w:rsidRPr="00EC64B2">
              <w:t xml:space="preserve">Background updated with no impact on criteria. </w:t>
            </w:r>
            <w:r w:rsidR="00814C86">
              <w:t>ICD-10 codes removed.</w:t>
            </w:r>
            <w:r w:rsidR="00B44D34">
              <w:t xml:space="preserve"> </w:t>
            </w:r>
            <w:r w:rsidR="00814C86">
              <w:t xml:space="preserve">References reviewed and updated. </w:t>
            </w:r>
            <w:r w:rsidR="00331ADD">
              <w:t>Reviewed by</w:t>
            </w:r>
            <w:r w:rsidR="00B1775E">
              <w:t xml:space="preserve"> internal specialist and</w:t>
            </w:r>
            <w:r w:rsidR="00331ADD">
              <w:t xml:space="preserve"> external specialist. </w:t>
            </w:r>
            <w:bookmarkEnd w:id="2"/>
            <w:bookmarkEnd w:id="4"/>
          </w:p>
        </w:tc>
        <w:tc>
          <w:tcPr>
            <w:tcW w:w="1018" w:type="dxa"/>
          </w:tcPr>
          <w:p w14:paraId="4C76ACD4" w14:textId="507D345A" w:rsidR="00B14D70" w:rsidRDefault="0048384E" w:rsidP="00814601">
            <w:pPr>
              <w:jc w:val="center"/>
              <w:cnfStyle w:val="000000100000" w:firstRow="0" w:lastRow="0" w:firstColumn="0" w:lastColumn="0" w:oddVBand="0" w:evenVBand="0" w:oddHBand="1" w:evenHBand="0" w:firstRowFirstColumn="0" w:firstRowLastColumn="0" w:lastRowFirstColumn="0" w:lastRowLastColumn="0"/>
            </w:pPr>
            <w:r>
              <w:t>02/23</w:t>
            </w:r>
          </w:p>
        </w:tc>
        <w:tc>
          <w:tcPr>
            <w:cnfStyle w:val="000010000000" w:firstRow="0" w:lastRow="0" w:firstColumn="0" w:lastColumn="0" w:oddVBand="1" w:evenVBand="0" w:oddHBand="0" w:evenHBand="0" w:firstRowFirstColumn="0" w:firstRowLastColumn="0" w:lastRowFirstColumn="0" w:lastRowLastColumn="0"/>
            <w:tcW w:w="1260" w:type="dxa"/>
          </w:tcPr>
          <w:p w14:paraId="7FD11ADA" w14:textId="3FE5C1E8" w:rsidR="00B14D70" w:rsidRDefault="00357D0E" w:rsidP="00857C10">
            <w:pPr>
              <w:jc w:val="center"/>
            </w:pPr>
            <w:r>
              <w:t>02/23</w:t>
            </w:r>
          </w:p>
        </w:tc>
      </w:tr>
      <w:tr w:rsidR="00CD7658" w14:paraId="0F1DFAA4" w14:textId="77777777" w:rsidTr="00AF43A8">
        <w:tc>
          <w:tcPr>
            <w:cnfStyle w:val="000010000000" w:firstRow="0" w:lastRow="0" w:firstColumn="0" w:lastColumn="0" w:oddVBand="1" w:evenVBand="0" w:oddHBand="0" w:evenHBand="0" w:firstRowFirstColumn="0" w:firstRowLastColumn="0" w:lastRowFirstColumn="0" w:lastRowLastColumn="0"/>
            <w:tcW w:w="7370" w:type="dxa"/>
          </w:tcPr>
          <w:p w14:paraId="26089E07" w14:textId="61F802B5" w:rsidR="00CD7658" w:rsidRDefault="002215DF" w:rsidP="003D49A0">
            <w:pPr>
              <w:tabs>
                <w:tab w:val="num" w:pos="720"/>
              </w:tabs>
            </w:pPr>
            <w:r>
              <w:t>Annual review.</w:t>
            </w:r>
            <w:r w:rsidR="002F3204">
              <w:t xml:space="preserve"> Added HIV points a. - c., under I.C.2. Minor edits </w:t>
            </w:r>
            <w:r w:rsidR="008A690E">
              <w:t>to</w:t>
            </w:r>
            <w:r w:rsidR="002F3204">
              <w:t xml:space="preserve"> Background with no effect on criteria. References reviewed and updated.</w:t>
            </w:r>
          </w:p>
        </w:tc>
        <w:tc>
          <w:tcPr>
            <w:tcW w:w="1018" w:type="dxa"/>
          </w:tcPr>
          <w:p w14:paraId="33A33B60" w14:textId="74F1E6A2" w:rsidR="00CD7658" w:rsidRDefault="0094281F" w:rsidP="00814601">
            <w:pPr>
              <w:jc w:val="center"/>
              <w:cnfStyle w:val="000000000000" w:firstRow="0" w:lastRow="0" w:firstColumn="0" w:lastColumn="0" w:oddVBand="0" w:evenVBand="0" w:oddHBand="0" w:evenHBand="0" w:firstRowFirstColumn="0" w:firstRowLastColumn="0" w:lastRowFirstColumn="0" w:lastRowLastColumn="0"/>
            </w:pPr>
            <w:r>
              <w:t>0</w:t>
            </w:r>
            <w:r w:rsidR="002215DF">
              <w:t>5/</w:t>
            </w:r>
            <w:r w:rsidR="002707AE">
              <w:t>2</w:t>
            </w:r>
            <w:r w:rsidR="002215DF">
              <w:t>4</w:t>
            </w:r>
          </w:p>
        </w:tc>
        <w:tc>
          <w:tcPr>
            <w:cnfStyle w:val="000010000000" w:firstRow="0" w:lastRow="0" w:firstColumn="0" w:lastColumn="0" w:oddVBand="1" w:evenVBand="0" w:oddHBand="0" w:evenHBand="0" w:firstRowFirstColumn="0" w:firstRowLastColumn="0" w:lastRowFirstColumn="0" w:lastRowLastColumn="0"/>
            <w:tcW w:w="1260" w:type="dxa"/>
          </w:tcPr>
          <w:p w14:paraId="18299AA2" w14:textId="51AD0050" w:rsidR="00CD7658" w:rsidRDefault="0094281F" w:rsidP="00857C10">
            <w:pPr>
              <w:jc w:val="center"/>
            </w:pPr>
            <w:r>
              <w:t>05/24</w:t>
            </w:r>
          </w:p>
        </w:tc>
      </w:tr>
      <w:tr w:rsidR="00184B07" w14:paraId="47EB270F" w14:textId="77777777" w:rsidTr="00AF43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0" w:type="dxa"/>
          </w:tcPr>
          <w:p w14:paraId="0D8D3377" w14:textId="7C69C6D5" w:rsidR="00184B07" w:rsidRDefault="00DA2E3B" w:rsidP="00B2614E">
            <w:r w:rsidRPr="00DA2E3B">
              <w:t>Annual review. Removed “at time of diagnosis” from criteria I.B.5.d. and I.B.5.k. Under I.B.7.c. reformatted criteria with no impact to criteria. Under I.C.4. updated glomerular filtration rate from &lt;40 to &lt; 30. References reviewed and updated. Reviewed by internal and external specialist.</w:t>
            </w:r>
          </w:p>
        </w:tc>
        <w:tc>
          <w:tcPr>
            <w:tcW w:w="1018" w:type="dxa"/>
          </w:tcPr>
          <w:p w14:paraId="7CFC2701" w14:textId="0A99AD96" w:rsidR="00184B07" w:rsidRDefault="00184B07" w:rsidP="00814601">
            <w:pPr>
              <w:jc w:val="center"/>
              <w:cnfStyle w:val="000000100000" w:firstRow="0" w:lastRow="0" w:firstColumn="0" w:lastColumn="0" w:oddVBand="0" w:evenVBand="0" w:oddHBand="1" w:evenHBand="0" w:firstRowFirstColumn="0" w:firstRowLastColumn="0" w:lastRowFirstColumn="0" w:lastRowLastColumn="0"/>
            </w:pPr>
            <w:r>
              <w:t>0</w:t>
            </w:r>
            <w:r w:rsidR="00C309F9">
              <w:t>5</w:t>
            </w:r>
            <w:r>
              <w:t>/25</w:t>
            </w:r>
          </w:p>
        </w:tc>
        <w:tc>
          <w:tcPr>
            <w:cnfStyle w:val="000010000000" w:firstRow="0" w:lastRow="0" w:firstColumn="0" w:lastColumn="0" w:oddVBand="1" w:evenVBand="0" w:oddHBand="0" w:evenHBand="0" w:firstRowFirstColumn="0" w:firstRowLastColumn="0" w:lastRowFirstColumn="0" w:lastRowLastColumn="0"/>
            <w:tcW w:w="1260" w:type="dxa"/>
          </w:tcPr>
          <w:p w14:paraId="70715C34" w14:textId="21A32028" w:rsidR="00184B07" w:rsidRDefault="00A77F43" w:rsidP="00857C10">
            <w:pPr>
              <w:jc w:val="center"/>
            </w:pPr>
            <w:r>
              <w:t>05/25</w:t>
            </w:r>
          </w:p>
        </w:tc>
      </w:tr>
      <w:bookmarkEnd w:id="3"/>
    </w:tbl>
    <w:p w14:paraId="4D89672A" w14:textId="77777777" w:rsidR="0049674E" w:rsidRDefault="0049674E" w:rsidP="00963062">
      <w:pPr>
        <w:pStyle w:val="Heading3"/>
        <w:sectPr w:rsidR="0049674E" w:rsidSect="00480C09">
          <w:type w:val="continuous"/>
          <w:pgSz w:w="12240" w:h="15840" w:code="1"/>
          <w:pgMar w:top="1440" w:right="1440" w:bottom="1440" w:left="1440" w:header="576" w:footer="288" w:gutter="0"/>
          <w:cols w:space="720"/>
          <w:titlePg/>
          <w:docGrid w:linePitch="360"/>
        </w:sectPr>
      </w:pPr>
    </w:p>
    <w:p w14:paraId="4D89672B" w14:textId="77777777" w:rsidR="00963062" w:rsidRPr="0070423B" w:rsidRDefault="003F3D44" w:rsidP="00963062">
      <w:pPr>
        <w:pStyle w:val="Heading3"/>
      </w:pPr>
      <w:r w:rsidRPr="0070423B">
        <w:t>References</w:t>
      </w:r>
    </w:p>
    <w:p w14:paraId="4D89672C" w14:textId="2E0E60D4" w:rsidR="00963062" w:rsidRPr="00FA4F68" w:rsidRDefault="00411F1B" w:rsidP="007163E2">
      <w:pPr>
        <w:pStyle w:val="ListParagraph"/>
        <w:numPr>
          <w:ilvl w:val="0"/>
          <w:numId w:val="21"/>
        </w:numPr>
        <w:ind w:left="360"/>
      </w:pPr>
      <w:r w:rsidRPr="00411F1B">
        <w:rPr>
          <w:shd w:val="clear" w:color="auto" w:fill="FFFFFF"/>
        </w:rPr>
        <w:t xml:space="preserve">Squires RH, Ng V, Romero R, et al. Evaluation of the pediatric patient for liver transplantation: 2014 practice guideline by the American Association for the Study of Liver </w:t>
      </w:r>
      <w:r w:rsidRPr="00411F1B">
        <w:rPr>
          <w:shd w:val="clear" w:color="auto" w:fill="FFFFFF"/>
        </w:rPr>
        <w:lastRenderedPageBreak/>
        <w:t>Diseases, American Society of Transplantation and the North American Society for Pediatric Gastroenterology, Hepatology and Nutrition. </w:t>
      </w:r>
      <w:r w:rsidRPr="00411F1B">
        <w:rPr>
          <w:i/>
          <w:iCs/>
          <w:shd w:val="clear" w:color="auto" w:fill="FFFFFF"/>
        </w:rPr>
        <w:t>Hepatology</w:t>
      </w:r>
      <w:r w:rsidRPr="00411F1B">
        <w:rPr>
          <w:shd w:val="clear" w:color="auto" w:fill="FFFFFF"/>
        </w:rPr>
        <w:t>. 2014;60(1):362</w:t>
      </w:r>
      <w:r w:rsidR="00122FD6">
        <w:rPr>
          <w:shd w:val="clear" w:color="auto" w:fill="FFFFFF"/>
        </w:rPr>
        <w:t xml:space="preserve"> to </w:t>
      </w:r>
      <w:r w:rsidRPr="00411F1B">
        <w:rPr>
          <w:shd w:val="clear" w:color="auto" w:fill="FFFFFF"/>
        </w:rPr>
        <w:t>398. doi:10.1002/hep.27191</w:t>
      </w:r>
    </w:p>
    <w:p w14:paraId="4D89672D" w14:textId="44B5BD0C" w:rsidR="00E86BE6" w:rsidRPr="00FA4F68" w:rsidRDefault="00E86BE6" w:rsidP="007163E2">
      <w:pPr>
        <w:pStyle w:val="ListParagraph"/>
        <w:numPr>
          <w:ilvl w:val="0"/>
          <w:numId w:val="21"/>
        </w:numPr>
        <w:ind w:left="360"/>
      </w:pPr>
      <w:r w:rsidRPr="00FA4F68">
        <w:rPr>
          <w:shd w:val="clear" w:color="auto" w:fill="FFFFFF"/>
        </w:rPr>
        <w:t>Squires</w:t>
      </w:r>
      <w:r w:rsidR="00F3082F">
        <w:rPr>
          <w:shd w:val="clear" w:color="auto" w:fill="FFFFFF"/>
        </w:rPr>
        <w:t xml:space="preserve"> JE</w:t>
      </w:r>
      <w:r w:rsidRPr="00FA4F68">
        <w:rPr>
          <w:shd w:val="clear" w:color="auto" w:fill="FFFFFF"/>
        </w:rPr>
        <w:t>. Acute liver failure in children: Management</w:t>
      </w:r>
      <w:r w:rsidR="00717CBC" w:rsidRPr="00FA4F68">
        <w:rPr>
          <w:shd w:val="clear" w:color="auto" w:fill="FFFFFF"/>
        </w:rPr>
        <w:t>, complications, and outcomes</w:t>
      </w:r>
      <w:r w:rsidR="00DC3A9A">
        <w:rPr>
          <w:shd w:val="clear" w:color="auto" w:fill="FFFFFF"/>
        </w:rPr>
        <w:t>.</w:t>
      </w:r>
      <w:r w:rsidRPr="00FA4F68">
        <w:rPr>
          <w:shd w:val="clear" w:color="auto" w:fill="FFFFFF"/>
        </w:rPr>
        <w:t xml:space="preserve"> UpToDate</w:t>
      </w:r>
      <w:r w:rsidR="009103EE">
        <w:rPr>
          <w:shd w:val="clear" w:color="auto" w:fill="FFFFFF"/>
        </w:rPr>
        <w:t>.</w:t>
      </w:r>
      <w:r w:rsidRPr="00FA4F68">
        <w:rPr>
          <w:shd w:val="clear" w:color="auto" w:fill="FFFFFF"/>
        </w:rPr>
        <w:t xml:space="preserve"> </w:t>
      </w:r>
      <w:hyperlink r:id="rId17" w:history="1">
        <w:r w:rsidR="001E31D0" w:rsidRPr="00AF4C5F">
          <w:rPr>
            <w:rStyle w:val="Hyperlink"/>
            <w:shd w:val="clear" w:color="auto" w:fill="FFFFFF"/>
          </w:rPr>
          <w:t>www.uptodate.com</w:t>
        </w:r>
      </w:hyperlink>
      <w:r w:rsidR="001E31D0">
        <w:rPr>
          <w:shd w:val="clear" w:color="auto" w:fill="FFFFFF"/>
        </w:rPr>
        <w:t xml:space="preserve">. Published </w:t>
      </w:r>
      <w:r w:rsidR="00FB1E80">
        <w:rPr>
          <w:shd w:val="clear" w:color="auto" w:fill="FFFFFF"/>
        </w:rPr>
        <w:t>December 7</w:t>
      </w:r>
      <w:r w:rsidR="00F3082F">
        <w:rPr>
          <w:shd w:val="clear" w:color="auto" w:fill="FFFFFF"/>
        </w:rPr>
        <w:t>, 202</w:t>
      </w:r>
      <w:r w:rsidR="00FB1E80">
        <w:rPr>
          <w:shd w:val="clear" w:color="auto" w:fill="FFFFFF"/>
        </w:rPr>
        <w:t>3</w:t>
      </w:r>
      <w:r w:rsidR="00F3082F">
        <w:rPr>
          <w:shd w:val="clear" w:color="auto" w:fill="FFFFFF"/>
        </w:rPr>
        <w:t xml:space="preserve">. Accessed </w:t>
      </w:r>
      <w:r w:rsidR="00EA2D5D">
        <w:rPr>
          <w:shd w:val="clear" w:color="auto" w:fill="FFFFFF"/>
        </w:rPr>
        <w:t>March 11, 2025</w:t>
      </w:r>
      <w:r w:rsidR="00F3082F">
        <w:rPr>
          <w:shd w:val="clear" w:color="auto" w:fill="FFFFFF"/>
        </w:rPr>
        <w:t xml:space="preserve">. </w:t>
      </w:r>
    </w:p>
    <w:p w14:paraId="4D89672F" w14:textId="0FC1602B" w:rsidR="0070423B" w:rsidRPr="00FA4F68" w:rsidRDefault="00411F1B" w:rsidP="007163E2">
      <w:pPr>
        <w:pStyle w:val="ListParagraph"/>
        <w:numPr>
          <w:ilvl w:val="0"/>
          <w:numId w:val="21"/>
        </w:numPr>
        <w:ind w:left="360"/>
      </w:pPr>
      <w:r w:rsidRPr="00411F1B">
        <w:rPr>
          <w:shd w:val="clear" w:color="auto" w:fill="FFFFFF"/>
        </w:rPr>
        <w:t>Leonis MA, Balistreri WF. Evaluation and management of end-stage liver disease in children. </w:t>
      </w:r>
      <w:r w:rsidRPr="00411F1B">
        <w:rPr>
          <w:i/>
          <w:iCs/>
          <w:shd w:val="clear" w:color="auto" w:fill="FFFFFF"/>
        </w:rPr>
        <w:t>Gastroenterology</w:t>
      </w:r>
      <w:r w:rsidRPr="00411F1B">
        <w:rPr>
          <w:shd w:val="clear" w:color="auto" w:fill="FFFFFF"/>
        </w:rPr>
        <w:t>. 2008;134(6):1741</w:t>
      </w:r>
      <w:r w:rsidR="000718A7">
        <w:rPr>
          <w:shd w:val="clear" w:color="auto" w:fill="FFFFFF"/>
        </w:rPr>
        <w:t xml:space="preserve"> to </w:t>
      </w:r>
      <w:r w:rsidRPr="00411F1B">
        <w:rPr>
          <w:shd w:val="clear" w:color="auto" w:fill="FFFFFF"/>
        </w:rPr>
        <w:t>1751. doi:10.1053/j.gastro.2008.02.029</w:t>
      </w:r>
      <w:r w:rsidR="00122FD6">
        <w:rPr>
          <w:shd w:val="clear" w:color="auto" w:fill="FFFFFF"/>
        </w:rPr>
        <w:t xml:space="preserve"> </w:t>
      </w:r>
    </w:p>
    <w:p w14:paraId="4D896730" w14:textId="527996E4" w:rsidR="000E5927" w:rsidRPr="00FA4F68" w:rsidRDefault="00411F1B" w:rsidP="007163E2">
      <w:pPr>
        <w:pStyle w:val="ListParagraph"/>
        <w:numPr>
          <w:ilvl w:val="0"/>
          <w:numId w:val="21"/>
        </w:numPr>
        <w:ind w:left="360"/>
      </w:pPr>
      <w:r w:rsidRPr="00411F1B">
        <w:rPr>
          <w:shd w:val="clear" w:color="auto" w:fill="FFFFFF"/>
        </w:rPr>
        <w:t xml:space="preserve">Ng VL, Fecteau A, Shepherd R, et al. Outcomes of 5-year survivors of pediatric liver transplantation: report on 461 children from a </w:t>
      </w:r>
      <w:r w:rsidR="00357D0E">
        <w:rPr>
          <w:shd w:val="clear" w:color="auto" w:fill="FFFFFF"/>
        </w:rPr>
        <w:t>N</w:t>
      </w:r>
      <w:r w:rsidRPr="00411F1B">
        <w:rPr>
          <w:shd w:val="clear" w:color="auto" w:fill="FFFFFF"/>
        </w:rPr>
        <w:t xml:space="preserve">orth </w:t>
      </w:r>
      <w:r w:rsidR="00357D0E" w:rsidRPr="00411F1B">
        <w:rPr>
          <w:shd w:val="clear" w:color="auto" w:fill="FFFFFF"/>
        </w:rPr>
        <w:t>American</w:t>
      </w:r>
      <w:r w:rsidRPr="00411F1B">
        <w:rPr>
          <w:shd w:val="clear" w:color="auto" w:fill="FFFFFF"/>
        </w:rPr>
        <w:t xml:space="preserve"> multicenter registry. </w:t>
      </w:r>
      <w:r w:rsidRPr="00411F1B">
        <w:rPr>
          <w:i/>
          <w:iCs/>
          <w:shd w:val="clear" w:color="auto" w:fill="FFFFFF"/>
        </w:rPr>
        <w:t>Pediatrics</w:t>
      </w:r>
      <w:r w:rsidRPr="00411F1B">
        <w:rPr>
          <w:shd w:val="clear" w:color="auto" w:fill="FFFFFF"/>
        </w:rPr>
        <w:t>. 2008;122(6):e1128</w:t>
      </w:r>
      <w:r w:rsidR="00C02992">
        <w:rPr>
          <w:shd w:val="clear" w:color="auto" w:fill="FFFFFF"/>
        </w:rPr>
        <w:t xml:space="preserve"> to </w:t>
      </w:r>
      <w:r w:rsidRPr="00411F1B">
        <w:rPr>
          <w:shd w:val="clear" w:color="auto" w:fill="FFFFFF"/>
        </w:rPr>
        <w:t>e1135. doi:10.1542/peds.2008-1363</w:t>
      </w:r>
      <w:r w:rsidR="000718A7">
        <w:rPr>
          <w:shd w:val="clear" w:color="auto" w:fill="FFFFFF"/>
        </w:rPr>
        <w:t xml:space="preserve"> </w:t>
      </w:r>
    </w:p>
    <w:p w14:paraId="4D896731" w14:textId="5EDF89D8" w:rsidR="00112CFA" w:rsidRPr="00DE52D9" w:rsidRDefault="00411F1B" w:rsidP="00112CFA">
      <w:pPr>
        <w:pStyle w:val="ListParagraph"/>
        <w:numPr>
          <w:ilvl w:val="0"/>
          <w:numId w:val="21"/>
        </w:numPr>
        <w:ind w:left="360"/>
        <w:rPr>
          <w:shd w:val="clear" w:color="auto" w:fill="FFFFFF"/>
        </w:rPr>
      </w:pPr>
      <w:r w:rsidRPr="00411F1B">
        <w:t>McKiernan P. Acute liver failure after valproate exposure: Liver transplantation may be indicated beyond childhood. </w:t>
      </w:r>
      <w:r w:rsidRPr="00411F1B">
        <w:rPr>
          <w:i/>
          <w:iCs/>
        </w:rPr>
        <w:t>Liver Transpl</w:t>
      </w:r>
      <w:r w:rsidRPr="00411F1B">
        <w:t>. 2014;20(11):1287</w:t>
      </w:r>
      <w:r w:rsidR="00C02992">
        <w:t xml:space="preserve"> to </w:t>
      </w:r>
      <w:r w:rsidRPr="00411F1B">
        <w:t>1289. doi:10.1002/lt.23988</w:t>
      </w:r>
      <w:r w:rsidR="00C02992">
        <w:t xml:space="preserve"> </w:t>
      </w:r>
    </w:p>
    <w:p w14:paraId="45F23283" w14:textId="77777777" w:rsidR="00681A9F" w:rsidRPr="00EF0B87" w:rsidRDefault="00681A9F" w:rsidP="00DE52D9">
      <w:pPr>
        <w:pStyle w:val="ListParagraph"/>
        <w:numPr>
          <w:ilvl w:val="0"/>
          <w:numId w:val="21"/>
        </w:numPr>
        <w:ind w:left="360"/>
      </w:pPr>
      <w:r w:rsidRPr="00EF0B87">
        <w:t>Lee JG. How to prevent chronic kidney disease after liver transplantation? </w:t>
      </w:r>
      <w:r w:rsidRPr="00681A9F">
        <w:rPr>
          <w:i/>
          <w:iCs/>
        </w:rPr>
        <w:t>Annals of Liver Transplantation</w:t>
      </w:r>
      <w:r w:rsidRPr="00EF0B87">
        <w:t>. 2024;4(1):1-9. doi:https://doi.org/10.52604/alt.24.0005</w:t>
      </w:r>
    </w:p>
    <w:p w14:paraId="00F98F9B" w14:textId="77777777" w:rsidR="00681A9F" w:rsidRPr="00202389" w:rsidRDefault="00681A9F" w:rsidP="00DE52D9">
      <w:pPr>
        <w:pStyle w:val="ListParagraph"/>
        <w:ind w:left="360"/>
        <w:rPr>
          <w:shd w:val="clear" w:color="auto" w:fill="FFFFFF"/>
        </w:rPr>
      </w:pPr>
    </w:p>
    <w:p w14:paraId="4D896732" w14:textId="77777777" w:rsidR="001148A8" w:rsidRPr="00963062" w:rsidRDefault="001148A8" w:rsidP="00963062"/>
    <w:p w14:paraId="4D896733" w14:textId="77777777" w:rsidR="00DD6ADB" w:rsidRPr="00146C6E" w:rsidRDefault="00C06257" w:rsidP="00146C6E">
      <w:pPr>
        <w:rPr>
          <w:rFonts w:eastAsiaTheme="minorHAnsi"/>
          <w:b/>
          <w:u w:val="single"/>
        </w:rPr>
      </w:pPr>
      <w:bookmarkStart w:id="6" w:name="Important_Reminder"/>
      <w:r w:rsidRPr="00146C6E">
        <w:rPr>
          <w:rFonts w:eastAsiaTheme="minorHAnsi"/>
          <w:b/>
          <w:bCs/>
          <w:u w:val="single"/>
        </w:rPr>
        <w:t>Important R</w:t>
      </w:r>
      <w:r w:rsidR="005D7B81" w:rsidRPr="00146C6E">
        <w:rPr>
          <w:rFonts w:eastAsiaTheme="minorHAnsi"/>
          <w:b/>
          <w:bCs/>
          <w:u w:val="single"/>
        </w:rPr>
        <w:t>eminder</w:t>
      </w:r>
      <w:bookmarkEnd w:id="6"/>
    </w:p>
    <w:p w14:paraId="4D896734"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D896735" w14:textId="77777777" w:rsidR="00DD6ADB" w:rsidRPr="00146C6E" w:rsidRDefault="00DD6ADB" w:rsidP="00146C6E">
      <w:pPr>
        <w:rPr>
          <w:rFonts w:eastAsiaTheme="minorHAnsi"/>
        </w:rPr>
      </w:pPr>
    </w:p>
    <w:p w14:paraId="4D896736"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D896737" w14:textId="77777777" w:rsidR="00DD6ADB" w:rsidRPr="00146C6E" w:rsidRDefault="00DD6ADB" w:rsidP="00146C6E">
      <w:pPr>
        <w:rPr>
          <w:rFonts w:eastAsiaTheme="minorHAnsi"/>
        </w:rPr>
      </w:pPr>
    </w:p>
    <w:p w14:paraId="4D896738"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D896739" w14:textId="77777777" w:rsidR="00DD6ADB" w:rsidRPr="00146C6E" w:rsidRDefault="00DD6ADB" w:rsidP="00146C6E">
      <w:pPr>
        <w:rPr>
          <w:rFonts w:eastAsiaTheme="minorHAnsi"/>
        </w:rPr>
      </w:pPr>
    </w:p>
    <w:p w14:paraId="4D89673A" w14:textId="1ECB233B" w:rsidR="00DD6ADB" w:rsidRPr="00146C6E" w:rsidRDefault="00DD6ADB" w:rsidP="00146C6E">
      <w:pPr>
        <w:rPr>
          <w:rFonts w:eastAsiaTheme="minorHAnsi"/>
        </w:rPr>
      </w:pPr>
      <w:r w:rsidRPr="00146C6E">
        <w:rPr>
          <w:rFonts w:eastAsiaTheme="minorHAnsi"/>
        </w:rPr>
        <w:lastRenderedPageBreak/>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This clinical policy is not intended to recommend treatment for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should consult with their treating physician in connection with diagnosis and treatment decisions. </w:t>
      </w:r>
    </w:p>
    <w:p w14:paraId="4D89673B" w14:textId="77777777" w:rsidR="00DD6ADB" w:rsidRPr="00146C6E" w:rsidRDefault="00DD6ADB" w:rsidP="00146C6E">
      <w:pPr>
        <w:rPr>
          <w:rFonts w:eastAsiaTheme="minorHAnsi"/>
        </w:rPr>
      </w:pPr>
    </w:p>
    <w:p w14:paraId="4D89673C" w14:textId="721354B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4D89673D" w14:textId="77777777" w:rsidR="00DD6ADB" w:rsidRPr="00146C6E" w:rsidRDefault="00DD6ADB" w:rsidP="00146C6E">
      <w:pPr>
        <w:rPr>
          <w:rFonts w:eastAsiaTheme="minorHAnsi"/>
        </w:rPr>
      </w:pPr>
    </w:p>
    <w:p w14:paraId="4D89673E" w14:textId="6AA5D8DA"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and their representatives are bound to the terms and conditions expressed herein through the terms of their contracts. Where no such contract exists, providers,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and their representatives agree to be bound by such terms and conditions by providing services to </w:t>
      </w:r>
      <w:r w:rsidR="003F0C37">
        <w:rPr>
          <w:rFonts w:eastAsiaTheme="minorHAnsi"/>
        </w:rPr>
        <w:t>member</w:t>
      </w:r>
      <w:r w:rsidR="00656ABF">
        <w:rPr>
          <w:rFonts w:eastAsiaTheme="minorHAnsi"/>
        </w:rPr>
        <w:t>s</w:t>
      </w:r>
      <w:r w:rsidR="003F0C37">
        <w:rPr>
          <w:rFonts w:eastAsiaTheme="minorHAnsi"/>
        </w:rPr>
        <w:t>/enrollee</w:t>
      </w:r>
      <w:r w:rsidRPr="00146C6E">
        <w:rPr>
          <w:rFonts w:eastAsiaTheme="minorHAnsi"/>
        </w:rPr>
        <w:t xml:space="preserve">s and/or submitting claims for payment for such services.  </w:t>
      </w:r>
    </w:p>
    <w:p w14:paraId="4D89673F" w14:textId="77777777" w:rsidR="00DD6ADB" w:rsidRPr="00146C6E" w:rsidRDefault="00DD6ADB" w:rsidP="00146C6E">
      <w:pPr>
        <w:autoSpaceDE w:val="0"/>
        <w:autoSpaceDN w:val="0"/>
        <w:adjustRightInd w:val="0"/>
        <w:rPr>
          <w:rFonts w:eastAsiaTheme="minorHAnsi"/>
          <w:color w:val="000000"/>
        </w:rPr>
      </w:pPr>
    </w:p>
    <w:p w14:paraId="4D896740" w14:textId="4BC1935E"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3F0C37">
        <w:rPr>
          <w:rFonts w:eastAsiaTheme="minorHAnsi"/>
          <w:b/>
          <w:color w:val="000000"/>
        </w:rPr>
        <w:t>member</w:t>
      </w:r>
      <w:r w:rsidR="00656ABF">
        <w:rPr>
          <w:rFonts w:eastAsiaTheme="minorHAnsi"/>
          <w:b/>
          <w:color w:val="000000"/>
        </w:rPr>
        <w:t>s</w:t>
      </w:r>
      <w:r w:rsidR="003F0C37">
        <w:rPr>
          <w:rFonts w:eastAsiaTheme="minorHAnsi"/>
          <w:b/>
          <w:color w:val="000000"/>
        </w:rPr>
        <w:t>/enrollee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4D896741" w14:textId="77777777" w:rsidR="00DD6ADB" w:rsidRPr="00146C6E" w:rsidRDefault="00DD6ADB" w:rsidP="00146C6E">
      <w:pPr>
        <w:rPr>
          <w:rFonts w:eastAsiaTheme="minorHAnsi"/>
        </w:rPr>
      </w:pPr>
    </w:p>
    <w:p w14:paraId="4D896742" w14:textId="084BD34E"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3F0C37">
        <w:rPr>
          <w:rFonts w:eastAsiaTheme="minorHAnsi"/>
          <w:b/>
          <w:bCs/>
          <w:color w:val="000000"/>
        </w:rPr>
        <w:t>member</w:t>
      </w:r>
      <w:r w:rsidR="00656ABF">
        <w:rPr>
          <w:rFonts w:eastAsiaTheme="minorHAnsi"/>
          <w:b/>
          <w:bCs/>
          <w:color w:val="000000"/>
        </w:rPr>
        <w:t>s</w:t>
      </w:r>
      <w:r w:rsidR="003F0C37">
        <w:rPr>
          <w:rFonts w:eastAsiaTheme="minorHAnsi"/>
          <w:b/>
          <w:bCs/>
          <w:color w:val="000000"/>
        </w:rPr>
        <w:t>/enrollee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8"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4D896743" w14:textId="77777777" w:rsidR="00875924" w:rsidRPr="00146C6E" w:rsidRDefault="00875924" w:rsidP="00146C6E">
      <w:pPr>
        <w:rPr>
          <w:iCs/>
        </w:rPr>
      </w:pPr>
    </w:p>
    <w:p w14:paraId="4D896745" w14:textId="3468577B" w:rsidR="00C75BD4" w:rsidRPr="004F29DA" w:rsidRDefault="00C75BD4" w:rsidP="00AF5490">
      <w:pPr>
        <w:rPr>
          <w:iCs/>
        </w:rPr>
      </w:pPr>
      <w:r w:rsidRPr="00146C6E">
        <w:rPr>
          <w:iCs/>
        </w:rPr>
        <w:t>©201</w:t>
      </w:r>
      <w:r w:rsidR="00392820">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sectPr w:rsidR="00C75BD4" w:rsidRPr="004F29DA"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67C0" w14:textId="77777777" w:rsidR="00B6211B" w:rsidRDefault="00B6211B">
      <w:r>
        <w:separator/>
      </w:r>
    </w:p>
  </w:endnote>
  <w:endnote w:type="continuationSeparator" w:id="0">
    <w:p w14:paraId="01C9AEEA" w14:textId="77777777" w:rsidR="00B6211B" w:rsidRDefault="00B6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7D51" w14:textId="77777777" w:rsidR="001E31D0" w:rsidRDefault="001E3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674C" w14:textId="74506F9E"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DD44DF">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DD44DF">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674E" w14:textId="34B18BA9" w:rsidR="002C6AAB" w:rsidRDefault="002C6AAB" w:rsidP="002C6AAB">
    <w:pPr>
      <w:pStyle w:val="Footer"/>
      <w:jc w:val="center"/>
    </w:pPr>
    <w:r>
      <w:t xml:space="preserve">Page </w:t>
    </w:r>
    <w:r>
      <w:fldChar w:fldCharType="begin"/>
    </w:r>
    <w:r>
      <w:instrText xml:space="preserve"> PAGE   \* MERGEFORMAT </w:instrText>
    </w:r>
    <w:r>
      <w:fldChar w:fldCharType="separate"/>
    </w:r>
    <w:r w:rsidR="006265CA">
      <w:rPr>
        <w:noProof/>
      </w:rPr>
      <w:t>1</w:t>
    </w:r>
    <w:r>
      <w:fldChar w:fldCharType="end"/>
    </w:r>
    <w:r>
      <w:t xml:space="preserve"> of </w:t>
    </w:r>
    <w:r w:rsidR="00A06ECE">
      <w:rPr>
        <w:noProof/>
      </w:rPr>
      <w:fldChar w:fldCharType="begin"/>
    </w:r>
    <w:r w:rsidR="00A06ECE">
      <w:rPr>
        <w:noProof/>
      </w:rPr>
      <w:instrText xml:space="preserve"> NUMPAGES   \* MERGEFORMAT </w:instrText>
    </w:r>
    <w:r w:rsidR="00A06ECE">
      <w:rPr>
        <w:noProof/>
      </w:rPr>
      <w:fldChar w:fldCharType="separate"/>
    </w:r>
    <w:r w:rsidR="006265CA">
      <w:rPr>
        <w:noProof/>
      </w:rPr>
      <w:t>8</w:t>
    </w:r>
    <w:r w:rsidR="00A06E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48F9" w14:textId="77777777" w:rsidR="00B6211B" w:rsidRDefault="00B6211B">
      <w:r>
        <w:separator/>
      </w:r>
    </w:p>
  </w:footnote>
  <w:footnote w:type="continuationSeparator" w:id="0">
    <w:p w14:paraId="594EE03E" w14:textId="77777777" w:rsidR="00B6211B" w:rsidRDefault="00B6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EB7F" w14:textId="77777777" w:rsidR="001E31D0" w:rsidRDefault="001E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674A"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D89674F" wp14:editId="4D89675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4D89674B" w14:textId="77777777" w:rsidR="00DD025A" w:rsidRPr="00B777AF" w:rsidRDefault="009D5928" w:rsidP="00B777AF">
    <w:pPr>
      <w:rPr>
        <w:color w:val="00548C"/>
      </w:rPr>
    </w:pPr>
    <w:r>
      <w:rPr>
        <w:rFonts w:ascii="Times New Roman Bold" w:hAnsi="Times New Roman Bold"/>
        <w:b/>
        <w:bCs/>
        <w:color w:val="00548C"/>
      </w:rPr>
      <w:t>P</w:t>
    </w:r>
    <w:r w:rsidR="008849A8">
      <w:rPr>
        <w:rFonts w:ascii="Times New Roman Bold" w:hAnsi="Times New Roman Bold"/>
        <w:b/>
        <w:bCs/>
        <w:color w:val="00548C"/>
      </w:rPr>
      <w:t>ediatric Liver Transplant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674D" w14:textId="77777777" w:rsidR="009135E0" w:rsidRDefault="00A20F73" w:rsidP="00B777AF">
    <w:pPr>
      <w:pStyle w:val="Header"/>
      <w:jc w:val="right"/>
    </w:pPr>
    <w:r>
      <w:rPr>
        <w:noProof/>
      </w:rPr>
      <w:drawing>
        <wp:inline distT="0" distB="0" distL="0" distR="0" wp14:anchorId="4D896751" wp14:editId="4D896752">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D41B1"/>
    <w:multiLevelType w:val="hybridMultilevel"/>
    <w:tmpl w:val="6D48D1D2"/>
    <w:lvl w:ilvl="0" w:tplc="FFFFFFFF">
      <w:start w:val="1"/>
      <w:numFmt w:val="lowerRoman"/>
      <w:lvlText w:val="%1."/>
      <w:lvlJc w:val="left"/>
      <w:pPr>
        <w:ind w:left="360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C01B1"/>
    <w:multiLevelType w:val="hybridMultilevel"/>
    <w:tmpl w:val="2CE47A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415594"/>
    <w:multiLevelType w:val="hybridMultilevel"/>
    <w:tmpl w:val="BBE6D984"/>
    <w:lvl w:ilvl="0" w:tplc="E81029D0">
      <w:start w:val="9"/>
      <w:numFmt w:val="lowerLetter"/>
      <w:lvlText w:val="%1."/>
      <w:lvlJc w:val="left"/>
      <w:pPr>
        <w:ind w:left="17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F3AF9"/>
    <w:multiLevelType w:val="hybridMultilevel"/>
    <w:tmpl w:val="45EE2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93566"/>
    <w:multiLevelType w:val="hybridMultilevel"/>
    <w:tmpl w:val="879E4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3756"/>
    <w:multiLevelType w:val="multilevel"/>
    <w:tmpl w:val="16C6E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516FE"/>
    <w:multiLevelType w:val="hybridMultilevel"/>
    <w:tmpl w:val="6D48D1D2"/>
    <w:lvl w:ilvl="0" w:tplc="1C5A022C">
      <w:start w:val="1"/>
      <w:numFmt w:val="lowerRoman"/>
      <w:lvlText w:val="%1."/>
      <w:lvlJc w:val="left"/>
      <w:pPr>
        <w:ind w:left="36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74C0F"/>
    <w:multiLevelType w:val="hybridMultilevel"/>
    <w:tmpl w:val="4FA83E26"/>
    <w:lvl w:ilvl="0" w:tplc="11286D42">
      <w:start w:val="1"/>
      <w:numFmt w:val="upperRoman"/>
      <w:lvlText w:val="%1."/>
      <w:lvlJc w:val="left"/>
      <w:pPr>
        <w:ind w:left="460" w:hanging="360"/>
      </w:pPr>
      <w:rPr>
        <w:rFonts w:ascii="Times New Roman" w:eastAsia="Times New Roman" w:hAnsi="Times New Roman" w:cs="Times New Roman" w:hint="default"/>
        <w:b/>
        <w:bCs/>
        <w:w w:val="99"/>
        <w:sz w:val="24"/>
        <w:szCs w:val="24"/>
      </w:rPr>
    </w:lvl>
    <w:lvl w:ilvl="1" w:tplc="D9588F24">
      <w:start w:val="1"/>
      <w:numFmt w:val="upperLetter"/>
      <w:lvlText w:val="%2."/>
      <w:lvlJc w:val="left"/>
      <w:pPr>
        <w:ind w:left="820" w:hanging="360"/>
      </w:pPr>
      <w:rPr>
        <w:rFonts w:ascii="Times New Roman" w:eastAsia="Times New Roman" w:hAnsi="Times New Roman" w:cs="Times New Roman" w:hint="default"/>
        <w:b/>
        <w:bCs/>
        <w:spacing w:val="-1"/>
        <w:w w:val="99"/>
        <w:sz w:val="24"/>
        <w:szCs w:val="24"/>
      </w:rPr>
    </w:lvl>
    <w:lvl w:ilvl="2" w:tplc="DFF6A618">
      <w:start w:val="5"/>
      <w:numFmt w:val="decimal"/>
      <w:lvlText w:val="%3."/>
      <w:lvlJc w:val="left"/>
      <w:pPr>
        <w:ind w:left="1180" w:hanging="360"/>
      </w:pPr>
      <w:rPr>
        <w:rFonts w:ascii="Times New Roman" w:eastAsia="Times New Roman" w:hAnsi="Times New Roman" w:cs="Times New Roman" w:hint="default"/>
        <w:spacing w:val="-5"/>
        <w:w w:val="99"/>
        <w:sz w:val="24"/>
        <w:szCs w:val="24"/>
      </w:rPr>
    </w:lvl>
    <w:lvl w:ilvl="3" w:tplc="7276B8B8">
      <w:start w:val="1"/>
      <w:numFmt w:val="lowerLetter"/>
      <w:lvlText w:val="%4."/>
      <w:lvlJc w:val="left"/>
      <w:pPr>
        <w:ind w:left="1540" w:hanging="360"/>
      </w:pPr>
      <w:rPr>
        <w:rFonts w:ascii="Times New Roman" w:eastAsia="Times New Roman" w:hAnsi="Times New Roman" w:cs="Times New Roman" w:hint="default"/>
        <w:spacing w:val="-1"/>
        <w:w w:val="100"/>
        <w:sz w:val="24"/>
        <w:szCs w:val="24"/>
      </w:rPr>
    </w:lvl>
    <w:lvl w:ilvl="4" w:tplc="EFFE7A30">
      <w:start w:val="1"/>
      <w:numFmt w:val="lowerRoman"/>
      <w:lvlText w:val="%5."/>
      <w:lvlJc w:val="left"/>
      <w:pPr>
        <w:ind w:left="1890" w:hanging="360"/>
      </w:pPr>
      <w:rPr>
        <w:rFonts w:ascii="Times New Roman" w:eastAsia="Times New Roman" w:hAnsi="Times New Roman" w:cs="Times New Roman" w:hint="default"/>
        <w:w w:val="100"/>
        <w:sz w:val="24"/>
        <w:szCs w:val="24"/>
      </w:rPr>
    </w:lvl>
    <w:lvl w:ilvl="5" w:tplc="019ADD5C">
      <w:start w:val="1"/>
      <w:numFmt w:val="lowerLetter"/>
      <w:lvlText w:val="%6)"/>
      <w:lvlJc w:val="left"/>
      <w:pPr>
        <w:ind w:left="2260" w:hanging="360"/>
      </w:pPr>
      <w:rPr>
        <w:rFonts w:ascii="Times New Roman" w:eastAsia="Times New Roman" w:hAnsi="Times New Roman" w:cs="Times New Roman" w:hint="default"/>
        <w:spacing w:val="-1"/>
        <w:w w:val="100"/>
        <w:sz w:val="24"/>
        <w:szCs w:val="24"/>
      </w:rPr>
    </w:lvl>
    <w:lvl w:ilvl="6" w:tplc="92B80DE4">
      <w:start w:val="1"/>
      <w:numFmt w:val="decimal"/>
      <w:lvlText w:val="%7)"/>
      <w:lvlJc w:val="left"/>
      <w:pPr>
        <w:ind w:left="2260" w:hanging="360"/>
      </w:pPr>
      <w:rPr>
        <w:rFonts w:ascii="Times New Roman" w:eastAsia="Times New Roman" w:hAnsi="Times New Roman" w:cs="Times New Roman"/>
      </w:rPr>
    </w:lvl>
    <w:lvl w:ilvl="7" w:tplc="8F1EE378">
      <w:numFmt w:val="bullet"/>
      <w:lvlText w:val="•"/>
      <w:lvlJc w:val="left"/>
      <w:pPr>
        <w:ind w:left="4085" w:hanging="360"/>
      </w:pPr>
    </w:lvl>
    <w:lvl w:ilvl="8" w:tplc="F2FE89C0">
      <w:numFmt w:val="bullet"/>
      <w:lvlText w:val="•"/>
      <w:lvlJc w:val="left"/>
      <w:pPr>
        <w:ind w:left="5910" w:hanging="360"/>
      </w:pPr>
    </w:lvl>
  </w:abstractNum>
  <w:abstractNum w:abstractNumId="21" w15:restartNumberingAfterBreak="0">
    <w:nsid w:val="4DDC353F"/>
    <w:multiLevelType w:val="hybridMultilevel"/>
    <w:tmpl w:val="B21444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34924"/>
    <w:multiLevelType w:val="hybridMultilevel"/>
    <w:tmpl w:val="30B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739C4"/>
    <w:multiLevelType w:val="hybridMultilevel"/>
    <w:tmpl w:val="CD90AB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1E3D0A"/>
    <w:multiLevelType w:val="hybridMultilevel"/>
    <w:tmpl w:val="8A9050EE"/>
    <w:lvl w:ilvl="0" w:tplc="6BAC0802">
      <w:start w:val="1"/>
      <w:numFmt w:val="upperRoman"/>
      <w:lvlText w:val="%1."/>
      <w:lvlJc w:val="left"/>
      <w:pPr>
        <w:ind w:left="720" w:hanging="360"/>
      </w:pPr>
      <w:rPr>
        <w:rFonts w:hint="default"/>
        <w:b/>
        <w:i w:val="0"/>
      </w:rPr>
    </w:lvl>
    <w:lvl w:ilvl="1" w:tplc="10B674E6">
      <w:start w:val="1"/>
      <w:numFmt w:val="upperLetter"/>
      <w:lvlText w:val="%2."/>
      <w:lvlJc w:val="left"/>
      <w:pPr>
        <w:ind w:left="1440" w:hanging="360"/>
      </w:pPr>
      <w:rPr>
        <w:b w:val="0"/>
        <w:bCs/>
      </w:rPr>
    </w:lvl>
    <w:lvl w:ilvl="2" w:tplc="0409000F">
      <w:start w:val="1"/>
      <w:numFmt w:val="decimal"/>
      <w:lvlText w:val="%3."/>
      <w:lvlJc w:val="left"/>
      <w:pPr>
        <w:ind w:left="2160" w:hanging="180"/>
      </w:pPr>
    </w:lvl>
    <w:lvl w:ilvl="3" w:tplc="3B0A4D86">
      <w:start w:val="1"/>
      <w:numFmt w:val="lowerLetter"/>
      <w:lvlText w:val="%4."/>
      <w:lvlJc w:val="left"/>
      <w:pPr>
        <w:ind w:left="1710" w:hanging="360"/>
      </w:pPr>
      <w:rPr>
        <w:strike w:val="0"/>
      </w:rPr>
    </w:lvl>
    <w:lvl w:ilvl="4" w:tplc="1C5A022C">
      <w:start w:val="1"/>
      <w:numFmt w:val="lowerRoman"/>
      <w:lvlText w:val="%5."/>
      <w:lvlJc w:val="left"/>
      <w:pPr>
        <w:ind w:left="3600" w:hanging="360"/>
      </w:pPr>
      <w:rPr>
        <w:rFonts w:hint="default"/>
        <w:sz w:val="24"/>
        <w:szCs w:val="24"/>
      </w:rPr>
    </w:lvl>
    <w:lvl w:ilvl="5" w:tplc="04090017">
      <w:start w:val="1"/>
      <w:numFmt w:val="lowerLetter"/>
      <w:lvlText w:val="%6)"/>
      <w:lvlJc w:val="left"/>
      <w:pPr>
        <w:ind w:left="4320" w:hanging="180"/>
      </w:pPr>
      <w:rPr>
        <w:rFonts w:hint="default"/>
      </w:rPr>
    </w:lvl>
    <w:lvl w:ilvl="6" w:tplc="0409001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819809034">
    <w:abstractNumId w:val="31"/>
  </w:num>
  <w:num w:numId="2" w16cid:durableId="906378560">
    <w:abstractNumId w:val="0"/>
  </w:num>
  <w:num w:numId="3" w16cid:durableId="1383409935">
    <w:abstractNumId w:val="11"/>
  </w:num>
  <w:num w:numId="4" w16cid:durableId="783309697">
    <w:abstractNumId w:val="15"/>
  </w:num>
  <w:num w:numId="5" w16cid:durableId="959384783">
    <w:abstractNumId w:val="16"/>
  </w:num>
  <w:num w:numId="6" w16cid:durableId="1923175269">
    <w:abstractNumId w:val="26"/>
  </w:num>
  <w:num w:numId="7" w16cid:durableId="1100760332">
    <w:abstractNumId w:val="27"/>
  </w:num>
  <w:num w:numId="8" w16cid:durableId="613485289">
    <w:abstractNumId w:val="1"/>
  </w:num>
  <w:num w:numId="9" w16cid:durableId="276720758">
    <w:abstractNumId w:val="22"/>
  </w:num>
  <w:num w:numId="10" w16cid:durableId="1473601868">
    <w:abstractNumId w:val="9"/>
  </w:num>
  <w:num w:numId="11" w16cid:durableId="1497652538">
    <w:abstractNumId w:val="30"/>
  </w:num>
  <w:num w:numId="12" w16cid:durableId="493960668">
    <w:abstractNumId w:val="14"/>
  </w:num>
  <w:num w:numId="13" w16cid:durableId="1345520327">
    <w:abstractNumId w:val="13"/>
  </w:num>
  <w:num w:numId="14" w16cid:durableId="1077441185">
    <w:abstractNumId w:val="6"/>
  </w:num>
  <w:num w:numId="15" w16cid:durableId="534317396">
    <w:abstractNumId w:val="10"/>
  </w:num>
  <w:num w:numId="16" w16cid:durableId="178668966">
    <w:abstractNumId w:val="29"/>
  </w:num>
  <w:num w:numId="17" w16cid:durableId="2135058682">
    <w:abstractNumId w:val="23"/>
  </w:num>
  <w:num w:numId="18" w16cid:durableId="400061584">
    <w:abstractNumId w:val="17"/>
  </w:num>
  <w:num w:numId="19" w16cid:durableId="2028478714">
    <w:abstractNumId w:val="7"/>
  </w:num>
  <w:num w:numId="20" w16cid:durableId="2116636827">
    <w:abstractNumId w:val="3"/>
  </w:num>
  <w:num w:numId="21" w16cid:durableId="622730116">
    <w:abstractNumId w:val="25"/>
  </w:num>
  <w:num w:numId="22" w16cid:durableId="309754906">
    <w:abstractNumId w:val="28"/>
  </w:num>
  <w:num w:numId="23" w16cid:durableId="148523565">
    <w:abstractNumId w:val="21"/>
  </w:num>
  <w:num w:numId="24" w16cid:durableId="1866409281">
    <w:abstractNumId w:val="8"/>
  </w:num>
  <w:num w:numId="25" w16cid:durableId="411969447">
    <w:abstractNumId w:val="2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6" w16cid:durableId="713771001">
    <w:abstractNumId w:val="12"/>
  </w:num>
  <w:num w:numId="27" w16cid:durableId="553128103">
    <w:abstractNumId w:val="4"/>
  </w:num>
  <w:num w:numId="28" w16cid:durableId="725376659">
    <w:abstractNumId w:val="18"/>
    <w:lvlOverride w:ilvl="0">
      <w:lvl w:ilvl="0">
        <w:numFmt w:val="lowerLetter"/>
        <w:lvlText w:val="%1."/>
        <w:lvlJc w:val="left"/>
      </w:lvl>
    </w:lvlOverride>
  </w:num>
  <w:num w:numId="29" w16cid:durableId="725376659">
    <w:abstractNumId w:val="18"/>
    <w:lvlOverride w:ilvl="0">
      <w:lvl w:ilvl="0">
        <w:numFmt w:val="lowerLetter"/>
        <w:lvlText w:val="%1."/>
        <w:lvlJc w:val="left"/>
      </w:lvl>
    </w:lvlOverride>
    <w:lvlOverride w:ilvl="1">
      <w:lvl w:ilvl="1">
        <w:numFmt w:val="lowerRoman"/>
        <w:lvlText w:val="%2."/>
        <w:lvlJc w:val="right"/>
      </w:lvl>
    </w:lvlOverride>
  </w:num>
  <w:num w:numId="30" w16cid:durableId="1979190491">
    <w:abstractNumId w:val="24"/>
  </w:num>
  <w:num w:numId="31" w16cid:durableId="970866592">
    <w:abstractNumId w:val="5"/>
  </w:num>
  <w:num w:numId="32" w16cid:durableId="1779837389">
    <w:abstractNumId w:val="19"/>
  </w:num>
  <w:num w:numId="33" w16cid:durableId="191917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35C5"/>
    <w:rsid w:val="00015717"/>
    <w:rsid w:val="000248FC"/>
    <w:rsid w:val="000302E9"/>
    <w:rsid w:val="00032462"/>
    <w:rsid w:val="00032D3F"/>
    <w:rsid w:val="000368AA"/>
    <w:rsid w:val="000465DE"/>
    <w:rsid w:val="0004733E"/>
    <w:rsid w:val="000507B8"/>
    <w:rsid w:val="00052316"/>
    <w:rsid w:val="00060509"/>
    <w:rsid w:val="00062456"/>
    <w:rsid w:val="00067210"/>
    <w:rsid w:val="00067B0A"/>
    <w:rsid w:val="0007129C"/>
    <w:rsid w:val="000718A7"/>
    <w:rsid w:val="000720FE"/>
    <w:rsid w:val="00072E7B"/>
    <w:rsid w:val="0007358B"/>
    <w:rsid w:val="000748F0"/>
    <w:rsid w:val="00075878"/>
    <w:rsid w:val="00075ACA"/>
    <w:rsid w:val="00076246"/>
    <w:rsid w:val="00080492"/>
    <w:rsid w:val="00081CAB"/>
    <w:rsid w:val="000820B8"/>
    <w:rsid w:val="00083740"/>
    <w:rsid w:val="00085F7C"/>
    <w:rsid w:val="00091741"/>
    <w:rsid w:val="00094136"/>
    <w:rsid w:val="000A2EED"/>
    <w:rsid w:val="000A3883"/>
    <w:rsid w:val="000A7D68"/>
    <w:rsid w:val="000B30AA"/>
    <w:rsid w:val="000C3498"/>
    <w:rsid w:val="000C5254"/>
    <w:rsid w:val="000C7516"/>
    <w:rsid w:val="000D1712"/>
    <w:rsid w:val="000D2E46"/>
    <w:rsid w:val="000D5C56"/>
    <w:rsid w:val="000E5927"/>
    <w:rsid w:val="000F10C2"/>
    <w:rsid w:val="000F1820"/>
    <w:rsid w:val="000F46A9"/>
    <w:rsid w:val="000F6FC8"/>
    <w:rsid w:val="00101AC5"/>
    <w:rsid w:val="00112CFA"/>
    <w:rsid w:val="00114549"/>
    <w:rsid w:val="001148A8"/>
    <w:rsid w:val="00116BE4"/>
    <w:rsid w:val="00122295"/>
    <w:rsid w:val="00122410"/>
    <w:rsid w:val="00122FD6"/>
    <w:rsid w:val="00125D16"/>
    <w:rsid w:val="00127F67"/>
    <w:rsid w:val="00134643"/>
    <w:rsid w:val="00137120"/>
    <w:rsid w:val="00137350"/>
    <w:rsid w:val="0014316D"/>
    <w:rsid w:val="00144159"/>
    <w:rsid w:val="00146C6E"/>
    <w:rsid w:val="00150D41"/>
    <w:rsid w:val="0015186F"/>
    <w:rsid w:val="00152100"/>
    <w:rsid w:val="001653D3"/>
    <w:rsid w:val="0016602D"/>
    <w:rsid w:val="0017025B"/>
    <w:rsid w:val="00170B14"/>
    <w:rsid w:val="001729AA"/>
    <w:rsid w:val="001738F5"/>
    <w:rsid w:val="00174EE8"/>
    <w:rsid w:val="0017652B"/>
    <w:rsid w:val="001810B9"/>
    <w:rsid w:val="001818D7"/>
    <w:rsid w:val="00184B07"/>
    <w:rsid w:val="00185104"/>
    <w:rsid w:val="00185362"/>
    <w:rsid w:val="001962BE"/>
    <w:rsid w:val="00196689"/>
    <w:rsid w:val="00196935"/>
    <w:rsid w:val="0019746F"/>
    <w:rsid w:val="0019794C"/>
    <w:rsid w:val="001A1C22"/>
    <w:rsid w:val="001A53BB"/>
    <w:rsid w:val="001B2D0A"/>
    <w:rsid w:val="001B2D96"/>
    <w:rsid w:val="001B5712"/>
    <w:rsid w:val="001B7347"/>
    <w:rsid w:val="001C3EA8"/>
    <w:rsid w:val="001C4A57"/>
    <w:rsid w:val="001C71E9"/>
    <w:rsid w:val="001C79EC"/>
    <w:rsid w:val="001D0D34"/>
    <w:rsid w:val="001D329D"/>
    <w:rsid w:val="001D4C69"/>
    <w:rsid w:val="001D70D4"/>
    <w:rsid w:val="001E04FA"/>
    <w:rsid w:val="001E31D0"/>
    <w:rsid w:val="001E5E5B"/>
    <w:rsid w:val="001E7D12"/>
    <w:rsid w:val="001F3DAA"/>
    <w:rsid w:val="001F73F7"/>
    <w:rsid w:val="00201874"/>
    <w:rsid w:val="00202389"/>
    <w:rsid w:val="00203DE6"/>
    <w:rsid w:val="002047ED"/>
    <w:rsid w:val="0020675F"/>
    <w:rsid w:val="00207409"/>
    <w:rsid w:val="0020778E"/>
    <w:rsid w:val="00215E60"/>
    <w:rsid w:val="002161CF"/>
    <w:rsid w:val="00220736"/>
    <w:rsid w:val="00220A24"/>
    <w:rsid w:val="002215DF"/>
    <w:rsid w:val="00227898"/>
    <w:rsid w:val="00230FE4"/>
    <w:rsid w:val="00233651"/>
    <w:rsid w:val="00250D6F"/>
    <w:rsid w:val="00251D83"/>
    <w:rsid w:val="00254020"/>
    <w:rsid w:val="0025452A"/>
    <w:rsid w:val="002564AD"/>
    <w:rsid w:val="00256642"/>
    <w:rsid w:val="00264786"/>
    <w:rsid w:val="002707AE"/>
    <w:rsid w:val="00271DD8"/>
    <w:rsid w:val="0027341B"/>
    <w:rsid w:val="002769FB"/>
    <w:rsid w:val="0028454E"/>
    <w:rsid w:val="00285997"/>
    <w:rsid w:val="00291F6B"/>
    <w:rsid w:val="002A2C04"/>
    <w:rsid w:val="002A39EE"/>
    <w:rsid w:val="002B0582"/>
    <w:rsid w:val="002B1F5E"/>
    <w:rsid w:val="002B43C1"/>
    <w:rsid w:val="002C3AC5"/>
    <w:rsid w:val="002C6AAB"/>
    <w:rsid w:val="002D019A"/>
    <w:rsid w:val="002D04A0"/>
    <w:rsid w:val="002D0B3E"/>
    <w:rsid w:val="002D305D"/>
    <w:rsid w:val="002D4780"/>
    <w:rsid w:val="002D4F8E"/>
    <w:rsid w:val="002E041E"/>
    <w:rsid w:val="002E3E61"/>
    <w:rsid w:val="002E48E7"/>
    <w:rsid w:val="002E5306"/>
    <w:rsid w:val="002F3204"/>
    <w:rsid w:val="00302A39"/>
    <w:rsid w:val="003043AF"/>
    <w:rsid w:val="00304449"/>
    <w:rsid w:val="0031211A"/>
    <w:rsid w:val="003140D6"/>
    <w:rsid w:val="00315013"/>
    <w:rsid w:val="00323C42"/>
    <w:rsid w:val="00331ADD"/>
    <w:rsid w:val="00332A8D"/>
    <w:rsid w:val="00336E37"/>
    <w:rsid w:val="003421EE"/>
    <w:rsid w:val="00350226"/>
    <w:rsid w:val="00350F22"/>
    <w:rsid w:val="00352C9F"/>
    <w:rsid w:val="00357D0E"/>
    <w:rsid w:val="00363A2E"/>
    <w:rsid w:val="003643CE"/>
    <w:rsid w:val="00365131"/>
    <w:rsid w:val="00370F43"/>
    <w:rsid w:val="003840CC"/>
    <w:rsid w:val="00392820"/>
    <w:rsid w:val="0039514F"/>
    <w:rsid w:val="003A66A0"/>
    <w:rsid w:val="003A6F09"/>
    <w:rsid w:val="003B13A3"/>
    <w:rsid w:val="003B45BA"/>
    <w:rsid w:val="003B5512"/>
    <w:rsid w:val="003C074E"/>
    <w:rsid w:val="003C31CA"/>
    <w:rsid w:val="003C3233"/>
    <w:rsid w:val="003C35BB"/>
    <w:rsid w:val="003C4405"/>
    <w:rsid w:val="003D0735"/>
    <w:rsid w:val="003D49A0"/>
    <w:rsid w:val="003D601F"/>
    <w:rsid w:val="003D69A3"/>
    <w:rsid w:val="003D7B37"/>
    <w:rsid w:val="003D7BE7"/>
    <w:rsid w:val="003E26B0"/>
    <w:rsid w:val="003E4ABB"/>
    <w:rsid w:val="003E632E"/>
    <w:rsid w:val="003E7C1F"/>
    <w:rsid w:val="003F0054"/>
    <w:rsid w:val="003F045E"/>
    <w:rsid w:val="003F0C37"/>
    <w:rsid w:val="003F0EAA"/>
    <w:rsid w:val="003F3D44"/>
    <w:rsid w:val="0040647A"/>
    <w:rsid w:val="0040650F"/>
    <w:rsid w:val="00411F1B"/>
    <w:rsid w:val="00412079"/>
    <w:rsid w:val="0041473E"/>
    <w:rsid w:val="00417C54"/>
    <w:rsid w:val="00424F84"/>
    <w:rsid w:val="004274B0"/>
    <w:rsid w:val="00430F8D"/>
    <w:rsid w:val="00431BCF"/>
    <w:rsid w:val="0043318C"/>
    <w:rsid w:val="004342BF"/>
    <w:rsid w:val="0043533F"/>
    <w:rsid w:val="00435F50"/>
    <w:rsid w:val="00441A5D"/>
    <w:rsid w:val="00443815"/>
    <w:rsid w:val="00446A84"/>
    <w:rsid w:val="004505CD"/>
    <w:rsid w:val="0045249D"/>
    <w:rsid w:val="004560A5"/>
    <w:rsid w:val="00457029"/>
    <w:rsid w:val="004578BD"/>
    <w:rsid w:val="00461008"/>
    <w:rsid w:val="004615E7"/>
    <w:rsid w:val="004678C0"/>
    <w:rsid w:val="0047086C"/>
    <w:rsid w:val="004723BA"/>
    <w:rsid w:val="00472C6C"/>
    <w:rsid w:val="00477AB1"/>
    <w:rsid w:val="00480C09"/>
    <w:rsid w:val="00481406"/>
    <w:rsid w:val="0048188F"/>
    <w:rsid w:val="00483462"/>
    <w:rsid w:val="0048384E"/>
    <w:rsid w:val="0049101B"/>
    <w:rsid w:val="00493710"/>
    <w:rsid w:val="0049674E"/>
    <w:rsid w:val="00496BCF"/>
    <w:rsid w:val="00497AED"/>
    <w:rsid w:val="004A25E2"/>
    <w:rsid w:val="004B14B0"/>
    <w:rsid w:val="004B3CE8"/>
    <w:rsid w:val="004B6843"/>
    <w:rsid w:val="004C0DD5"/>
    <w:rsid w:val="004C18F4"/>
    <w:rsid w:val="004C1D40"/>
    <w:rsid w:val="004C3CBA"/>
    <w:rsid w:val="004C44E0"/>
    <w:rsid w:val="004C4605"/>
    <w:rsid w:val="004C58ED"/>
    <w:rsid w:val="004D05E3"/>
    <w:rsid w:val="004D294B"/>
    <w:rsid w:val="004D5819"/>
    <w:rsid w:val="004E0B99"/>
    <w:rsid w:val="004F09D8"/>
    <w:rsid w:val="004F15AC"/>
    <w:rsid w:val="004F21B6"/>
    <w:rsid w:val="004F29DA"/>
    <w:rsid w:val="004F51A5"/>
    <w:rsid w:val="004F6394"/>
    <w:rsid w:val="00505830"/>
    <w:rsid w:val="00505D64"/>
    <w:rsid w:val="00506446"/>
    <w:rsid w:val="005103B8"/>
    <w:rsid w:val="005104B1"/>
    <w:rsid w:val="00512ADE"/>
    <w:rsid w:val="00517897"/>
    <w:rsid w:val="005319E7"/>
    <w:rsid w:val="0053332C"/>
    <w:rsid w:val="005423D4"/>
    <w:rsid w:val="005427C7"/>
    <w:rsid w:val="005431AE"/>
    <w:rsid w:val="005523A2"/>
    <w:rsid w:val="005537B0"/>
    <w:rsid w:val="0055478B"/>
    <w:rsid w:val="00555ED6"/>
    <w:rsid w:val="00556FE4"/>
    <w:rsid w:val="00557092"/>
    <w:rsid w:val="005620FB"/>
    <w:rsid w:val="00564442"/>
    <w:rsid w:val="00564FDC"/>
    <w:rsid w:val="00566F36"/>
    <w:rsid w:val="0057024B"/>
    <w:rsid w:val="00574323"/>
    <w:rsid w:val="005763E7"/>
    <w:rsid w:val="005776FD"/>
    <w:rsid w:val="00583376"/>
    <w:rsid w:val="00585D32"/>
    <w:rsid w:val="0059608E"/>
    <w:rsid w:val="005A06FE"/>
    <w:rsid w:val="005A191E"/>
    <w:rsid w:val="005A21DF"/>
    <w:rsid w:val="005A23BB"/>
    <w:rsid w:val="005A4F28"/>
    <w:rsid w:val="005B37DA"/>
    <w:rsid w:val="005C17DF"/>
    <w:rsid w:val="005C3607"/>
    <w:rsid w:val="005D009F"/>
    <w:rsid w:val="005D16A6"/>
    <w:rsid w:val="005D1C4C"/>
    <w:rsid w:val="005D4FEA"/>
    <w:rsid w:val="005D5146"/>
    <w:rsid w:val="005D62A7"/>
    <w:rsid w:val="005D666D"/>
    <w:rsid w:val="005D7B81"/>
    <w:rsid w:val="005E126E"/>
    <w:rsid w:val="005E411E"/>
    <w:rsid w:val="005E6D0D"/>
    <w:rsid w:val="005F051C"/>
    <w:rsid w:val="005F19D1"/>
    <w:rsid w:val="00601FFC"/>
    <w:rsid w:val="00603877"/>
    <w:rsid w:val="00604DA9"/>
    <w:rsid w:val="0060632B"/>
    <w:rsid w:val="00613205"/>
    <w:rsid w:val="00614AB7"/>
    <w:rsid w:val="00616780"/>
    <w:rsid w:val="0062273A"/>
    <w:rsid w:val="00626308"/>
    <w:rsid w:val="006265CA"/>
    <w:rsid w:val="006275D5"/>
    <w:rsid w:val="0062765D"/>
    <w:rsid w:val="00631D0E"/>
    <w:rsid w:val="00635DC5"/>
    <w:rsid w:val="00636DBD"/>
    <w:rsid w:val="006379F5"/>
    <w:rsid w:val="006466E3"/>
    <w:rsid w:val="006474BB"/>
    <w:rsid w:val="00653D39"/>
    <w:rsid w:val="006548AB"/>
    <w:rsid w:val="0065664B"/>
    <w:rsid w:val="00656ABF"/>
    <w:rsid w:val="00665484"/>
    <w:rsid w:val="006664E9"/>
    <w:rsid w:val="00667388"/>
    <w:rsid w:val="00667677"/>
    <w:rsid w:val="00670100"/>
    <w:rsid w:val="00672710"/>
    <w:rsid w:val="00672A67"/>
    <w:rsid w:val="00672D52"/>
    <w:rsid w:val="00681A9F"/>
    <w:rsid w:val="00690A71"/>
    <w:rsid w:val="00692E07"/>
    <w:rsid w:val="006937F2"/>
    <w:rsid w:val="0069387A"/>
    <w:rsid w:val="0069498C"/>
    <w:rsid w:val="00694E11"/>
    <w:rsid w:val="006A3B61"/>
    <w:rsid w:val="006A65F6"/>
    <w:rsid w:val="006B65B7"/>
    <w:rsid w:val="006C2042"/>
    <w:rsid w:val="006C29BD"/>
    <w:rsid w:val="006C49CC"/>
    <w:rsid w:val="006C74DF"/>
    <w:rsid w:val="006C78F9"/>
    <w:rsid w:val="006D5E59"/>
    <w:rsid w:val="006D7E9F"/>
    <w:rsid w:val="006F17D5"/>
    <w:rsid w:val="006F22A6"/>
    <w:rsid w:val="006F48E4"/>
    <w:rsid w:val="006F4D70"/>
    <w:rsid w:val="0070423B"/>
    <w:rsid w:val="00704C91"/>
    <w:rsid w:val="0070574D"/>
    <w:rsid w:val="00711C76"/>
    <w:rsid w:val="00714336"/>
    <w:rsid w:val="007163E2"/>
    <w:rsid w:val="007179BC"/>
    <w:rsid w:val="00717CBC"/>
    <w:rsid w:val="0072033A"/>
    <w:rsid w:val="00722322"/>
    <w:rsid w:val="00723BC8"/>
    <w:rsid w:val="00731125"/>
    <w:rsid w:val="007375A9"/>
    <w:rsid w:val="00742242"/>
    <w:rsid w:val="00744250"/>
    <w:rsid w:val="0075207D"/>
    <w:rsid w:val="00761471"/>
    <w:rsid w:val="007735C4"/>
    <w:rsid w:val="007764CE"/>
    <w:rsid w:val="007839C1"/>
    <w:rsid w:val="00786DAE"/>
    <w:rsid w:val="00790A13"/>
    <w:rsid w:val="00794977"/>
    <w:rsid w:val="007A0BCC"/>
    <w:rsid w:val="007A394E"/>
    <w:rsid w:val="007A3A65"/>
    <w:rsid w:val="007B07AE"/>
    <w:rsid w:val="007B50D0"/>
    <w:rsid w:val="007C466A"/>
    <w:rsid w:val="007C6714"/>
    <w:rsid w:val="007C6C8B"/>
    <w:rsid w:val="007C77B2"/>
    <w:rsid w:val="007C7E1C"/>
    <w:rsid w:val="007D00AD"/>
    <w:rsid w:val="007D4801"/>
    <w:rsid w:val="007D58A0"/>
    <w:rsid w:val="007E0204"/>
    <w:rsid w:val="007E73D5"/>
    <w:rsid w:val="007F0888"/>
    <w:rsid w:val="007F171B"/>
    <w:rsid w:val="007F1F19"/>
    <w:rsid w:val="007F7759"/>
    <w:rsid w:val="0080201F"/>
    <w:rsid w:val="008143F9"/>
    <w:rsid w:val="00814601"/>
    <w:rsid w:val="00814C86"/>
    <w:rsid w:val="00821237"/>
    <w:rsid w:val="00831D16"/>
    <w:rsid w:val="00841FB5"/>
    <w:rsid w:val="0084293B"/>
    <w:rsid w:val="008435E0"/>
    <w:rsid w:val="00845C81"/>
    <w:rsid w:val="0085575C"/>
    <w:rsid w:val="00857C10"/>
    <w:rsid w:val="00857EAC"/>
    <w:rsid w:val="00865364"/>
    <w:rsid w:val="008728A7"/>
    <w:rsid w:val="008741DB"/>
    <w:rsid w:val="00874240"/>
    <w:rsid w:val="00875924"/>
    <w:rsid w:val="008762B2"/>
    <w:rsid w:val="00876C24"/>
    <w:rsid w:val="00877EC7"/>
    <w:rsid w:val="008808F6"/>
    <w:rsid w:val="008849A8"/>
    <w:rsid w:val="00885F9E"/>
    <w:rsid w:val="0089051A"/>
    <w:rsid w:val="008907E0"/>
    <w:rsid w:val="0089108E"/>
    <w:rsid w:val="00896E94"/>
    <w:rsid w:val="008A2BFA"/>
    <w:rsid w:val="008A52CC"/>
    <w:rsid w:val="008A690E"/>
    <w:rsid w:val="008A7E24"/>
    <w:rsid w:val="008B0705"/>
    <w:rsid w:val="008B3F70"/>
    <w:rsid w:val="008B5973"/>
    <w:rsid w:val="008C270E"/>
    <w:rsid w:val="008C3F68"/>
    <w:rsid w:val="008C5B46"/>
    <w:rsid w:val="008C6B3A"/>
    <w:rsid w:val="008C71B0"/>
    <w:rsid w:val="008D4E48"/>
    <w:rsid w:val="008D6D42"/>
    <w:rsid w:val="008E7D2A"/>
    <w:rsid w:val="008F4F7E"/>
    <w:rsid w:val="00902C9B"/>
    <w:rsid w:val="00902E79"/>
    <w:rsid w:val="009103EE"/>
    <w:rsid w:val="009107BA"/>
    <w:rsid w:val="009135E0"/>
    <w:rsid w:val="00915CA4"/>
    <w:rsid w:val="0093385D"/>
    <w:rsid w:val="00934045"/>
    <w:rsid w:val="0093511A"/>
    <w:rsid w:val="009365CD"/>
    <w:rsid w:val="0093675F"/>
    <w:rsid w:val="00937D47"/>
    <w:rsid w:val="0094281F"/>
    <w:rsid w:val="00942E8E"/>
    <w:rsid w:val="00947BBD"/>
    <w:rsid w:val="00950820"/>
    <w:rsid w:val="009553C8"/>
    <w:rsid w:val="0096018F"/>
    <w:rsid w:val="00961071"/>
    <w:rsid w:val="00963062"/>
    <w:rsid w:val="00965982"/>
    <w:rsid w:val="00970423"/>
    <w:rsid w:val="009735FA"/>
    <w:rsid w:val="009772B9"/>
    <w:rsid w:val="00977ECA"/>
    <w:rsid w:val="00981D02"/>
    <w:rsid w:val="00982180"/>
    <w:rsid w:val="009839BC"/>
    <w:rsid w:val="00985790"/>
    <w:rsid w:val="00986E9C"/>
    <w:rsid w:val="009928B2"/>
    <w:rsid w:val="00995532"/>
    <w:rsid w:val="009A00EA"/>
    <w:rsid w:val="009A2128"/>
    <w:rsid w:val="009B7C4F"/>
    <w:rsid w:val="009C078F"/>
    <w:rsid w:val="009C112C"/>
    <w:rsid w:val="009C11FE"/>
    <w:rsid w:val="009C61B2"/>
    <w:rsid w:val="009C6A30"/>
    <w:rsid w:val="009D0A74"/>
    <w:rsid w:val="009D5928"/>
    <w:rsid w:val="009D7D38"/>
    <w:rsid w:val="009E0FB0"/>
    <w:rsid w:val="009E3537"/>
    <w:rsid w:val="009E6F29"/>
    <w:rsid w:val="00A00370"/>
    <w:rsid w:val="00A01157"/>
    <w:rsid w:val="00A06ECE"/>
    <w:rsid w:val="00A07BE0"/>
    <w:rsid w:val="00A14431"/>
    <w:rsid w:val="00A17570"/>
    <w:rsid w:val="00A20F73"/>
    <w:rsid w:val="00A21422"/>
    <w:rsid w:val="00A277A8"/>
    <w:rsid w:val="00A3242C"/>
    <w:rsid w:val="00A41694"/>
    <w:rsid w:val="00A41969"/>
    <w:rsid w:val="00A42F65"/>
    <w:rsid w:val="00A43DC0"/>
    <w:rsid w:val="00A468C6"/>
    <w:rsid w:val="00A5285D"/>
    <w:rsid w:val="00A528EB"/>
    <w:rsid w:val="00A5606A"/>
    <w:rsid w:val="00A60413"/>
    <w:rsid w:val="00A66463"/>
    <w:rsid w:val="00A66751"/>
    <w:rsid w:val="00A67BE5"/>
    <w:rsid w:val="00A72A75"/>
    <w:rsid w:val="00A77F43"/>
    <w:rsid w:val="00A83658"/>
    <w:rsid w:val="00A85489"/>
    <w:rsid w:val="00A86174"/>
    <w:rsid w:val="00A87B1F"/>
    <w:rsid w:val="00A87F8D"/>
    <w:rsid w:val="00A904E5"/>
    <w:rsid w:val="00A92E8A"/>
    <w:rsid w:val="00A94DCE"/>
    <w:rsid w:val="00A96C89"/>
    <w:rsid w:val="00AA0416"/>
    <w:rsid w:val="00AA336E"/>
    <w:rsid w:val="00AA428E"/>
    <w:rsid w:val="00AA639D"/>
    <w:rsid w:val="00AB4DF6"/>
    <w:rsid w:val="00AB7876"/>
    <w:rsid w:val="00AB7BDC"/>
    <w:rsid w:val="00AC0CE4"/>
    <w:rsid w:val="00AC5C5D"/>
    <w:rsid w:val="00AC63DE"/>
    <w:rsid w:val="00AC6D6A"/>
    <w:rsid w:val="00AD020B"/>
    <w:rsid w:val="00AD0A21"/>
    <w:rsid w:val="00AD172F"/>
    <w:rsid w:val="00AD1AA6"/>
    <w:rsid w:val="00AD2AC6"/>
    <w:rsid w:val="00AD59CA"/>
    <w:rsid w:val="00AD70E2"/>
    <w:rsid w:val="00AE48E8"/>
    <w:rsid w:val="00AE589B"/>
    <w:rsid w:val="00AF10EA"/>
    <w:rsid w:val="00AF1F2A"/>
    <w:rsid w:val="00AF30EF"/>
    <w:rsid w:val="00AF43A8"/>
    <w:rsid w:val="00AF4D1D"/>
    <w:rsid w:val="00AF5490"/>
    <w:rsid w:val="00AF5604"/>
    <w:rsid w:val="00B01EF6"/>
    <w:rsid w:val="00B13478"/>
    <w:rsid w:val="00B14D70"/>
    <w:rsid w:val="00B1775E"/>
    <w:rsid w:val="00B20327"/>
    <w:rsid w:val="00B257EA"/>
    <w:rsid w:val="00B2614E"/>
    <w:rsid w:val="00B32EAB"/>
    <w:rsid w:val="00B37646"/>
    <w:rsid w:val="00B3782C"/>
    <w:rsid w:val="00B41AA5"/>
    <w:rsid w:val="00B44D34"/>
    <w:rsid w:val="00B4542A"/>
    <w:rsid w:val="00B4633B"/>
    <w:rsid w:val="00B47B71"/>
    <w:rsid w:val="00B52621"/>
    <w:rsid w:val="00B54242"/>
    <w:rsid w:val="00B55343"/>
    <w:rsid w:val="00B5592F"/>
    <w:rsid w:val="00B6211B"/>
    <w:rsid w:val="00B623E3"/>
    <w:rsid w:val="00B660B5"/>
    <w:rsid w:val="00B777AF"/>
    <w:rsid w:val="00B80E89"/>
    <w:rsid w:val="00B81789"/>
    <w:rsid w:val="00B87168"/>
    <w:rsid w:val="00B879AA"/>
    <w:rsid w:val="00B916D9"/>
    <w:rsid w:val="00B92DF1"/>
    <w:rsid w:val="00B97B1B"/>
    <w:rsid w:val="00BA0617"/>
    <w:rsid w:val="00BA0BB2"/>
    <w:rsid w:val="00BA0BE4"/>
    <w:rsid w:val="00BA32C6"/>
    <w:rsid w:val="00BA5A00"/>
    <w:rsid w:val="00BA7B94"/>
    <w:rsid w:val="00BB1BD2"/>
    <w:rsid w:val="00BB2675"/>
    <w:rsid w:val="00BB6302"/>
    <w:rsid w:val="00BC6E5B"/>
    <w:rsid w:val="00BD086E"/>
    <w:rsid w:val="00BD1722"/>
    <w:rsid w:val="00BD723A"/>
    <w:rsid w:val="00BE1F33"/>
    <w:rsid w:val="00BE2F97"/>
    <w:rsid w:val="00BF4150"/>
    <w:rsid w:val="00BF45C7"/>
    <w:rsid w:val="00BF5F30"/>
    <w:rsid w:val="00C000DA"/>
    <w:rsid w:val="00C01AA6"/>
    <w:rsid w:val="00C02450"/>
    <w:rsid w:val="00C02992"/>
    <w:rsid w:val="00C03364"/>
    <w:rsid w:val="00C046C6"/>
    <w:rsid w:val="00C06257"/>
    <w:rsid w:val="00C07199"/>
    <w:rsid w:val="00C079B0"/>
    <w:rsid w:val="00C1063C"/>
    <w:rsid w:val="00C14250"/>
    <w:rsid w:val="00C15D31"/>
    <w:rsid w:val="00C2297C"/>
    <w:rsid w:val="00C2404C"/>
    <w:rsid w:val="00C2639C"/>
    <w:rsid w:val="00C26E0E"/>
    <w:rsid w:val="00C30075"/>
    <w:rsid w:val="00C309F9"/>
    <w:rsid w:val="00C33C19"/>
    <w:rsid w:val="00C40805"/>
    <w:rsid w:val="00C40A87"/>
    <w:rsid w:val="00C43FA2"/>
    <w:rsid w:val="00C53A7D"/>
    <w:rsid w:val="00C5577A"/>
    <w:rsid w:val="00C55DE5"/>
    <w:rsid w:val="00C64BB4"/>
    <w:rsid w:val="00C65492"/>
    <w:rsid w:val="00C70093"/>
    <w:rsid w:val="00C708C8"/>
    <w:rsid w:val="00C73CF5"/>
    <w:rsid w:val="00C75BD4"/>
    <w:rsid w:val="00C801E8"/>
    <w:rsid w:val="00C83886"/>
    <w:rsid w:val="00C84E2E"/>
    <w:rsid w:val="00C945B0"/>
    <w:rsid w:val="00C95F4E"/>
    <w:rsid w:val="00C96847"/>
    <w:rsid w:val="00CA2CB6"/>
    <w:rsid w:val="00CA53B9"/>
    <w:rsid w:val="00CA5991"/>
    <w:rsid w:val="00CA5C08"/>
    <w:rsid w:val="00CB1248"/>
    <w:rsid w:val="00CB446D"/>
    <w:rsid w:val="00CD7658"/>
    <w:rsid w:val="00CE1D81"/>
    <w:rsid w:val="00CF1C8D"/>
    <w:rsid w:val="00CF2624"/>
    <w:rsid w:val="00D069B4"/>
    <w:rsid w:val="00D15B1D"/>
    <w:rsid w:val="00D2034F"/>
    <w:rsid w:val="00D21AF7"/>
    <w:rsid w:val="00D22822"/>
    <w:rsid w:val="00D25272"/>
    <w:rsid w:val="00D2675F"/>
    <w:rsid w:val="00D31FE5"/>
    <w:rsid w:val="00D33732"/>
    <w:rsid w:val="00D34EF5"/>
    <w:rsid w:val="00D36448"/>
    <w:rsid w:val="00D43ECB"/>
    <w:rsid w:val="00D47B36"/>
    <w:rsid w:val="00D51C60"/>
    <w:rsid w:val="00D5565E"/>
    <w:rsid w:val="00D574CA"/>
    <w:rsid w:val="00D60793"/>
    <w:rsid w:val="00D71BC4"/>
    <w:rsid w:val="00D74C28"/>
    <w:rsid w:val="00D83EC7"/>
    <w:rsid w:val="00D86AE9"/>
    <w:rsid w:val="00D86B90"/>
    <w:rsid w:val="00D922E0"/>
    <w:rsid w:val="00D961B9"/>
    <w:rsid w:val="00DA1087"/>
    <w:rsid w:val="00DA2CBB"/>
    <w:rsid w:val="00DA2E3B"/>
    <w:rsid w:val="00DA6D35"/>
    <w:rsid w:val="00DB1DE9"/>
    <w:rsid w:val="00DB7073"/>
    <w:rsid w:val="00DC15E7"/>
    <w:rsid w:val="00DC3A9A"/>
    <w:rsid w:val="00DC528D"/>
    <w:rsid w:val="00DD025A"/>
    <w:rsid w:val="00DD44DF"/>
    <w:rsid w:val="00DD614A"/>
    <w:rsid w:val="00DD655E"/>
    <w:rsid w:val="00DD6ADB"/>
    <w:rsid w:val="00DD7D7A"/>
    <w:rsid w:val="00DE18E2"/>
    <w:rsid w:val="00DE52D9"/>
    <w:rsid w:val="00DE6D95"/>
    <w:rsid w:val="00DF0A06"/>
    <w:rsid w:val="00DF7B67"/>
    <w:rsid w:val="00E110B7"/>
    <w:rsid w:val="00E14EFE"/>
    <w:rsid w:val="00E317AC"/>
    <w:rsid w:val="00E33198"/>
    <w:rsid w:val="00E34641"/>
    <w:rsid w:val="00E35F5A"/>
    <w:rsid w:val="00E45494"/>
    <w:rsid w:val="00E47845"/>
    <w:rsid w:val="00E52125"/>
    <w:rsid w:val="00E5710F"/>
    <w:rsid w:val="00E63B62"/>
    <w:rsid w:val="00E67D88"/>
    <w:rsid w:val="00E75C5E"/>
    <w:rsid w:val="00E80161"/>
    <w:rsid w:val="00E86BE6"/>
    <w:rsid w:val="00E87D9C"/>
    <w:rsid w:val="00E918EB"/>
    <w:rsid w:val="00E91DB6"/>
    <w:rsid w:val="00E921A1"/>
    <w:rsid w:val="00E94C80"/>
    <w:rsid w:val="00E951D0"/>
    <w:rsid w:val="00E95307"/>
    <w:rsid w:val="00E97C17"/>
    <w:rsid w:val="00EA15D1"/>
    <w:rsid w:val="00EA2193"/>
    <w:rsid w:val="00EA2D5D"/>
    <w:rsid w:val="00EA362F"/>
    <w:rsid w:val="00EA3809"/>
    <w:rsid w:val="00EA5ACC"/>
    <w:rsid w:val="00EB6985"/>
    <w:rsid w:val="00EC3E32"/>
    <w:rsid w:val="00EC45FF"/>
    <w:rsid w:val="00EC52BD"/>
    <w:rsid w:val="00EC64B2"/>
    <w:rsid w:val="00EC6E72"/>
    <w:rsid w:val="00EC7881"/>
    <w:rsid w:val="00ED0A0D"/>
    <w:rsid w:val="00ED0F03"/>
    <w:rsid w:val="00ED1702"/>
    <w:rsid w:val="00ED3169"/>
    <w:rsid w:val="00ED456E"/>
    <w:rsid w:val="00ED5A99"/>
    <w:rsid w:val="00ED7B07"/>
    <w:rsid w:val="00EE2912"/>
    <w:rsid w:val="00EE7A55"/>
    <w:rsid w:val="00EF2933"/>
    <w:rsid w:val="00F02958"/>
    <w:rsid w:val="00F02FE3"/>
    <w:rsid w:val="00F03DC0"/>
    <w:rsid w:val="00F0515A"/>
    <w:rsid w:val="00F10046"/>
    <w:rsid w:val="00F115B8"/>
    <w:rsid w:val="00F14205"/>
    <w:rsid w:val="00F16D31"/>
    <w:rsid w:val="00F2705D"/>
    <w:rsid w:val="00F3082F"/>
    <w:rsid w:val="00F351D1"/>
    <w:rsid w:val="00F36234"/>
    <w:rsid w:val="00F3731D"/>
    <w:rsid w:val="00F422E1"/>
    <w:rsid w:val="00F42702"/>
    <w:rsid w:val="00F44EE4"/>
    <w:rsid w:val="00F45894"/>
    <w:rsid w:val="00F508EE"/>
    <w:rsid w:val="00F51EF8"/>
    <w:rsid w:val="00F64A34"/>
    <w:rsid w:val="00F67BBD"/>
    <w:rsid w:val="00F71F8E"/>
    <w:rsid w:val="00F74281"/>
    <w:rsid w:val="00F74762"/>
    <w:rsid w:val="00F861F9"/>
    <w:rsid w:val="00F95133"/>
    <w:rsid w:val="00FA1323"/>
    <w:rsid w:val="00FA4F68"/>
    <w:rsid w:val="00FB0592"/>
    <w:rsid w:val="00FB139B"/>
    <w:rsid w:val="00FB1E80"/>
    <w:rsid w:val="00FB273C"/>
    <w:rsid w:val="00FC047B"/>
    <w:rsid w:val="00FC18F1"/>
    <w:rsid w:val="00FC5166"/>
    <w:rsid w:val="00FC5ED1"/>
    <w:rsid w:val="00FD23F7"/>
    <w:rsid w:val="00FD2D50"/>
    <w:rsid w:val="00FD7C4A"/>
    <w:rsid w:val="00FD7D02"/>
    <w:rsid w:val="00FE290A"/>
    <w:rsid w:val="00FE5B0C"/>
    <w:rsid w:val="00FE6CCC"/>
    <w:rsid w:val="00FF01A7"/>
    <w:rsid w:val="00FF23B8"/>
    <w:rsid w:val="00FF2FFD"/>
    <w:rsid w:val="00FF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96623"/>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1"/>
    <w:qFormat/>
    <w:rsid w:val="007163E2"/>
    <w:pPr>
      <w:ind w:left="720"/>
      <w:contextualSpacing/>
    </w:pPr>
  </w:style>
  <w:style w:type="character" w:customStyle="1" w:styleId="apple-converted-space">
    <w:name w:val="apple-converted-space"/>
    <w:basedOn w:val="DefaultParagraphFont"/>
    <w:rsid w:val="00AD2AC6"/>
  </w:style>
  <w:style w:type="character" w:customStyle="1" w:styleId="nowrap">
    <w:name w:val="nowrap"/>
    <w:basedOn w:val="DefaultParagraphFont"/>
    <w:rsid w:val="00AD2AC6"/>
  </w:style>
  <w:style w:type="paragraph" w:customStyle="1" w:styleId="bulletindent1">
    <w:name w:val="bulletindent1"/>
    <w:basedOn w:val="Normal"/>
    <w:rsid w:val="00AD2AC6"/>
    <w:pPr>
      <w:spacing w:before="100" w:beforeAutospacing="1" w:after="100" w:afterAutospacing="1"/>
    </w:pPr>
  </w:style>
  <w:style w:type="character" w:customStyle="1" w:styleId="glyph">
    <w:name w:val="glyph"/>
    <w:basedOn w:val="DefaultParagraphFont"/>
    <w:rsid w:val="00AD2AC6"/>
  </w:style>
  <w:style w:type="paragraph" w:customStyle="1" w:styleId="bulletindent2">
    <w:name w:val="bulletindent2"/>
    <w:basedOn w:val="Normal"/>
    <w:rsid w:val="00AD2AC6"/>
    <w:pPr>
      <w:spacing w:before="100" w:beforeAutospacing="1" w:after="100" w:afterAutospacing="1"/>
    </w:pPr>
  </w:style>
  <w:style w:type="character" w:customStyle="1" w:styleId="UnresolvedMention1">
    <w:name w:val="Unresolved Mention1"/>
    <w:basedOn w:val="DefaultParagraphFont"/>
    <w:uiPriority w:val="99"/>
    <w:semiHidden/>
    <w:unhideWhenUsed/>
    <w:rsid w:val="001E31D0"/>
    <w:rPr>
      <w:color w:val="605E5C"/>
      <w:shd w:val="clear" w:color="auto" w:fill="E1DFDD"/>
    </w:rPr>
  </w:style>
  <w:style w:type="paragraph" w:styleId="Revision">
    <w:name w:val="Revision"/>
    <w:hidden/>
    <w:uiPriority w:val="99"/>
    <w:semiHidden/>
    <w:rsid w:val="000720FE"/>
    <w:rPr>
      <w:sz w:val="24"/>
      <w:szCs w:val="24"/>
    </w:rPr>
  </w:style>
  <w:style w:type="character" w:styleId="UnresolvedMention">
    <w:name w:val="Unresolved Mention"/>
    <w:basedOn w:val="DefaultParagraphFont"/>
    <w:uiPriority w:val="99"/>
    <w:semiHidden/>
    <w:unhideWhenUsed/>
    <w:rsid w:val="00AF4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957571112">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248272216">
      <w:bodyDiv w:val="1"/>
      <w:marLeft w:val="0"/>
      <w:marRight w:val="0"/>
      <w:marTop w:val="0"/>
      <w:marBottom w:val="0"/>
      <w:divBdr>
        <w:top w:val="none" w:sz="0" w:space="0" w:color="auto"/>
        <w:left w:val="none" w:sz="0" w:space="0" w:color="auto"/>
        <w:bottom w:val="none" w:sz="0" w:space="0" w:color="auto"/>
        <w:right w:val="none" w:sz="0" w:space="0" w:color="auto"/>
      </w:divBdr>
    </w:div>
    <w:div w:id="1268198748">
      <w:bodyDiv w:val="1"/>
      <w:marLeft w:val="0"/>
      <w:marRight w:val="0"/>
      <w:marTop w:val="0"/>
      <w:marBottom w:val="0"/>
      <w:divBdr>
        <w:top w:val="none" w:sz="0" w:space="0" w:color="auto"/>
        <w:left w:val="none" w:sz="0" w:space="0" w:color="auto"/>
        <w:bottom w:val="none" w:sz="0" w:space="0" w:color="auto"/>
        <w:right w:val="none" w:sz="0" w:space="0" w:color="auto"/>
      </w:divBdr>
    </w:div>
    <w:div w:id="13818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m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83CD9-157B-4B46-9549-6CDFE8FFB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D3E8A-5BB8-422C-95B3-D11CCE327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29F309-B227-4597-A867-44F04C607206}">
  <ds:schemaRefs>
    <ds:schemaRef ds:uri="http://schemas.openxmlformats.org/officeDocument/2006/bibliography"/>
  </ds:schemaRefs>
</ds:datastoreItem>
</file>

<file path=customXml/itemProps4.xml><?xml version="1.0" encoding="utf-8"?>
<ds:datastoreItem xmlns:ds="http://schemas.openxmlformats.org/officeDocument/2006/customXml" ds:itemID="{8C214687-0ADC-47EF-810E-59F03CC33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3084</Words>
  <Characters>18821</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Tara M. Doucette</cp:lastModifiedBy>
  <cp:revision>3</cp:revision>
  <cp:lastPrinted>2024-04-16T14:35:00Z</cp:lastPrinted>
  <dcterms:created xsi:type="dcterms:W3CDTF">2025-05-15T13:35:00Z</dcterms:created>
  <dcterms:modified xsi:type="dcterms:W3CDTF">2025-05-19T15:51:00Z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2021-12-15T19:32:55Z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12153c4f-063c-4c44-8383-2810021a2b52</vt:lpwstr>
  </property>
  <property fmtid="{D5CDD505-2E9C-101B-9397-08002B2CF9AE}" pid="8" name="MSIP_Label_5a776955-85f6-4fec-9553-96dd3e0373c4_ContentBits">
    <vt:lpwstr>0</vt:lpwstr>
  </property>
</Properties>
</file>