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4E3F9" w14:textId="77777777" w:rsidR="00004C2D" w:rsidRPr="00B777AF" w:rsidRDefault="00004C2D" w:rsidP="00D574CA">
      <w:pPr>
        <w:pStyle w:val="PolicyMainHead"/>
        <w:tabs>
          <w:tab w:val="left" w:pos="360"/>
        </w:tabs>
        <w:spacing w:after="0" w:line="240" w:lineRule="auto"/>
        <w:rPr>
          <w:rFonts w:ascii="Times New Roman" w:hAnsi="Times New Roman"/>
          <w:color w:val="00548C"/>
          <w:sz w:val="36"/>
        </w:rPr>
      </w:pPr>
      <w:r>
        <w:rPr>
          <w:rFonts w:ascii="Times New Roman" w:hAnsi="Times New Roman"/>
          <w:color w:val="00548C"/>
          <w:sz w:val="36"/>
        </w:rPr>
        <w:t>Clinic</w:t>
      </w:r>
      <w:r w:rsidRPr="005D7B81">
        <w:rPr>
          <w:rFonts w:ascii="Times New Roman" w:hAnsi="Times New Roman"/>
          <w:color w:val="00548C"/>
          <w:sz w:val="36"/>
        </w:rPr>
        <w:t xml:space="preserve">al </w:t>
      </w:r>
      <w:r>
        <w:rPr>
          <w:rFonts w:ascii="Times New Roman" w:hAnsi="Times New Roman"/>
          <w:color w:val="00548C"/>
          <w:sz w:val="36"/>
        </w:rPr>
        <w:t>Policy: Lysis of Epidural Lesions</w:t>
      </w:r>
    </w:p>
    <w:p w14:paraId="5E2A905C" w14:textId="77777777" w:rsidR="00004C2D" w:rsidRDefault="00004C2D" w:rsidP="00D574CA">
      <w:pPr>
        <w:pStyle w:val="PolicyMainHead"/>
        <w:tabs>
          <w:tab w:val="left" w:pos="360"/>
        </w:tabs>
        <w:spacing w:after="0" w:line="240" w:lineRule="auto"/>
        <w:rPr>
          <w:color w:val="00548C"/>
          <w:sz w:val="24"/>
        </w:rPr>
        <w:sectPr w:rsidR="00004C2D" w:rsidSect="00B81DB7">
          <w:headerReference w:type="even" r:id="rId10"/>
          <w:headerReference w:type="default" r:id="rId11"/>
          <w:footerReference w:type="even" r:id="rId12"/>
          <w:footerReference w:type="default" r:id="rId13"/>
          <w:headerReference w:type="first" r:id="rId14"/>
          <w:footerReference w:type="first" r:id="rId15"/>
          <w:pgSz w:w="12240" w:h="15840" w:code="1"/>
          <w:pgMar w:top="1170" w:right="907" w:bottom="1152" w:left="1440" w:header="576" w:footer="288" w:gutter="0"/>
          <w:cols w:space="720"/>
          <w:titlePg/>
          <w:docGrid w:linePitch="360"/>
        </w:sectPr>
      </w:pPr>
    </w:p>
    <w:p w14:paraId="21F10F83" w14:textId="77777777" w:rsidR="00004C2D" w:rsidRPr="003D7BE7" w:rsidRDefault="00004C2D" w:rsidP="00942A94">
      <w:pPr>
        <w:pStyle w:val="PolicyMainHead"/>
        <w:tabs>
          <w:tab w:val="left" w:pos="360"/>
        </w:tabs>
        <w:spacing w:after="0" w:line="240" w:lineRule="auto"/>
        <w:rPr>
          <w:rFonts w:ascii="Times New Roman" w:hAnsi="Times New Roman"/>
          <w:color w:val="00548C"/>
          <w:sz w:val="24"/>
          <w:szCs w:val="24"/>
        </w:rPr>
        <w:sectPr w:rsidR="00004C2D" w:rsidRPr="003D7BE7" w:rsidSect="00480C09">
          <w:type w:val="continuous"/>
          <w:pgSz w:w="12240" w:h="15840" w:code="1"/>
          <w:pgMar w:top="1440" w:right="1170" w:bottom="1152" w:left="1440" w:header="576" w:footer="288" w:gutter="0"/>
          <w:cols w:num="2" w:space="720"/>
          <w:titlePg/>
          <w:docGrid w:linePitch="360"/>
        </w:sectPr>
      </w:pPr>
      <w:r w:rsidRPr="003D7BE7">
        <w:rPr>
          <w:rFonts w:ascii="Times New Roman" w:hAnsi="Times New Roman"/>
          <w:color w:val="00548C"/>
          <w:sz w:val="24"/>
          <w:szCs w:val="24"/>
        </w:rPr>
        <w:t>Reference Number: CP.</w:t>
      </w:r>
      <w:r>
        <w:rPr>
          <w:rFonts w:ascii="Times New Roman" w:hAnsi="Times New Roman"/>
          <w:color w:val="00548C"/>
          <w:sz w:val="24"/>
          <w:szCs w:val="24"/>
        </w:rPr>
        <w:t>MP.116</w:t>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00325099">
        <w:rPr>
          <w:rFonts w:ascii="Times New Roman" w:hAnsi="Times New Roman"/>
          <w:color w:val="00548C"/>
          <w:sz w:val="24"/>
          <w:szCs w:val="24"/>
        </w:rPr>
        <w:t xml:space="preserve">     </w:t>
      </w:r>
      <w:hyperlink w:anchor="Coding_Implications" w:history="1">
        <w:r w:rsidRPr="00875924">
          <w:rPr>
            <w:rStyle w:val="Hyperlink"/>
            <w:rFonts w:ascii="Times New Roman" w:hAnsi="Times New Roman"/>
            <w:sz w:val="24"/>
            <w:szCs w:val="24"/>
          </w:rPr>
          <w:t>Coding Implications</w:t>
        </w:r>
      </w:hyperlink>
      <w:r w:rsidRPr="003D7BE7">
        <w:rPr>
          <w:rFonts w:ascii="Times New Roman" w:hAnsi="Times New Roman"/>
          <w:color w:val="00548C"/>
          <w:sz w:val="24"/>
          <w:szCs w:val="24"/>
        </w:rPr>
        <w:t xml:space="preserve"> </w:t>
      </w:r>
    </w:p>
    <w:p w14:paraId="37ECD242" w14:textId="056F3B1B" w:rsidR="00004C2D" w:rsidRDefault="007E09EA" w:rsidP="00D574CA">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004C2D" w:rsidRPr="003D7BE7">
        <w:rPr>
          <w:rFonts w:ascii="Times New Roman" w:hAnsi="Times New Roman"/>
          <w:color w:val="00548C"/>
          <w:sz w:val="24"/>
          <w:szCs w:val="24"/>
        </w:rPr>
        <w:t xml:space="preserve">: </w:t>
      </w:r>
      <w:r w:rsidR="0013444B">
        <w:rPr>
          <w:rFonts w:ascii="Times New Roman" w:hAnsi="Times New Roman"/>
          <w:color w:val="00548C"/>
          <w:sz w:val="24"/>
          <w:szCs w:val="24"/>
        </w:rPr>
        <w:t>04/25</w:t>
      </w:r>
    </w:p>
    <w:p w14:paraId="134AF443" w14:textId="77777777" w:rsidR="00004C2D" w:rsidRDefault="00004C2D" w:rsidP="00875924">
      <w:pPr>
        <w:pStyle w:val="PolicyMainHead"/>
        <w:tabs>
          <w:tab w:val="left" w:pos="360"/>
        </w:tabs>
        <w:spacing w:after="0" w:line="240" w:lineRule="auto"/>
        <w:jc w:val="right"/>
        <w:rPr>
          <w:rStyle w:val="Strong"/>
          <w:rFonts w:ascii="Times New Roman" w:hAnsi="Times New Roman"/>
          <w:b w:val="0"/>
          <w:u w:val="single"/>
        </w:rPr>
        <w:sectPr w:rsidR="00004C2D" w:rsidSect="00875924">
          <w:type w:val="continuous"/>
          <w:pgSz w:w="12240" w:h="15840" w:code="1"/>
          <w:pgMar w:top="1440" w:right="117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Pr>
          <w:rFonts w:ascii="Times New Roman" w:hAnsi="Times New Roman"/>
          <w:color w:val="00548C"/>
          <w:sz w:val="24"/>
          <w:szCs w:val="24"/>
        </w:rPr>
        <w:t xml:space="preserve"> </w:t>
      </w:r>
    </w:p>
    <w:p w14:paraId="3D89705A" w14:textId="77777777" w:rsidR="00004C2D" w:rsidRDefault="00004C2D"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5CA80782" w14:textId="77777777" w:rsidR="00004C2D" w:rsidRPr="005D7B81" w:rsidRDefault="00004C2D" w:rsidP="00D574CA">
      <w:pPr>
        <w:pStyle w:val="NormalWeb"/>
        <w:spacing w:before="0" w:beforeAutospacing="0" w:after="0" w:afterAutospacing="0"/>
        <w:rPr>
          <w:rStyle w:val="Strong"/>
          <w:rFonts w:ascii="Times New Roman" w:hAnsi="Times New Roman"/>
          <w:b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hAnsi="Times New Roman"/>
            <w:noProof/>
          </w:rPr>
          <w:t>Important Reminder</w:t>
        </w:r>
      </w:hyperlink>
      <w:r w:rsidRPr="005D7B81">
        <w:rPr>
          <w:rFonts w:ascii="Times New Roman" w:hAnsi="Times New Roman" w:cs="Times New Roman"/>
          <w:b/>
          <w:color w:val="00548C"/>
        </w:rPr>
        <w:t xml:space="preserve"> at the end of th</w:t>
      </w:r>
      <w:r>
        <w:rPr>
          <w:rFonts w:ascii="Times New Roman" w:hAnsi="Times New Roman" w:cs="Times New Roman"/>
          <w:b/>
          <w:color w:val="00548C"/>
        </w:rPr>
        <w:t>is</w:t>
      </w:r>
      <w:r w:rsidRPr="005D7B81">
        <w:rPr>
          <w:rFonts w:ascii="Times New Roman" w:hAnsi="Times New Roman" w:cs="Times New Roman"/>
          <w:b/>
          <w:color w:val="00548C"/>
        </w:rPr>
        <w:t xml:space="preserve"> policy for</w:t>
      </w:r>
      <w:r>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Pr>
          <w:rFonts w:ascii="Times New Roman" w:hAnsi="Times New Roman" w:cs="Times New Roman"/>
          <w:b/>
          <w:color w:val="00548C"/>
        </w:rPr>
        <w:t>.</w:t>
      </w:r>
    </w:p>
    <w:p w14:paraId="3534E5C3" w14:textId="77777777" w:rsidR="00004C2D" w:rsidRDefault="00004C2D" w:rsidP="00875924">
      <w:pPr>
        <w:pStyle w:val="NormalWeb"/>
        <w:spacing w:before="0" w:beforeAutospacing="0" w:after="0" w:afterAutospacing="0"/>
        <w:jc w:val="center"/>
        <w:rPr>
          <w:rStyle w:val="Strong"/>
          <w:rFonts w:ascii="Times New Roman" w:hAnsi="Times New Roman"/>
          <w:b w:val="0"/>
          <w:u w:val="single"/>
        </w:rPr>
      </w:pPr>
    </w:p>
    <w:p w14:paraId="495F3405" w14:textId="77777777" w:rsidR="00004C2D" w:rsidRPr="005B6F04" w:rsidRDefault="00004C2D">
      <w:pPr>
        <w:pStyle w:val="Heading2"/>
      </w:pPr>
      <w:r w:rsidRPr="005B6F04">
        <w:t xml:space="preserve">Description </w:t>
      </w:r>
    </w:p>
    <w:p w14:paraId="645B76E9" w14:textId="77777777" w:rsidR="00004C2D" w:rsidRPr="005B6F04" w:rsidRDefault="00004C2D" w:rsidP="00196935">
      <w:r w:rsidRPr="005B6F04">
        <w:t>Epidural adhesiolysis, also known as epidural neuroplasty, lysis of epidural adhesions, or caudal neuroplasty, is a minimally invasive surgery for patients with chronic back pain associated with epidural fibrosis or adhesions. Adhesions are commonly caused by scarring after spinal interventions, and are associated with post-laminectomy syndrome or failed back surgery syndrome. Adhesions may also be caused by normal aging of the spine and spinal disorders such as lumbar disc herniation and spinal stenosis.</w:t>
      </w:r>
    </w:p>
    <w:p w14:paraId="23EDB358" w14:textId="77777777" w:rsidR="00004C2D" w:rsidRPr="005B6F04" w:rsidRDefault="00004C2D" w:rsidP="00196935"/>
    <w:p w14:paraId="7106039E" w14:textId="77777777" w:rsidR="00004C2D" w:rsidRPr="005B6F04" w:rsidRDefault="00004C2D">
      <w:pPr>
        <w:pStyle w:val="Heading2"/>
      </w:pPr>
      <w:r w:rsidRPr="005B6F04">
        <w:t>Policy/Criteria</w:t>
      </w:r>
    </w:p>
    <w:p w14:paraId="0EC5BDA3" w14:textId="3282F123" w:rsidR="00004C2D" w:rsidRPr="00E8304E" w:rsidRDefault="00004C2D" w:rsidP="00D173FE">
      <w:pPr>
        <w:pStyle w:val="ListParagraph"/>
        <w:numPr>
          <w:ilvl w:val="0"/>
          <w:numId w:val="22"/>
        </w:numPr>
        <w:ind w:left="360" w:hanging="360"/>
        <w:rPr>
          <w:bCs/>
        </w:rPr>
      </w:pPr>
      <w:r w:rsidRPr="00E8304E">
        <w:rPr>
          <w:bCs/>
        </w:rPr>
        <w:t>It is the policy of health plans affiliated with Centene Corporation</w:t>
      </w:r>
      <w:r w:rsidRPr="00E8304E">
        <w:rPr>
          <w:bCs/>
          <w:vertAlign w:val="superscript"/>
        </w:rPr>
        <w:t>®</w:t>
      </w:r>
      <w:r w:rsidRPr="00E8304E">
        <w:rPr>
          <w:bCs/>
        </w:rPr>
        <w:t xml:space="preserve"> </w:t>
      </w:r>
      <w:r w:rsidRPr="005B6F04">
        <w:t>that</w:t>
      </w:r>
      <w:r w:rsidR="002A7758" w:rsidRPr="005B6F04">
        <w:t xml:space="preserve"> current medical literature does not support the efficacy of</w:t>
      </w:r>
      <w:r w:rsidRPr="005B6F04">
        <w:t xml:space="preserve"> lysis of epidural lesions, including percutaneous epidural adhesiolysis and endoscopic epidural adhesiolysis, with or without use of an indwelling epidural Racz catheter</w:t>
      </w:r>
      <w:r w:rsidR="002A7758" w:rsidRPr="005B6F04">
        <w:t>.</w:t>
      </w:r>
    </w:p>
    <w:p w14:paraId="5308C5CB" w14:textId="77777777" w:rsidR="00004C2D" w:rsidRPr="00E8304E" w:rsidRDefault="00004C2D" w:rsidP="003840CC">
      <w:pPr>
        <w:rPr>
          <w:bCs/>
        </w:rPr>
      </w:pPr>
    </w:p>
    <w:p w14:paraId="1298E3B3" w14:textId="77777777" w:rsidR="00004C2D" w:rsidRPr="005B6F04" w:rsidRDefault="00004C2D" w:rsidP="00FB0592">
      <w:pPr>
        <w:pStyle w:val="Heading2"/>
      </w:pPr>
      <w:r w:rsidRPr="005B6F04">
        <w:t>Background</w:t>
      </w:r>
    </w:p>
    <w:p w14:paraId="0E641389" w14:textId="77777777" w:rsidR="00004C2D" w:rsidRPr="00E8304E" w:rsidRDefault="00004C2D" w:rsidP="00DF2DA8">
      <w:pPr>
        <w:pStyle w:val="Default"/>
        <w:rPr>
          <w:rFonts w:ascii="Times New Roman" w:hAnsi="Times New Roman" w:cs="Times New Roman"/>
          <w:color w:val="auto"/>
        </w:rPr>
      </w:pPr>
      <w:r w:rsidRPr="00E8304E">
        <w:rPr>
          <w:rFonts w:ascii="Times New Roman" w:hAnsi="Times New Roman" w:cs="Times New Roman"/>
          <w:color w:val="auto"/>
        </w:rPr>
        <w:t xml:space="preserve">Percutaneous lysis of epidural adhesions with epidural injections of hypertonic saline, in conjunction with steroids and analgesics or hyaluronidase, is an interventional pain </w:t>
      </w:r>
      <w:r w:rsidRPr="005B6F04">
        <w:rPr>
          <w:rFonts w:ascii="Times New Roman" w:hAnsi="Times New Roman" w:cs="Times New Roman"/>
          <w:color w:val="auto"/>
        </w:rPr>
        <w:t xml:space="preserve">management technique that has been investigated as a treatment option in managing chronic intractable low back pain caused by extensive peridural scarring. In theory, the use of hypertonic saline results in a mechanical disruption of the adhesions. Adhesions may also be disrupted by the manipulation of the catheter at the time of the injection. The hypertonic saline may also function to reduce edema within previously scarred and/or inflamed nerves. Hyaluronidase may be </w:t>
      </w:r>
      <w:r w:rsidRPr="00E8304E">
        <w:rPr>
          <w:rFonts w:ascii="Times New Roman" w:hAnsi="Times New Roman" w:cs="Times New Roman"/>
          <w:color w:val="auto"/>
        </w:rPr>
        <w:t>added to the injectate to further the penetration of the drugs into the scar tissue.</w:t>
      </w:r>
    </w:p>
    <w:p w14:paraId="304E2984" w14:textId="77777777" w:rsidR="00004C2D" w:rsidRPr="00E8304E" w:rsidRDefault="00004C2D" w:rsidP="00DF2DA8">
      <w:pPr>
        <w:pStyle w:val="Default"/>
        <w:rPr>
          <w:rFonts w:ascii="Times New Roman" w:hAnsi="Times New Roman" w:cs="Times New Roman"/>
          <w:color w:val="auto"/>
        </w:rPr>
      </w:pPr>
    </w:p>
    <w:p w14:paraId="419B7004" w14:textId="70B23640" w:rsidR="00004C2D" w:rsidRPr="00E8304E" w:rsidRDefault="00004C2D" w:rsidP="00DF2DA8">
      <w:pPr>
        <w:pStyle w:val="Default"/>
        <w:rPr>
          <w:rFonts w:ascii="Times New Roman" w:hAnsi="Times New Roman" w:cs="Times New Roman"/>
          <w:color w:val="auto"/>
        </w:rPr>
      </w:pPr>
      <w:r w:rsidRPr="00E8304E">
        <w:rPr>
          <w:rFonts w:ascii="Times New Roman" w:hAnsi="Times New Roman" w:cs="Times New Roman"/>
          <w:color w:val="auto"/>
        </w:rPr>
        <w:t xml:space="preserve">Spinal endoscopy has been used to guide the lysis of adhesions. Prior to use of endoscopy, adhesions can be identified as non-filling lesions on fluoroscopy. </w:t>
      </w:r>
      <w:r w:rsidR="00A75FC8">
        <w:rPr>
          <w:rFonts w:ascii="Times New Roman" w:hAnsi="Times New Roman" w:cs="Times New Roman"/>
          <w:color w:val="auto"/>
        </w:rPr>
        <w:t>To provide 3-D visualization u</w:t>
      </w:r>
      <w:r w:rsidRPr="00E8304E">
        <w:rPr>
          <w:rFonts w:ascii="Times New Roman" w:hAnsi="Times New Roman" w:cs="Times New Roman"/>
          <w:color w:val="auto"/>
        </w:rPr>
        <w:t>sing endoscopy guidance, a flexible fiberoptic catheter is inserted into the sacral hiatus to steer the catheter toward the adhesions</w:t>
      </w:r>
      <w:r w:rsidR="00B20AC2">
        <w:rPr>
          <w:rFonts w:ascii="Times New Roman" w:hAnsi="Times New Roman" w:cs="Times New Roman"/>
          <w:color w:val="auto"/>
        </w:rPr>
        <w:t xml:space="preserve"> </w:t>
      </w:r>
      <w:r w:rsidR="00E945F1">
        <w:rPr>
          <w:rFonts w:ascii="Times New Roman" w:hAnsi="Times New Roman" w:cs="Times New Roman"/>
          <w:color w:val="auto"/>
        </w:rPr>
        <w:t>allowing</w:t>
      </w:r>
      <w:r w:rsidR="00B20AC2">
        <w:rPr>
          <w:rFonts w:ascii="Times New Roman" w:hAnsi="Times New Roman" w:cs="Times New Roman"/>
          <w:color w:val="auto"/>
        </w:rPr>
        <w:t xml:space="preserve"> the practitioner </w:t>
      </w:r>
      <w:r w:rsidR="00E945F1">
        <w:rPr>
          <w:rFonts w:ascii="Times New Roman" w:hAnsi="Times New Roman" w:cs="Times New Roman"/>
          <w:color w:val="auto"/>
        </w:rPr>
        <w:t xml:space="preserve">the ability to </w:t>
      </w:r>
      <w:r w:rsidRPr="00E8304E">
        <w:rPr>
          <w:rFonts w:ascii="Times New Roman" w:hAnsi="Times New Roman" w:cs="Times New Roman"/>
          <w:color w:val="auto"/>
        </w:rPr>
        <w:t xml:space="preserve">more precisely place the injectate in the epidural space and onto the nerve root. Various protocols for lysis have been described; in some </w:t>
      </w:r>
      <w:r w:rsidR="00E8304E" w:rsidRPr="00E8304E">
        <w:rPr>
          <w:rFonts w:ascii="Times New Roman" w:hAnsi="Times New Roman" w:cs="Times New Roman"/>
          <w:color w:val="auto"/>
        </w:rPr>
        <w:t>situations,</w:t>
      </w:r>
      <w:r w:rsidRPr="00E8304E">
        <w:rPr>
          <w:rFonts w:ascii="Times New Roman" w:hAnsi="Times New Roman" w:cs="Times New Roman"/>
          <w:color w:val="auto"/>
        </w:rPr>
        <w:t xml:space="preserve"> the catheter may remain in place for several days for serial treatment sessions.</w:t>
      </w:r>
    </w:p>
    <w:p w14:paraId="032512BD" w14:textId="77777777" w:rsidR="00004C2D" w:rsidRPr="005B6F04" w:rsidRDefault="00004C2D">
      <w:pPr>
        <w:rPr>
          <w:b/>
          <w:bCs/>
        </w:rPr>
      </w:pPr>
    </w:p>
    <w:p w14:paraId="404C8280" w14:textId="77777777" w:rsidR="00004C2D" w:rsidRPr="005B6F04" w:rsidRDefault="00004C2D">
      <w:pPr>
        <w:rPr>
          <w:bCs/>
          <w:i/>
        </w:rPr>
      </w:pPr>
      <w:r w:rsidRPr="005B6F04">
        <w:rPr>
          <w:bCs/>
          <w:i/>
        </w:rPr>
        <w:t>Evidence for percutaneous adhesiolysis</w:t>
      </w:r>
    </w:p>
    <w:p w14:paraId="0B02AD0D" w14:textId="77777777" w:rsidR="009054CB" w:rsidRPr="005B6F04" w:rsidRDefault="00004C2D" w:rsidP="00E63C17">
      <w:pPr>
        <w:rPr>
          <w:bCs/>
          <w:vertAlign w:val="superscript"/>
        </w:rPr>
      </w:pPr>
      <w:r w:rsidRPr="005B6F04">
        <w:rPr>
          <w:bCs/>
        </w:rPr>
        <w:t>Controlled trials have found short-term positive effects of percutaneous epidural adhesiolysis in patients with chronic, refractory back pain and lower extremity pain.</w:t>
      </w:r>
      <w:r w:rsidRPr="005B6F04">
        <w:rPr>
          <w:bCs/>
          <w:vertAlign w:val="superscript"/>
        </w:rPr>
        <w:t xml:space="preserve">1-5 </w:t>
      </w:r>
      <w:r w:rsidRPr="005B6F04">
        <w:rPr>
          <w:bCs/>
        </w:rPr>
        <w:t>However, these studies are limited by methodological limitations including somewhat high attrition rates, insufficient blinding and inadequate statistical power to establish safety. Furthermore, many of the studies were conducted at the same interventional pain management center, which could limit the representativeness of the results obtained by the researchers.</w:t>
      </w:r>
      <w:r w:rsidRPr="005B6F04">
        <w:rPr>
          <w:bCs/>
          <w:vertAlign w:val="superscript"/>
        </w:rPr>
        <w:t>1</w:t>
      </w:r>
      <w:r w:rsidR="006F6F00" w:rsidRPr="005B6F04">
        <w:rPr>
          <w:bCs/>
          <w:vertAlign w:val="superscript"/>
        </w:rPr>
        <w:t xml:space="preserve"> </w:t>
      </w:r>
    </w:p>
    <w:p w14:paraId="199AF4FA" w14:textId="77777777" w:rsidR="009054CB" w:rsidRPr="005B6F04" w:rsidRDefault="009054CB" w:rsidP="00E63C17">
      <w:pPr>
        <w:rPr>
          <w:bCs/>
          <w:vertAlign w:val="superscript"/>
        </w:rPr>
      </w:pPr>
    </w:p>
    <w:p w14:paraId="2B695E42" w14:textId="10776479" w:rsidR="00004C2D" w:rsidRPr="005B6F04" w:rsidRDefault="006F6F00">
      <w:pPr>
        <w:rPr>
          <w:bCs/>
          <w:vertAlign w:val="superscript"/>
        </w:rPr>
      </w:pPr>
      <w:r w:rsidRPr="005B6F04">
        <w:rPr>
          <w:bCs/>
        </w:rPr>
        <w:lastRenderedPageBreak/>
        <w:t xml:space="preserve">A Hayes review of </w:t>
      </w:r>
      <w:r w:rsidR="00536F55" w:rsidRPr="005B6F04">
        <w:rPr>
          <w:bCs/>
        </w:rPr>
        <w:t xml:space="preserve">six randomized </w:t>
      </w:r>
      <w:r w:rsidR="00C73D5E" w:rsidRPr="005B6F04">
        <w:rPr>
          <w:bCs/>
        </w:rPr>
        <w:t xml:space="preserve">controlled trials (RCTs) </w:t>
      </w:r>
      <w:r w:rsidR="007F76DD" w:rsidRPr="005B6F04">
        <w:rPr>
          <w:bCs/>
        </w:rPr>
        <w:t>with search data through September 7, 2018</w:t>
      </w:r>
      <w:r w:rsidR="001642F4" w:rsidRPr="005B6F04">
        <w:rPr>
          <w:bCs/>
        </w:rPr>
        <w:t xml:space="preserve"> </w:t>
      </w:r>
      <w:r w:rsidR="00023C3B" w:rsidRPr="005B6F04">
        <w:rPr>
          <w:bCs/>
        </w:rPr>
        <w:t xml:space="preserve">was completed </w:t>
      </w:r>
      <w:r w:rsidR="001642F4" w:rsidRPr="005B6F04">
        <w:rPr>
          <w:bCs/>
        </w:rPr>
        <w:t xml:space="preserve">for </w:t>
      </w:r>
      <w:r w:rsidR="00B47ACD" w:rsidRPr="005B6F04">
        <w:rPr>
          <w:bCs/>
        </w:rPr>
        <w:t xml:space="preserve">percutaneous </w:t>
      </w:r>
      <w:r w:rsidR="001642F4" w:rsidRPr="005B6F04">
        <w:rPr>
          <w:bCs/>
        </w:rPr>
        <w:t xml:space="preserve">epidural </w:t>
      </w:r>
      <w:r w:rsidR="00B47ACD" w:rsidRPr="005B6F04">
        <w:rPr>
          <w:bCs/>
        </w:rPr>
        <w:t xml:space="preserve">adhesiolysis </w:t>
      </w:r>
      <w:r w:rsidR="00143949" w:rsidRPr="005B6F04">
        <w:rPr>
          <w:bCs/>
        </w:rPr>
        <w:t>treatment for adults with chronic low back pain</w:t>
      </w:r>
      <w:r w:rsidR="001F56DD" w:rsidRPr="005B6F04">
        <w:rPr>
          <w:bCs/>
        </w:rPr>
        <w:t xml:space="preserve"> (CLBP)</w:t>
      </w:r>
      <w:r w:rsidR="00143949" w:rsidRPr="005B6F04">
        <w:rPr>
          <w:bCs/>
        </w:rPr>
        <w:t xml:space="preserve"> unresponsive to other treatments</w:t>
      </w:r>
      <w:r w:rsidR="00023C3B" w:rsidRPr="005B6F04">
        <w:rPr>
          <w:bCs/>
        </w:rPr>
        <w:t>.</w:t>
      </w:r>
      <w:r w:rsidR="00142952" w:rsidRPr="005B6F04">
        <w:rPr>
          <w:bCs/>
          <w:vertAlign w:val="superscript"/>
        </w:rPr>
        <w:t>6</w:t>
      </w:r>
      <w:r w:rsidR="00023C3B" w:rsidRPr="005B6F04">
        <w:rPr>
          <w:bCs/>
        </w:rPr>
        <w:t xml:space="preserve"> This review</w:t>
      </w:r>
      <w:r w:rsidR="00143949" w:rsidRPr="005B6F04">
        <w:rPr>
          <w:bCs/>
        </w:rPr>
        <w:t xml:space="preserve"> showed </w:t>
      </w:r>
      <w:r w:rsidR="001F56DD" w:rsidRPr="005B6F04">
        <w:rPr>
          <w:bCs/>
        </w:rPr>
        <w:t>a small body of</w:t>
      </w:r>
      <w:r w:rsidR="00143949" w:rsidRPr="005B6F04">
        <w:rPr>
          <w:bCs/>
        </w:rPr>
        <w:t xml:space="preserve"> low</w:t>
      </w:r>
      <w:r w:rsidR="000B36B0" w:rsidRPr="005B6F04">
        <w:rPr>
          <w:bCs/>
        </w:rPr>
        <w:t>-</w:t>
      </w:r>
      <w:r w:rsidR="00143949" w:rsidRPr="005B6F04">
        <w:rPr>
          <w:bCs/>
        </w:rPr>
        <w:t>quality evidence</w:t>
      </w:r>
      <w:r w:rsidR="000B36B0" w:rsidRPr="005B6F04">
        <w:rPr>
          <w:bCs/>
        </w:rPr>
        <w:t>,</w:t>
      </w:r>
      <w:r w:rsidR="00143949" w:rsidRPr="005B6F04">
        <w:rPr>
          <w:bCs/>
        </w:rPr>
        <w:t xml:space="preserve"> </w:t>
      </w:r>
      <w:r w:rsidR="00107556" w:rsidRPr="005B6F04">
        <w:rPr>
          <w:bCs/>
        </w:rPr>
        <w:t>suggesting that</w:t>
      </w:r>
      <w:r w:rsidR="000B36B0" w:rsidRPr="005B6F04">
        <w:rPr>
          <w:bCs/>
        </w:rPr>
        <w:t xml:space="preserve"> percutaneous adhesiolysis </w:t>
      </w:r>
      <w:r w:rsidR="00B82630" w:rsidRPr="005B6F04">
        <w:rPr>
          <w:bCs/>
        </w:rPr>
        <w:t>ma</w:t>
      </w:r>
      <w:r w:rsidR="00851149" w:rsidRPr="005B6F04">
        <w:rPr>
          <w:bCs/>
        </w:rPr>
        <w:t>y cause improvement in patients</w:t>
      </w:r>
      <w:r w:rsidR="003020CB" w:rsidRPr="005B6F04">
        <w:rPr>
          <w:bCs/>
        </w:rPr>
        <w:t xml:space="preserve"> </w:t>
      </w:r>
      <w:r w:rsidR="001F56DD" w:rsidRPr="005B6F04">
        <w:rPr>
          <w:bCs/>
        </w:rPr>
        <w:t xml:space="preserve">with CLBP </w:t>
      </w:r>
      <w:r w:rsidR="003020CB" w:rsidRPr="005B6F04">
        <w:rPr>
          <w:bCs/>
        </w:rPr>
        <w:t>who have failed conservative treatment.</w:t>
      </w:r>
      <w:r w:rsidR="00142952" w:rsidRPr="005B6F04">
        <w:rPr>
          <w:bCs/>
          <w:vertAlign w:val="superscript"/>
        </w:rPr>
        <w:t>6</w:t>
      </w:r>
      <w:r w:rsidR="003020CB" w:rsidRPr="005B6F04">
        <w:rPr>
          <w:bCs/>
        </w:rPr>
        <w:t xml:space="preserve"> </w:t>
      </w:r>
      <w:r w:rsidR="006E2063" w:rsidRPr="005B6F04">
        <w:rPr>
          <w:bCs/>
        </w:rPr>
        <w:t>Hayes states that “w</w:t>
      </w:r>
      <w:r w:rsidR="00582E96" w:rsidRPr="005B6F04">
        <w:rPr>
          <w:bCs/>
        </w:rPr>
        <w:t>hile the evidence suggests potential short- and intermediate-term efficacy of this procedure in patients with CLBP, whether or not epidural adhesions are the actual source of the pain in these patients has been debated, and long-term outcomes remain to be determined in well-designed trials.</w:t>
      </w:r>
      <w:r w:rsidR="00207C84" w:rsidRPr="005B6F04">
        <w:rPr>
          <w:bCs/>
        </w:rPr>
        <w:t>”</w:t>
      </w:r>
      <w:r w:rsidR="002962A8" w:rsidRPr="005B6F04">
        <w:rPr>
          <w:bCs/>
          <w:vertAlign w:val="superscript"/>
        </w:rPr>
        <w:t>6</w:t>
      </w:r>
      <w:r w:rsidR="00207C84" w:rsidRPr="005B6F04">
        <w:rPr>
          <w:bCs/>
        </w:rPr>
        <w:t xml:space="preserve"> </w:t>
      </w:r>
      <w:r w:rsidR="00EC197B" w:rsidRPr="005B6F04">
        <w:rPr>
          <w:bCs/>
        </w:rPr>
        <w:t xml:space="preserve">Additionally, </w:t>
      </w:r>
      <w:r w:rsidR="00244DF3" w:rsidRPr="005B6F04">
        <w:rPr>
          <w:bCs/>
        </w:rPr>
        <w:t>there has been a lack of RCTs published in the past five years</w:t>
      </w:r>
      <w:r w:rsidR="00EC197B" w:rsidRPr="005B6F04">
        <w:rPr>
          <w:bCs/>
        </w:rPr>
        <w:t>, and there are</w:t>
      </w:r>
      <w:r w:rsidR="009710BA" w:rsidRPr="005B6F04">
        <w:rPr>
          <w:bCs/>
        </w:rPr>
        <w:t xml:space="preserve"> currently</w:t>
      </w:r>
      <w:r w:rsidR="00EC197B" w:rsidRPr="005B6F04">
        <w:rPr>
          <w:bCs/>
        </w:rPr>
        <w:t xml:space="preserve"> no </w:t>
      </w:r>
      <w:r w:rsidR="009710BA" w:rsidRPr="005B6F04">
        <w:rPr>
          <w:bCs/>
        </w:rPr>
        <w:t xml:space="preserve">registered clinical studies </w:t>
      </w:r>
      <w:r w:rsidR="00A35515" w:rsidRPr="005B6F04">
        <w:rPr>
          <w:bCs/>
        </w:rPr>
        <w:t>researching percutaneous adhesiolysis.</w:t>
      </w:r>
      <w:r w:rsidR="00142952" w:rsidRPr="005B6F04">
        <w:rPr>
          <w:bCs/>
          <w:vertAlign w:val="superscript"/>
        </w:rPr>
        <w:t>6</w:t>
      </w:r>
    </w:p>
    <w:p w14:paraId="6EA06314" w14:textId="77777777" w:rsidR="00873DFE" w:rsidRPr="005B6F04" w:rsidRDefault="00873DFE">
      <w:pPr>
        <w:rPr>
          <w:bCs/>
          <w:vertAlign w:val="superscript"/>
        </w:rPr>
      </w:pPr>
    </w:p>
    <w:p w14:paraId="0451D7AE" w14:textId="77777777" w:rsidR="00004C2D" w:rsidRPr="005B6F04" w:rsidRDefault="00004C2D">
      <w:pPr>
        <w:rPr>
          <w:bCs/>
          <w:i/>
        </w:rPr>
      </w:pPr>
      <w:r w:rsidRPr="005B6F04">
        <w:rPr>
          <w:bCs/>
          <w:i/>
        </w:rPr>
        <w:t>Evidence for endoscopic adhesiolysis</w:t>
      </w:r>
    </w:p>
    <w:p w14:paraId="52CBEF8C" w14:textId="06FD93D4" w:rsidR="00004C2D" w:rsidRPr="005B6F04" w:rsidRDefault="00004C2D">
      <w:pPr>
        <w:rPr>
          <w:bCs/>
          <w:vertAlign w:val="superscript"/>
        </w:rPr>
      </w:pPr>
      <w:r w:rsidRPr="005B6F04">
        <w:rPr>
          <w:bCs/>
        </w:rPr>
        <w:t>Research conducted on endoscopic epidural adhesiolysis is generally positive, with significant improvements in pain with endoscopic adhesiolysis compared to control groups.</w:t>
      </w:r>
      <w:r w:rsidR="002962A8" w:rsidRPr="005B6F04">
        <w:rPr>
          <w:bCs/>
          <w:vertAlign w:val="superscript"/>
        </w:rPr>
        <w:t>7</w:t>
      </w:r>
      <w:r w:rsidRPr="005B6F04">
        <w:rPr>
          <w:bCs/>
          <w:vertAlign w:val="superscript"/>
        </w:rPr>
        <w:t>-</w:t>
      </w:r>
      <w:r w:rsidR="002962A8" w:rsidRPr="005B6F04">
        <w:rPr>
          <w:bCs/>
          <w:vertAlign w:val="superscript"/>
        </w:rPr>
        <w:t>10</w:t>
      </w:r>
      <w:r w:rsidRPr="005B6F04">
        <w:rPr>
          <w:bCs/>
        </w:rPr>
        <w:t xml:space="preserve"> The studies conducted thus far have been largely observational, however.</w:t>
      </w:r>
      <w:r w:rsidR="002962A8" w:rsidRPr="005B6F04">
        <w:rPr>
          <w:bCs/>
          <w:vertAlign w:val="superscript"/>
        </w:rPr>
        <w:t>7</w:t>
      </w:r>
      <w:r w:rsidRPr="005B6F04">
        <w:rPr>
          <w:bCs/>
          <w:vertAlign w:val="superscript"/>
        </w:rPr>
        <w:t>-</w:t>
      </w:r>
      <w:r w:rsidR="002962A8" w:rsidRPr="005B6F04">
        <w:rPr>
          <w:bCs/>
          <w:vertAlign w:val="superscript"/>
        </w:rPr>
        <w:t>10</w:t>
      </w:r>
      <w:r w:rsidRPr="005B6F04">
        <w:rPr>
          <w:bCs/>
          <w:vertAlign w:val="superscript"/>
        </w:rPr>
        <w:t xml:space="preserve"> </w:t>
      </w:r>
      <w:r w:rsidRPr="005B6F04">
        <w:rPr>
          <w:bCs/>
        </w:rPr>
        <w:t>In a 2012 RCT conducted by Manchikanti et al., endoscopic adhesiolysis was found to significantly improve pain at three, six, and 12 months in patients who had failed conservative treatment for low back pain, compared to endoscopy alone.</w:t>
      </w:r>
      <w:r w:rsidRPr="005B6F04">
        <w:rPr>
          <w:bCs/>
          <w:vertAlign w:val="superscript"/>
        </w:rPr>
        <w:t>1</w:t>
      </w:r>
      <w:r w:rsidR="002962A8" w:rsidRPr="005B6F04">
        <w:rPr>
          <w:bCs/>
          <w:vertAlign w:val="superscript"/>
        </w:rPr>
        <w:t>1</w:t>
      </w:r>
      <w:r w:rsidRPr="005B6F04">
        <w:rPr>
          <w:bCs/>
        </w:rPr>
        <w:t xml:space="preserve"> A systematic review of endoscopic adhesiolysis was conducted by Helm et al. and included three observational studies and one RCT.</w:t>
      </w:r>
      <w:r w:rsidRPr="005B6F04">
        <w:rPr>
          <w:bCs/>
          <w:vertAlign w:val="superscript"/>
        </w:rPr>
        <w:t>1</w:t>
      </w:r>
      <w:r w:rsidR="002962A8" w:rsidRPr="005B6F04">
        <w:rPr>
          <w:bCs/>
          <w:vertAlign w:val="superscript"/>
        </w:rPr>
        <w:t>2</w:t>
      </w:r>
      <w:r w:rsidRPr="005B6F04">
        <w:rPr>
          <w:bCs/>
          <w:vertAlign w:val="superscript"/>
        </w:rPr>
        <w:t xml:space="preserve"> </w:t>
      </w:r>
      <w:r w:rsidRPr="005B6F04">
        <w:rPr>
          <w:bCs/>
        </w:rPr>
        <w:t>The systematic review concluded that there is fair quality evidence of positive effects, citing paucity of literature as a limitation.</w:t>
      </w:r>
      <w:r w:rsidRPr="005B6F04">
        <w:rPr>
          <w:bCs/>
          <w:vertAlign w:val="superscript"/>
        </w:rPr>
        <w:t>1</w:t>
      </w:r>
      <w:r w:rsidR="002962A8" w:rsidRPr="005B6F04">
        <w:rPr>
          <w:bCs/>
          <w:vertAlign w:val="superscript"/>
        </w:rPr>
        <w:t>2</w:t>
      </w:r>
    </w:p>
    <w:p w14:paraId="74B1B6AE" w14:textId="77777777" w:rsidR="00004C2D" w:rsidRPr="005B6F04" w:rsidRDefault="00004C2D">
      <w:pPr>
        <w:rPr>
          <w:bCs/>
        </w:rPr>
      </w:pPr>
    </w:p>
    <w:p w14:paraId="60BA35D5" w14:textId="3FCD1AE6" w:rsidR="00004C2D" w:rsidRPr="005B6F04" w:rsidRDefault="00004C2D">
      <w:pPr>
        <w:rPr>
          <w:bCs/>
          <w:i/>
        </w:rPr>
      </w:pPr>
      <w:r w:rsidRPr="005B6F04">
        <w:rPr>
          <w:bCs/>
          <w:i/>
        </w:rPr>
        <w:t>Guideline Recommendations</w:t>
      </w:r>
    </w:p>
    <w:p w14:paraId="3A8DD261" w14:textId="56C0ACDE" w:rsidR="00A100E0" w:rsidRPr="005B6F04" w:rsidRDefault="00A100E0">
      <w:pPr>
        <w:rPr>
          <w:bCs/>
          <w:i/>
        </w:rPr>
      </w:pPr>
      <w:r w:rsidRPr="005B6F04">
        <w:rPr>
          <w:bCs/>
          <w:i/>
        </w:rPr>
        <w:t>American Society of Interventional Pain Physicians (ASIPP)</w:t>
      </w:r>
    </w:p>
    <w:p w14:paraId="0B09BA51" w14:textId="41C8D4FD" w:rsidR="00A100E0" w:rsidRPr="005B6F04" w:rsidRDefault="001735C2">
      <w:pPr>
        <w:rPr>
          <w:bCs/>
          <w:vertAlign w:val="superscript"/>
        </w:rPr>
      </w:pPr>
      <w:r w:rsidRPr="005B6F04">
        <w:rPr>
          <w:bCs/>
        </w:rPr>
        <w:t xml:space="preserve">A 2021 update of epidural interventions from </w:t>
      </w:r>
      <w:r w:rsidR="008B710F" w:rsidRPr="005B6F04">
        <w:rPr>
          <w:bCs/>
        </w:rPr>
        <w:t>guidelines published in</w:t>
      </w:r>
      <w:r w:rsidRPr="005B6F04">
        <w:rPr>
          <w:bCs/>
        </w:rPr>
        <w:t xml:space="preserve"> 2013 </w:t>
      </w:r>
      <w:r w:rsidR="00004C2D" w:rsidRPr="005B6F04">
        <w:rPr>
          <w:bCs/>
        </w:rPr>
        <w:t>by the American Society of Interventional Pain Physicians</w:t>
      </w:r>
      <w:r w:rsidR="00D829E9" w:rsidRPr="005B6F04">
        <w:rPr>
          <w:bCs/>
        </w:rPr>
        <w:t xml:space="preserve"> now</w:t>
      </w:r>
      <w:r w:rsidR="00004C2D" w:rsidRPr="005B6F04">
        <w:rPr>
          <w:bCs/>
        </w:rPr>
        <w:t xml:space="preserve"> rate</w:t>
      </w:r>
      <w:r w:rsidR="00D829E9" w:rsidRPr="005B6F04">
        <w:rPr>
          <w:bCs/>
        </w:rPr>
        <w:t>s</w:t>
      </w:r>
      <w:r w:rsidR="00004C2D" w:rsidRPr="005B6F04">
        <w:rPr>
          <w:bCs/>
        </w:rPr>
        <w:t xml:space="preserve"> the quality of evidence for percutaneous adhesiolysis as </w:t>
      </w:r>
      <w:r w:rsidRPr="005B6F04">
        <w:rPr>
          <w:bCs/>
        </w:rPr>
        <w:t>moderate</w:t>
      </w:r>
      <w:r w:rsidR="00D829E9" w:rsidRPr="005B6F04">
        <w:rPr>
          <w:bCs/>
        </w:rPr>
        <w:t xml:space="preserve"> to strong</w:t>
      </w:r>
      <w:r w:rsidR="00004C2D" w:rsidRPr="005B6F04">
        <w:rPr>
          <w:bCs/>
        </w:rPr>
        <w:t xml:space="preserve"> for managing chronic low back and lower extremity pain due to </w:t>
      </w:r>
      <w:r w:rsidR="00D829E9" w:rsidRPr="005B6F04">
        <w:rPr>
          <w:bCs/>
        </w:rPr>
        <w:t xml:space="preserve">disc herniation </w:t>
      </w:r>
      <w:r w:rsidR="00004C2D" w:rsidRPr="005B6F04">
        <w:rPr>
          <w:bCs/>
        </w:rPr>
        <w:t>and spinal stenosis</w:t>
      </w:r>
      <w:r w:rsidR="00D829E9" w:rsidRPr="005B6F04">
        <w:rPr>
          <w:bCs/>
        </w:rPr>
        <w:t xml:space="preserve"> and strong for post-surgery syndrome</w:t>
      </w:r>
      <w:r w:rsidR="009C7AC4" w:rsidRPr="005B6F04">
        <w:rPr>
          <w:bCs/>
        </w:rPr>
        <w:t xml:space="preserve"> after failure of conservative treatment and fluoroscopically guided epidural injections.</w:t>
      </w:r>
      <w:r w:rsidR="00D829E9" w:rsidRPr="005B6F04">
        <w:rPr>
          <w:bCs/>
          <w:vertAlign w:val="superscript"/>
        </w:rPr>
        <w:t>1</w:t>
      </w:r>
      <w:r w:rsidR="00163BEC" w:rsidRPr="005B6F04">
        <w:rPr>
          <w:bCs/>
          <w:vertAlign w:val="superscript"/>
        </w:rPr>
        <w:t>3</w:t>
      </w:r>
      <w:r w:rsidR="00004C2D" w:rsidRPr="005B6F04">
        <w:rPr>
          <w:bCs/>
        </w:rPr>
        <w:t xml:space="preserve"> Th</w:t>
      </w:r>
      <w:r w:rsidR="009C7AC4" w:rsidRPr="005B6F04">
        <w:rPr>
          <w:bCs/>
        </w:rPr>
        <w:t>e</w:t>
      </w:r>
      <w:r w:rsidR="00004C2D" w:rsidRPr="005B6F04">
        <w:rPr>
          <w:bCs/>
        </w:rPr>
        <w:t xml:space="preserve"> </w:t>
      </w:r>
      <w:r w:rsidR="009C7AC4" w:rsidRPr="005B6F04">
        <w:rPr>
          <w:bCs/>
        </w:rPr>
        <w:t xml:space="preserve">limitation of this guideline update continues to be a paucity </w:t>
      </w:r>
      <w:r w:rsidR="00004C2D" w:rsidRPr="005B6F04">
        <w:rPr>
          <w:bCs/>
        </w:rPr>
        <w:t>of high quality RCTs assessing the intervention.</w:t>
      </w:r>
      <w:r w:rsidR="001C1562" w:rsidRPr="005B6F04">
        <w:rPr>
          <w:bCs/>
          <w:vertAlign w:val="superscript"/>
        </w:rPr>
        <w:t>1</w:t>
      </w:r>
      <w:r w:rsidR="00163BEC" w:rsidRPr="005B6F04">
        <w:rPr>
          <w:bCs/>
          <w:vertAlign w:val="superscript"/>
        </w:rPr>
        <w:t>3</w:t>
      </w:r>
      <w:r w:rsidR="00004C2D" w:rsidRPr="005B6F04">
        <w:rPr>
          <w:bCs/>
        </w:rPr>
        <w:t xml:space="preserve"> The guideline update does not address endoscopic adhesiolysis</w:t>
      </w:r>
      <w:r w:rsidR="001C1562" w:rsidRPr="005B6F04">
        <w:rPr>
          <w:bCs/>
        </w:rPr>
        <w:t xml:space="preserve">. </w:t>
      </w:r>
    </w:p>
    <w:p w14:paraId="447D9A1B" w14:textId="218DC451" w:rsidR="00A100E0" w:rsidRPr="005B6F04" w:rsidRDefault="00A100E0">
      <w:pPr>
        <w:rPr>
          <w:bCs/>
          <w:vertAlign w:val="superscript"/>
        </w:rPr>
      </w:pPr>
    </w:p>
    <w:p w14:paraId="56B12E57" w14:textId="5B31D6FF" w:rsidR="00A100E0" w:rsidRPr="005B6F04" w:rsidRDefault="00A100E0">
      <w:pPr>
        <w:rPr>
          <w:bCs/>
          <w:i/>
        </w:rPr>
      </w:pPr>
      <w:r w:rsidRPr="005B6F04">
        <w:rPr>
          <w:bCs/>
          <w:i/>
        </w:rPr>
        <w:t>National Institute for Health and Care Excellence (NICE)</w:t>
      </w:r>
    </w:p>
    <w:p w14:paraId="62B019B3" w14:textId="2F59D1CC" w:rsidR="00004C2D" w:rsidRPr="005B6F04" w:rsidRDefault="007D4F23">
      <w:pPr>
        <w:rPr>
          <w:bCs/>
          <w:vertAlign w:val="superscript"/>
        </w:rPr>
      </w:pPr>
      <w:r w:rsidRPr="005B6F04">
        <w:rPr>
          <w:bCs/>
        </w:rPr>
        <w:t>In a 2010 statement</w:t>
      </w:r>
      <w:r w:rsidR="001735C2" w:rsidRPr="005B6F04">
        <w:rPr>
          <w:bCs/>
        </w:rPr>
        <w:t>,</w:t>
      </w:r>
      <w:r w:rsidRPr="005B6F04">
        <w:rPr>
          <w:bCs/>
        </w:rPr>
        <w:t xml:space="preserve"> t</w:t>
      </w:r>
      <w:r w:rsidR="00004C2D" w:rsidRPr="005B6F04">
        <w:rPr>
          <w:bCs/>
        </w:rPr>
        <w:t xml:space="preserve">he UK National Institute for Clinical Excellence (NICE) </w:t>
      </w:r>
      <w:r w:rsidR="00213A69" w:rsidRPr="005B6F04">
        <w:rPr>
          <w:bCs/>
        </w:rPr>
        <w:t>concluded,</w:t>
      </w:r>
      <w:r w:rsidR="00004C2D" w:rsidRPr="005B6F04">
        <w:rPr>
          <w:bCs/>
        </w:rPr>
        <w:t xml:space="preserve"> "</w:t>
      </w:r>
      <w:r w:rsidR="00004C2D" w:rsidRPr="005B6F04">
        <w:t>c</w:t>
      </w:r>
      <w:r w:rsidR="00004C2D" w:rsidRPr="005B6F04">
        <w:rPr>
          <w:bCs/>
        </w:rPr>
        <w:t>urrent evidence on therapeutic endoscopic division of epidural adhesions is limited to some evidence of short-term efficacy, and there are significant safety concerns. Therefore this procedure should only be used with special arrangements for clinical governance, consent and audit or research.”</w:t>
      </w:r>
      <w:r w:rsidR="00004C2D" w:rsidRPr="005B6F04">
        <w:rPr>
          <w:bCs/>
          <w:vertAlign w:val="superscript"/>
        </w:rPr>
        <w:t>1</w:t>
      </w:r>
      <w:r w:rsidR="00A10428" w:rsidRPr="005B6F04">
        <w:rPr>
          <w:bCs/>
          <w:vertAlign w:val="superscript"/>
        </w:rPr>
        <w:t>2</w:t>
      </w:r>
    </w:p>
    <w:p w14:paraId="62228F69" w14:textId="77777777" w:rsidR="00004C2D" w:rsidRPr="005B6F04" w:rsidRDefault="00004C2D">
      <w:pPr>
        <w:rPr>
          <w:b/>
          <w:bCs/>
        </w:rPr>
      </w:pPr>
    </w:p>
    <w:p w14:paraId="62E4A65B" w14:textId="77777777" w:rsidR="00004C2D" w:rsidRPr="005B6F04" w:rsidRDefault="00004C2D" w:rsidP="00170B14">
      <w:pPr>
        <w:rPr>
          <w:b/>
        </w:rPr>
      </w:pPr>
      <w:bookmarkStart w:id="0" w:name="Coding_Implications"/>
      <w:r w:rsidRPr="005B6F04">
        <w:rPr>
          <w:b/>
        </w:rPr>
        <w:t>Coding Implications</w:t>
      </w:r>
    </w:p>
    <w:bookmarkEnd w:id="0"/>
    <w:p w14:paraId="78CEE186" w14:textId="66B83AD7" w:rsidR="00004C2D" w:rsidRPr="005B6F04" w:rsidRDefault="00004C2D" w:rsidP="00AF5490">
      <w:r w:rsidRPr="005B6F04">
        <w:t>This clinical policy references Current Procedural Terminology (CPT</w:t>
      </w:r>
      <w:r w:rsidRPr="005B6F04">
        <w:rPr>
          <w:vertAlign w:val="superscript"/>
        </w:rPr>
        <w:t>®</w:t>
      </w:r>
      <w:r w:rsidRPr="005B6F04">
        <w:t>). CPT</w:t>
      </w:r>
      <w:r w:rsidRPr="005B6F04">
        <w:rPr>
          <w:vertAlign w:val="superscript"/>
        </w:rPr>
        <w:t>®</w:t>
      </w:r>
      <w:r w:rsidRPr="005B6F04">
        <w:t xml:space="preserve"> is a registered trademark of the American Medical Association. All CPT codes and descriptions are copyrighted </w:t>
      </w:r>
      <w:r w:rsidR="00A76652" w:rsidRPr="005B6F04">
        <w:t>202</w:t>
      </w:r>
      <w:r w:rsidR="00A76652">
        <w:t>4</w:t>
      </w:r>
      <w:r w:rsidRPr="005B6F04">
        <w:t xml:space="preserve">, American Medical Association. All rights reserved. CPT codes and CPT descriptions are from the current manuals and those included herein are not intended to be all-inclusive and are included for informational purposes only. Codes referenced in this clinical policy are for informational purposes only.  Inclusion or exclusion of any codes does not guarantee coverage.  </w:t>
      </w:r>
      <w:r w:rsidRPr="005B6F04">
        <w:lastRenderedPageBreak/>
        <w:t>Providers should reference the most up-to-date sources of professional coding guidance prior to the submission of claims for reimbursement of covered services.</w:t>
      </w:r>
    </w:p>
    <w:p w14:paraId="33AEC42C" w14:textId="77777777" w:rsidR="00004C2D" w:rsidRPr="00A85489" w:rsidRDefault="00004C2D" w:rsidP="00AF5490"/>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08"/>
        <w:gridCol w:w="7816"/>
      </w:tblGrid>
      <w:tr w:rsidR="00004C2D" w:rsidRPr="00B777AF" w14:paraId="26488FE9" w14:textId="77777777" w:rsidTr="00504F3B">
        <w:trPr>
          <w:tblHeader/>
        </w:trPr>
        <w:tc>
          <w:tcPr>
            <w:tcW w:w="1108" w:type="dxa"/>
            <w:shd w:val="clear" w:color="auto" w:fill="00548C"/>
          </w:tcPr>
          <w:p w14:paraId="290EFD62" w14:textId="5B943FC6" w:rsidR="00AE16A8" w:rsidRDefault="00004C2D" w:rsidP="00C10DF0">
            <w:pPr>
              <w:rPr>
                <w:b/>
                <w:color w:val="FFFFFF"/>
              </w:rPr>
            </w:pPr>
            <w:r w:rsidRPr="008B2E73">
              <w:rPr>
                <w:b/>
                <w:color w:val="FFFFFF"/>
              </w:rPr>
              <w:t>CPT</w:t>
            </w:r>
          </w:p>
          <w:p w14:paraId="52A89470" w14:textId="55975119" w:rsidR="00004C2D" w:rsidRPr="008B2E73" w:rsidRDefault="00004C2D" w:rsidP="00C10DF0">
            <w:pPr>
              <w:rPr>
                <w:b/>
                <w:bCs/>
                <w:color w:val="FFFFFF"/>
              </w:rPr>
            </w:pPr>
            <w:r w:rsidRPr="008B2E73">
              <w:rPr>
                <w:b/>
                <w:color w:val="FFFFFF"/>
              </w:rPr>
              <w:t xml:space="preserve">Codes </w:t>
            </w:r>
          </w:p>
        </w:tc>
        <w:tc>
          <w:tcPr>
            <w:tcW w:w="7816" w:type="dxa"/>
            <w:shd w:val="clear" w:color="auto" w:fill="00548C"/>
          </w:tcPr>
          <w:p w14:paraId="28537F54" w14:textId="77777777" w:rsidR="00004C2D" w:rsidRPr="008B2E73" w:rsidRDefault="00004C2D" w:rsidP="00C10DF0">
            <w:pPr>
              <w:rPr>
                <w:b/>
                <w:bCs/>
                <w:color w:val="FFFFFF"/>
              </w:rPr>
            </w:pPr>
            <w:r w:rsidRPr="008B2E73">
              <w:rPr>
                <w:b/>
                <w:color w:val="FFFFFF"/>
              </w:rPr>
              <w:t>Description</w:t>
            </w:r>
          </w:p>
        </w:tc>
      </w:tr>
      <w:tr w:rsidR="00004C2D" w:rsidRPr="005144C0" w14:paraId="6901CB0C" w14:textId="77777777" w:rsidTr="00504F3B">
        <w:tc>
          <w:tcPr>
            <w:tcW w:w="1108" w:type="dxa"/>
          </w:tcPr>
          <w:p w14:paraId="48C5A1AE" w14:textId="77777777" w:rsidR="00004C2D" w:rsidRPr="00FD4EA9" w:rsidRDefault="00004C2D" w:rsidP="00C10DF0">
            <w:pPr>
              <w:rPr>
                <w:bCs/>
              </w:rPr>
            </w:pPr>
            <w:r w:rsidRPr="00FD4EA9">
              <w:rPr>
                <w:bCs/>
              </w:rPr>
              <w:t>62263</w:t>
            </w:r>
          </w:p>
        </w:tc>
        <w:tc>
          <w:tcPr>
            <w:tcW w:w="7816" w:type="dxa"/>
          </w:tcPr>
          <w:p w14:paraId="60D8675A" w14:textId="33956B15" w:rsidR="00004C2D" w:rsidRPr="008B2E73" w:rsidRDefault="00004C2D" w:rsidP="00C10DF0">
            <w:pPr>
              <w:rPr>
                <w:bCs/>
              </w:rPr>
            </w:pPr>
            <w:r w:rsidRPr="008B2E73">
              <w:rPr>
                <w:bCs/>
              </w:rPr>
              <w:t>Percutaneous lysis of epidural adhesions using solution injection (eg, hypertonic saline, enzyme) or mechanical means (eg, catheter) including radiologic localization (includes contrast when administered), multiple adhesiolysis sessions; 2 or more days</w:t>
            </w:r>
            <w:r w:rsidR="00D71BFB" w:rsidRPr="00D71BFB">
              <w:rPr>
                <w:bCs/>
              </w:rPr>
              <w:t xml:space="preserve"> </w:t>
            </w:r>
          </w:p>
        </w:tc>
      </w:tr>
      <w:tr w:rsidR="00004C2D" w:rsidRPr="005144C0" w14:paraId="552FD507" w14:textId="77777777" w:rsidTr="008B4BAC">
        <w:trPr>
          <w:trHeight w:val="1160"/>
        </w:trPr>
        <w:tc>
          <w:tcPr>
            <w:tcW w:w="1108" w:type="dxa"/>
          </w:tcPr>
          <w:p w14:paraId="04D78605" w14:textId="77777777" w:rsidR="00004C2D" w:rsidRPr="00FD4EA9" w:rsidRDefault="00004C2D" w:rsidP="00C10DF0">
            <w:pPr>
              <w:rPr>
                <w:bCs/>
              </w:rPr>
            </w:pPr>
            <w:r w:rsidRPr="00FD4EA9">
              <w:rPr>
                <w:bCs/>
              </w:rPr>
              <w:t>62264</w:t>
            </w:r>
          </w:p>
        </w:tc>
        <w:tc>
          <w:tcPr>
            <w:tcW w:w="7816" w:type="dxa"/>
          </w:tcPr>
          <w:p w14:paraId="5B3D2E8E" w14:textId="1CBF8A1A" w:rsidR="00004C2D" w:rsidRPr="008B2E73" w:rsidRDefault="00004C2D" w:rsidP="00C10DF0">
            <w:pPr>
              <w:rPr>
                <w:bCs/>
              </w:rPr>
            </w:pPr>
            <w:r w:rsidRPr="006E52C7">
              <w:t>Percutaneous lysis of epidural adhesions using solution injection (eg, hypertonic saline, enzyme) or mechanical means (eg, catheter) including radiologic localization (includes contrast when administered), multiple adhesiolysis sessions; 1 day</w:t>
            </w:r>
          </w:p>
        </w:tc>
      </w:tr>
    </w:tbl>
    <w:p w14:paraId="3C116ABE" w14:textId="77777777" w:rsidR="00004C2D" w:rsidRDefault="00004C2D" w:rsidP="00AF5490"/>
    <w:tbl>
      <w:tblPr>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08"/>
        <w:gridCol w:w="1260"/>
      </w:tblGrid>
      <w:tr w:rsidR="00004C2D" w:rsidRPr="00B777AF" w14:paraId="30BE1D30" w14:textId="77777777" w:rsidTr="00E8304E">
        <w:trPr>
          <w:tblHeader/>
        </w:trPr>
        <w:tc>
          <w:tcPr>
            <w:tcW w:w="7280" w:type="dxa"/>
            <w:tcBorders>
              <w:top w:val="single" w:sz="8" w:space="0" w:color="4F81BD"/>
            </w:tcBorders>
            <w:shd w:val="clear" w:color="auto" w:fill="00548C"/>
          </w:tcPr>
          <w:p w14:paraId="0338C103" w14:textId="77777777" w:rsidR="00004C2D" w:rsidRPr="008B2E73" w:rsidRDefault="00004C2D" w:rsidP="00B777AF">
            <w:pPr>
              <w:rPr>
                <w:b/>
                <w:bCs/>
                <w:color w:val="FFFFFF"/>
              </w:rPr>
            </w:pPr>
            <w:bookmarkStart w:id="1" w:name="Revision_Log"/>
            <w:r w:rsidRPr="008B2E73">
              <w:rPr>
                <w:b/>
                <w:color w:val="FFFFFF"/>
              </w:rPr>
              <w:t>Reviews, Revisions, and Approvals</w:t>
            </w:r>
            <w:bookmarkEnd w:id="1"/>
          </w:p>
        </w:tc>
        <w:tc>
          <w:tcPr>
            <w:tcW w:w="1108" w:type="dxa"/>
            <w:shd w:val="clear" w:color="auto" w:fill="00548C"/>
          </w:tcPr>
          <w:p w14:paraId="7FAEE14F" w14:textId="77777777" w:rsidR="000B36BC" w:rsidRDefault="000B36BC" w:rsidP="008B2E73">
            <w:pPr>
              <w:jc w:val="center"/>
              <w:rPr>
                <w:b/>
                <w:color w:val="FFFFFF"/>
              </w:rPr>
            </w:pPr>
            <w:r>
              <w:rPr>
                <w:b/>
                <w:color w:val="FFFFFF"/>
              </w:rPr>
              <w:t>Revision</w:t>
            </w:r>
          </w:p>
          <w:p w14:paraId="3351363B" w14:textId="6828C8DE" w:rsidR="00004C2D" w:rsidRPr="008B2E73" w:rsidRDefault="00004C2D" w:rsidP="008B2E73">
            <w:pPr>
              <w:jc w:val="center"/>
              <w:rPr>
                <w:b/>
                <w:bCs/>
                <w:color w:val="FFFFFF"/>
              </w:rPr>
            </w:pPr>
            <w:r w:rsidRPr="008B2E73">
              <w:rPr>
                <w:b/>
                <w:color w:val="FFFFFF"/>
              </w:rPr>
              <w:t>Date</w:t>
            </w:r>
          </w:p>
        </w:tc>
        <w:tc>
          <w:tcPr>
            <w:tcW w:w="1260" w:type="dxa"/>
            <w:tcBorders>
              <w:top w:val="single" w:sz="8" w:space="0" w:color="4F81BD"/>
            </w:tcBorders>
            <w:shd w:val="clear" w:color="auto" w:fill="00548C"/>
          </w:tcPr>
          <w:p w14:paraId="4D9A3A5F" w14:textId="77777777" w:rsidR="00004C2D" w:rsidRPr="008B2E73" w:rsidRDefault="00004C2D" w:rsidP="008B2E73">
            <w:pPr>
              <w:jc w:val="center"/>
              <w:rPr>
                <w:b/>
                <w:bCs/>
                <w:color w:val="FFFFFF"/>
              </w:rPr>
            </w:pPr>
            <w:r w:rsidRPr="008B2E73">
              <w:rPr>
                <w:b/>
                <w:color w:val="FFFFFF"/>
              </w:rPr>
              <w:t>Approval Date</w:t>
            </w:r>
          </w:p>
        </w:tc>
      </w:tr>
      <w:tr w:rsidR="00004C2D" w14:paraId="3A721C32" w14:textId="66437ADB" w:rsidTr="00E8304E">
        <w:tc>
          <w:tcPr>
            <w:tcW w:w="7280" w:type="dxa"/>
          </w:tcPr>
          <w:p w14:paraId="087289A4" w14:textId="1ED33AB5" w:rsidR="00004C2D" w:rsidRDefault="00004C2D" w:rsidP="008B2E73">
            <w:pPr>
              <w:tabs>
                <w:tab w:val="num" w:pos="720"/>
              </w:tabs>
            </w:pPr>
            <w:r>
              <w:t>Policy split from CP.MP.63 Pain Management Procedures. Background information added.</w:t>
            </w:r>
          </w:p>
        </w:tc>
        <w:tc>
          <w:tcPr>
            <w:tcW w:w="1108" w:type="dxa"/>
          </w:tcPr>
          <w:p w14:paraId="2D170BD5" w14:textId="4D33A97C" w:rsidR="00004C2D" w:rsidRDefault="00004C2D" w:rsidP="008B2E73">
            <w:pPr>
              <w:jc w:val="center"/>
            </w:pPr>
            <w:r>
              <w:t>07/16</w:t>
            </w:r>
          </w:p>
        </w:tc>
        <w:tc>
          <w:tcPr>
            <w:tcW w:w="1260" w:type="dxa"/>
          </w:tcPr>
          <w:p w14:paraId="682DA725" w14:textId="7BAAE5EC" w:rsidR="00004C2D" w:rsidRDefault="00EF3690" w:rsidP="008B2E73">
            <w:pPr>
              <w:jc w:val="center"/>
            </w:pPr>
            <w:r>
              <w:t>07/16</w:t>
            </w:r>
          </w:p>
        </w:tc>
      </w:tr>
      <w:tr w:rsidR="00770B65" w14:paraId="1DCF470B" w14:textId="77777777" w:rsidTr="00E8304E">
        <w:tc>
          <w:tcPr>
            <w:tcW w:w="7280" w:type="dxa"/>
          </w:tcPr>
          <w:p w14:paraId="771E21B2" w14:textId="77777777" w:rsidR="00770B65" w:rsidRDefault="00E51E9A" w:rsidP="00942A94">
            <w:pPr>
              <w:tabs>
                <w:tab w:val="num" w:pos="720"/>
              </w:tabs>
            </w:pPr>
            <w:r>
              <w:t>References reviewed and updated.</w:t>
            </w:r>
            <w:r w:rsidR="007B5968">
              <w:t xml:space="preserve">  Specialist reviewed.</w:t>
            </w:r>
          </w:p>
        </w:tc>
        <w:tc>
          <w:tcPr>
            <w:tcW w:w="1108" w:type="dxa"/>
          </w:tcPr>
          <w:p w14:paraId="59FF9B7B" w14:textId="77777777" w:rsidR="00770B65" w:rsidRDefault="00775635" w:rsidP="008A72AE">
            <w:pPr>
              <w:jc w:val="center"/>
            </w:pPr>
            <w:r>
              <w:t>04/1</w:t>
            </w:r>
            <w:r w:rsidR="008A72AE">
              <w:t>9</w:t>
            </w:r>
          </w:p>
        </w:tc>
        <w:tc>
          <w:tcPr>
            <w:tcW w:w="1260" w:type="dxa"/>
          </w:tcPr>
          <w:p w14:paraId="3DFC943A" w14:textId="77777777" w:rsidR="00770B65" w:rsidRDefault="005B70EC" w:rsidP="008B2E73">
            <w:pPr>
              <w:jc w:val="center"/>
            </w:pPr>
            <w:r>
              <w:t>05/19</w:t>
            </w:r>
          </w:p>
        </w:tc>
      </w:tr>
      <w:tr w:rsidR="00F23C5D" w14:paraId="50FB2440" w14:textId="77777777" w:rsidTr="00E8304E">
        <w:tc>
          <w:tcPr>
            <w:tcW w:w="7280" w:type="dxa"/>
          </w:tcPr>
          <w:p w14:paraId="33E53FE6" w14:textId="3563733E" w:rsidR="00F23C5D" w:rsidRDefault="00C871E8" w:rsidP="00C871E8">
            <w:pPr>
              <w:tabs>
                <w:tab w:val="num" w:pos="720"/>
              </w:tabs>
            </w:pPr>
            <w:r>
              <w:t xml:space="preserve">References reviewed and updated.   Revised ICD-10 table combining most of the codes listed into a code range.  </w:t>
            </w:r>
          </w:p>
        </w:tc>
        <w:tc>
          <w:tcPr>
            <w:tcW w:w="1108" w:type="dxa"/>
          </w:tcPr>
          <w:p w14:paraId="7CD1184B" w14:textId="7E8B2B11" w:rsidR="00F23C5D" w:rsidRDefault="00C871E8" w:rsidP="008A72AE">
            <w:pPr>
              <w:jc w:val="center"/>
            </w:pPr>
            <w:r>
              <w:t>04/20</w:t>
            </w:r>
          </w:p>
        </w:tc>
        <w:tc>
          <w:tcPr>
            <w:tcW w:w="1260" w:type="dxa"/>
          </w:tcPr>
          <w:p w14:paraId="7C9DE8DB" w14:textId="5C6CF09E" w:rsidR="00F23C5D" w:rsidRDefault="00D33AEB" w:rsidP="008B2E73">
            <w:pPr>
              <w:jc w:val="center"/>
            </w:pPr>
            <w:r>
              <w:t>05/20</w:t>
            </w:r>
          </w:p>
        </w:tc>
      </w:tr>
      <w:tr w:rsidR="003C723A" w14:paraId="3CE10B65" w14:textId="77777777" w:rsidTr="00E8304E">
        <w:tc>
          <w:tcPr>
            <w:tcW w:w="7280" w:type="dxa"/>
          </w:tcPr>
          <w:p w14:paraId="2E8A9CA4" w14:textId="68A7B34F" w:rsidR="003C723A" w:rsidRDefault="003C723A" w:rsidP="0084421F">
            <w:pPr>
              <w:tabs>
                <w:tab w:val="num" w:pos="720"/>
              </w:tabs>
            </w:pPr>
            <w:r>
              <w:t xml:space="preserve">Revised ICD-10 code G96.19 to G96.198 </w:t>
            </w:r>
            <w:r w:rsidR="00AB64A0">
              <w:t xml:space="preserve">per </w:t>
            </w:r>
            <w:r>
              <w:t>10/1/20</w:t>
            </w:r>
            <w:r w:rsidR="00AB64A0">
              <w:t xml:space="preserve"> ICD-10 code updates.</w:t>
            </w:r>
            <w:r w:rsidR="0084421F">
              <w:t xml:space="preserve"> R</w:t>
            </w:r>
            <w:r w:rsidR="0084421F" w:rsidRPr="0084421F">
              <w:t>eplaced “member” with “member/enrollee” in all instances</w:t>
            </w:r>
            <w:r w:rsidR="0084421F">
              <w:t>.</w:t>
            </w:r>
          </w:p>
        </w:tc>
        <w:tc>
          <w:tcPr>
            <w:tcW w:w="1108" w:type="dxa"/>
          </w:tcPr>
          <w:p w14:paraId="16A80E1B" w14:textId="3A969024" w:rsidR="003C723A" w:rsidRDefault="003C723A" w:rsidP="008A72AE">
            <w:pPr>
              <w:jc w:val="center"/>
            </w:pPr>
            <w:r>
              <w:t>10/20</w:t>
            </w:r>
          </w:p>
        </w:tc>
        <w:tc>
          <w:tcPr>
            <w:tcW w:w="1260" w:type="dxa"/>
          </w:tcPr>
          <w:p w14:paraId="4831E312" w14:textId="77777777" w:rsidR="003C723A" w:rsidRDefault="003C723A" w:rsidP="008B2E73">
            <w:pPr>
              <w:jc w:val="center"/>
            </w:pPr>
          </w:p>
        </w:tc>
      </w:tr>
      <w:tr w:rsidR="003F7066" w14:paraId="3446CD8A" w14:textId="77777777" w:rsidTr="00E8304E">
        <w:tc>
          <w:tcPr>
            <w:tcW w:w="7280" w:type="dxa"/>
          </w:tcPr>
          <w:p w14:paraId="40495B6B" w14:textId="608C923B" w:rsidR="003F7066" w:rsidRDefault="0046414D" w:rsidP="00213A69">
            <w:pPr>
              <w:tabs>
                <w:tab w:val="num" w:pos="720"/>
              </w:tabs>
            </w:pPr>
            <w:r>
              <w:t>Revised policy statement to state, “</w:t>
            </w:r>
            <w:r w:rsidRPr="0046414D">
              <w:t>current medical literature does not support the efficacy of lysis of epidural lesions</w:t>
            </w:r>
            <w:r>
              <w:t>,” and removed “investigational</w:t>
            </w:r>
            <w:r w:rsidR="00213A69">
              <w:t>.</w:t>
            </w:r>
            <w:r>
              <w:t>”</w:t>
            </w:r>
            <w:r w:rsidR="00213A69">
              <w:t xml:space="preserve"> </w:t>
            </w:r>
            <w:r w:rsidR="002A7758">
              <w:t xml:space="preserve"> </w:t>
            </w:r>
            <w:r w:rsidR="00DC31B5">
              <w:t>References review</w:t>
            </w:r>
            <w:r w:rsidR="001B1454">
              <w:t>ed</w:t>
            </w:r>
            <w:r w:rsidR="00DC31B5">
              <w:t xml:space="preserve"> and updated</w:t>
            </w:r>
            <w:r w:rsidR="009927AA">
              <w:t>.</w:t>
            </w:r>
          </w:p>
        </w:tc>
        <w:tc>
          <w:tcPr>
            <w:tcW w:w="1108" w:type="dxa"/>
          </w:tcPr>
          <w:p w14:paraId="5944F12F" w14:textId="01D9317D" w:rsidR="003F7066" w:rsidRDefault="003F7066" w:rsidP="008A72AE">
            <w:pPr>
              <w:jc w:val="center"/>
            </w:pPr>
            <w:r>
              <w:t>04/21</w:t>
            </w:r>
          </w:p>
        </w:tc>
        <w:tc>
          <w:tcPr>
            <w:tcW w:w="1260" w:type="dxa"/>
          </w:tcPr>
          <w:p w14:paraId="44E585B2" w14:textId="33B5ABF5" w:rsidR="003F7066" w:rsidRDefault="00213A69" w:rsidP="008B2E73">
            <w:pPr>
              <w:jc w:val="center"/>
            </w:pPr>
            <w:r>
              <w:t>05/21</w:t>
            </w:r>
          </w:p>
        </w:tc>
      </w:tr>
      <w:tr w:rsidR="0069756A" w14:paraId="187F0538" w14:textId="77777777" w:rsidTr="00E8304E">
        <w:tc>
          <w:tcPr>
            <w:tcW w:w="7280" w:type="dxa"/>
          </w:tcPr>
          <w:p w14:paraId="3EF6F4F2" w14:textId="4EA694B5" w:rsidR="0069756A" w:rsidRDefault="00912CAE" w:rsidP="00213A69">
            <w:pPr>
              <w:tabs>
                <w:tab w:val="num" w:pos="720"/>
              </w:tabs>
            </w:pPr>
            <w:r>
              <w:t xml:space="preserve">Annual review. </w:t>
            </w:r>
            <w:r w:rsidR="00C8329D">
              <w:t xml:space="preserve">References reviewed, updated, and reformatted. </w:t>
            </w:r>
            <w:r w:rsidR="00A100E0">
              <w:t xml:space="preserve">Background updated with no clinical significance. </w:t>
            </w:r>
            <w:r w:rsidR="000961FF">
              <w:t xml:space="preserve">Specialist reviewed. </w:t>
            </w:r>
          </w:p>
        </w:tc>
        <w:tc>
          <w:tcPr>
            <w:tcW w:w="1108" w:type="dxa"/>
          </w:tcPr>
          <w:p w14:paraId="231FB4DE" w14:textId="634D7276" w:rsidR="0069756A" w:rsidRDefault="0069756A" w:rsidP="008A72AE">
            <w:pPr>
              <w:jc w:val="center"/>
            </w:pPr>
            <w:r>
              <w:t>05/22</w:t>
            </w:r>
          </w:p>
        </w:tc>
        <w:tc>
          <w:tcPr>
            <w:tcW w:w="1260" w:type="dxa"/>
          </w:tcPr>
          <w:p w14:paraId="126A7108" w14:textId="775E226D" w:rsidR="0069756A" w:rsidRDefault="00746A77" w:rsidP="008B2E73">
            <w:pPr>
              <w:jc w:val="center"/>
            </w:pPr>
            <w:r>
              <w:t>05/22</w:t>
            </w:r>
          </w:p>
        </w:tc>
      </w:tr>
      <w:tr w:rsidR="00B95BB7" w14:paraId="609872C8" w14:textId="77777777" w:rsidTr="00E8304E">
        <w:tc>
          <w:tcPr>
            <w:tcW w:w="7280" w:type="dxa"/>
          </w:tcPr>
          <w:p w14:paraId="77840339" w14:textId="4B59634B" w:rsidR="00B95BB7" w:rsidRDefault="00B72E17" w:rsidP="00213A69">
            <w:pPr>
              <w:tabs>
                <w:tab w:val="num" w:pos="720"/>
              </w:tabs>
            </w:pPr>
            <w:r>
              <w:t xml:space="preserve">Annual review. </w:t>
            </w:r>
            <w:r w:rsidR="00FD4EA9">
              <w:t xml:space="preserve">Background updated with no impact on Policy Criteria section. </w:t>
            </w:r>
            <w:r w:rsidR="00AC436E">
              <w:t xml:space="preserve">ICD-10 codes removed. </w:t>
            </w:r>
            <w:r w:rsidR="00C72E40" w:rsidRPr="00C72E40">
              <w:t>Changed, “review date,” in the header to “</w:t>
            </w:r>
            <w:r w:rsidR="00C54036">
              <w:t>D</w:t>
            </w:r>
            <w:r w:rsidR="00C72E40" w:rsidRPr="00C72E40">
              <w:t xml:space="preserve">ate of </w:t>
            </w:r>
            <w:r w:rsidR="00C54036">
              <w:t>L</w:t>
            </w:r>
            <w:r w:rsidR="00C72E40" w:rsidRPr="00C72E40">
              <w:t xml:space="preserve">ast </w:t>
            </w:r>
            <w:r w:rsidR="00C54036">
              <w:t>R</w:t>
            </w:r>
            <w:r w:rsidR="00C72E40" w:rsidRPr="00C72E40">
              <w:t>evision,” and “</w:t>
            </w:r>
            <w:r w:rsidR="00C54036">
              <w:t>D</w:t>
            </w:r>
            <w:r w:rsidR="00C72E40" w:rsidRPr="00C72E40">
              <w:t>ate” in the revision log header to “</w:t>
            </w:r>
            <w:r w:rsidR="00C54036">
              <w:t>R</w:t>
            </w:r>
            <w:r w:rsidR="00C72E40" w:rsidRPr="00C72E40">
              <w:t xml:space="preserve">evision </w:t>
            </w:r>
            <w:r w:rsidR="00C54036">
              <w:t>D</w:t>
            </w:r>
            <w:r w:rsidR="00C72E40" w:rsidRPr="00C72E40">
              <w:t xml:space="preserve">ate.” </w:t>
            </w:r>
            <w:r w:rsidR="00815B05">
              <w:t xml:space="preserve">References reviewed and updated. </w:t>
            </w:r>
          </w:p>
        </w:tc>
        <w:tc>
          <w:tcPr>
            <w:tcW w:w="1108" w:type="dxa"/>
          </w:tcPr>
          <w:p w14:paraId="1E7C8F41" w14:textId="561764F3" w:rsidR="00B95BB7" w:rsidRDefault="00B95BB7" w:rsidP="008A72AE">
            <w:pPr>
              <w:jc w:val="center"/>
            </w:pPr>
            <w:r>
              <w:t>05/23</w:t>
            </w:r>
          </w:p>
        </w:tc>
        <w:tc>
          <w:tcPr>
            <w:tcW w:w="1260" w:type="dxa"/>
          </w:tcPr>
          <w:p w14:paraId="2B9079AC" w14:textId="1C003D1B" w:rsidR="00B95BB7" w:rsidRDefault="00E91DD8" w:rsidP="008B2E73">
            <w:pPr>
              <w:jc w:val="center"/>
            </w:pPr>
            <w:r>
              <w:t>05/23</w:t>
            </w:r>
          </w:p>
        </w:tc>
      </w:tr>
      <w:tr w:rsidR="00AE16A8" w14:paraId="1E7CA3BD" w14:textId="77777777" w:rsidTr="00E8304E">
        <w:tc>
          <w:tcPr>
            <w:tcW w:w="7280" w:type="dxa"/>
          </w:tcPr>
          <w:p w14:paraId="1CDE2A41" w14:textId="0B09BAB2" w:rsidR="00AE16A8" w:rsidRDefault="000C2EA8" w:rsidP="00213A69">
            <w:pPr>
              <w:tabs>
                <w:tab w:val="num" w:pos="720"/>
              </w:tabs>
            </w:pPr>
            <w:r w:rsidRPr="000C2EA8">
              <w:t>Annual review. Updated description and background with no clinical significance. References reviewed and updated.</w:t>
            </w:r>
            <w:r w:rsidR="00013FC4">
              <w:t xml:space="preserve"> </w:t>
            </w:r>
            <w:r w:rsidR="00013FC4" w:rsidRPr="00013FC4">
              <w:t>Reviewed by external specialist.</w:t>
            </w:r>
          </w:p>
        </w:tc>
        <w:tc>
          <w:tcPr>
            <w:tcW w:w="1108" w:type="dxa"/>
          </w:tcPr>
          <w:p w14:paraId="1207BD82" w14:textId="300A1177" w:rsidR="00AE16A8" w:rsidRDefault="00AE16A8" w:rsidP="008A72AE">
            <w:pPr>
              <w:jc w:val="center"/>
            </w:pPr>
            <w:r>
              <w:t>05/24</w:t>
            </w:r>
          </w:p>
        </w:tc>
        <w:tc>
          <w:tcPr>
            <w:tcW w:w="1260" w:type="dxa"/>
          </w:tcPr>
          <w:p w14:paraId="4DFDD90D" w14:textId="0523064B" w:rsidR="00AE16A8" w:rsidRDefault="00D26ECA" w:rsidP="008B2E73">
            <w:pPr>
              <w:jc w:val="center"/>
            </w:pPr>
            <w:r>
              <w:t>05/24</w:t>
            </w:r>
          </w:p>
        </w:tc>
      </w:tr>
      <w:tr w:rsidR="00085329" w14:paraId="0A862233" w14:textId="77777777" w:rsidTr="00E8304E">
        <w:tc>
          <w:tcPr>
            <w:tcW w:w="7280" w:type="dxa"/>
          </w:tcPr>
          <w:p w14:paraId="21775809" w14:textId="72B7A6B3" w:rsidR="00085329" w:rsidRPr="000C2EA8" w:rsidRDefault="00085329" w:rsidP="00213A69">
            <w:pPr>
              <w:tabs>
                <w:tab w:val="num" w:pos="720"/>
              </w:tabs>
            </w:pPr>
            <w:r>
              <w:t>Annual review.</w:t>
            </w:r>
            <w:r w:rsidR="00657756">
              <w:t xml:space="preserve"> Background updated with no impact to criteria. References reviewed and updated.</w:t>
            </w:r>
          </w:p>
        </w:tc>
        <w:tc>
          <w:tcPr>
            <w:tcW w:w="1108" w:type="dxa"/>
          </w:tcPr>
          <w:p w14:paraId="7A791D2B" w14:textId="2EDC5EE6" w:rsidR="00085329" w:rsidRDefault="00085329" w:rsidP="008A72AE">
            <w:pPr>
              <w:jc w:val="center"/>
            </w:pPr>
            <w:r>
              <w:t>04/25</w:t>
            </w:r>
          </w:p>
        </w:tc>
        <w:tc>
          <w:tcPr>
            <w:tcW w:w="1260" w:type="dxa"/>
          </w:tcPr>
          <w:p w14:paraId="1360FAE7" w14:textId="1564154E" w:rsidR="00085329" w:rsidRDefault="007D148F" w:rsidP="008B2E73">
            <w:pPr>
              <w:jc w:val="center"/>
            </w:pPr>
            <w:r>
              <w:t>04/25</w:t>
            </w:r>
          </w:p>
        </w:tc>
      </w:tr>
    </w:tbl>
    <w:p w14:paraId="4DAA8D7B" w14:textId="63C09D44" w:rsidR="00004C2D" w:rsidRDefault="00004C2D" w:rsidP="00B777AF">
      <w:pPr>
        <w:pStyle w:val="Heading6"/>
        <w:tabs>
          <w:tab w:val="clear" w:pos="0"/>
        </w:tabs>
      </w:pPr>
    </w:p>
    <w:p w14:paraId="2302868B" w14:textId="77777777" w:rsidR="00004C2D" w:rsidRPr="005B6F04" w:rsidRDefault="00004C2D" w:rsidP="00AA7C00">
      <w:pPr>
        <w:pStyle w:val="Heading2"/>
      </w:pPr>
      <w:r w:rsidRPr="005B6F04">
        <w:t>References</w:t>
      </w:r>
    </w:p>
    <w:p w14:paraId="32F05AB0" w14:textId="482408CA" w:rsidR="00004C2D" w:rsidRPr="005B6F04" w:rsidRDefault="00912CAE" w:rsidP="00E2679C">
      <w:pPr>
        <w:pStyle w:val="ListParagraph"/>
        <w:numPr>
          <w:ilvl w:val="0"/>
          <w:numId w:val="23"/>
        </w:numPr>
        <w:ind w:left="360"/>
      </w:pPr>
      <w:r w:rsidRPr="005B6F04">
        <w:t>Heavner JE, Racz GB, Raj P. Percutaneous epidural neuroplasty: prospective evaluation of 0.9% NaCl versus 10% NaCl with or without hyaluronidase. </w:t>
      </w:r>
      <w:r w:rsidRPr="005B6F04">
        <w:rPr>
          <w:i/>
          <w:iCs/>
        </w:rPr>
        <w:t>Reg Anesth Pain Med</w:t>
      </w:r>
      <w:r w:rsidRPr="005B6F04">
        <w:t>. 1999;24(3):202</w:t>
      </w:r>
      <w:r w:rsidR="00B95BB7" w:rsidRPr="005B6F04">
        <w:t xml:space="preserve"> to </w:t>
      </w:r>
      <w:r w:rsidRPr="005B6F04">
        <w:t>207. doi:10.1016/s1098-7339(99)90128-1</w:t>
      </w:r>
      <w:r w:rsidR="00FF4265" w:rsidRPr="005B6F04">
        <w:t xml:space="preserve"> </w:t>
      </w:r>
    </w:p>
    <w:p w14:paraId="49D3E3C2" w14:textId="363FB90E" w:rsidR="00004C2D" w:rsidRPr="005B6F04" w:rsidRDefault="00912CAE" w:rsidP="00E2679C">
      <w:pPr>
        <w:pStyle w:val="ListParagraph"/>
        <w:numPr>
          <w:ilvl w:val="0"/>
          <w:numId w:val="23"/>
        </w:numPr>
        <w:ind w:left="360"/>
      </w:pPr>
      <w:r w:rsidRPr="005B6F04">
        <w:t xml:space="preserve">Veihelmann A, Devens C, Trouillier H, Birkenmaier C, Gerdesmeyer L, Refior HJ. Epidural neuroplasty versus physiotherapy to relieve pain in patients with sciatica: a prospective </w:t>
      </w:r>
      <w:r w:rsidRPr="005B6F04">
        <w:lastRenderedPageBreak/>
        <w:t>randomized blinded clinical trial. </w:t>
      </w:r>
      <w:r w:rsidRPr="005B6F04">
        <w:rPr>
          <w:i/>
          <w:iCs/>
        </w:rPr>
        <w:t>J Orthop Sci</w:t>
      </w:r>
      <w:r w:rsidRPr="005B6F04">
        <w:t>. 2006;11(4):365</w:t>
      </w:r>
      <w:r w:rsidR="00B95BB7" w:rsidRPr="005B6F04">
        <w:t xml:space="preserve"> to </w:t>
      </w:r>
      <w:r w:rsidRPr="005B6F04">
        <w:t>369. doi:10.1007/s00776-006-1032-y</w:t>
      </w:r>
      <w:r w:rsidR="008F5C62" w:rsidRPr="005B6F04">
        <w:t xml:space="preserve"> </w:t>
      </w:r>
    </w:p>
    <w:p w14:paraId="60D570CD" w14:textId="15694826" w:rsidR="00004C2D" w:rsidRPr="005B6F04" w:rsidRDefault="00912CAE" w:rsidP="00E2679C">
      <w:pPr>
        <w:pStyle w:val="ListParagraph"/>
        <w:numPr>
          <w:ilvl w:val="0"/>
          <w:numId w:val="23"/>
        </w:numPr>
        <w:ind w:left="360"/>
      </w:pPr>
      <w:r w:rsidRPr="005B6F04">
        <w:t>Manchikanti L, Rivera JJ, Pampati V, et al. One day lumbar epidural adhesiolysis and hypertonic saline neurolysis in treatment of chronic low back pain: a randomized, double-blind trial. </w:t>
      </w:r>
      <w:r w:rsidRPr="005B6F04">
        <w:rPr>
          <w:i/>
          <w:iCs/>
        </w:rPr>
        <w:t>Pain Physician</w:t>
      </w:r>
      <w:r w:rsidRPr="005B6F04">
        <w:t>. 2004;7(2):177</w:t>
      </w:r>
      <w:r w:rsidR="00B95BB7" w:rsidRPr="005B6F04">
        <w:t xml:space="preserve"> to </w:t>
      </w:r>
      <w:r w:rsidRPr="005B6F04">
        <w:t>186.</w:t>
      </w:r>
      <w:r w:rsidR="00192516" w:rsidRPr="00E8304E">
        <w:rPr>
          <w:rFonts w:ascii="Segoe UI" w:hAnsi="Segoe UI" w:cs="Segoe UI"/>
          <w:shd w:val="clear" w:color="auto" w:fill="FFFFFF"/>
        </w:rPr>
        <w:t xml:space="preserve"> </w:t>
      </w:r>
    </w:p>
    <w:p w14:paraId="775554D1" w14:textId="528BE807" w:rsidR="00004C2D" w:rsidRPr="005B6F04" w:rsidRDefault="00912CAE" w:rsidP="00E2679C">
      <w:pPr>
        <w:pStyle w:val="ListParagraph"/>
        <w:numPr>
          <w:ilvl w:val="0"/>
          <w:numId w:val="23"/>
        </w:numPr>
        <w:ind w:left="360"/>
      </w:pPr>
      <w:r w:rsidRPr="005B6F04">
        <w:t>Manchikanti L, Singh V, Cash KA, Pampati V. Assessment of effectiveness of percutaneous adhesiolysis and caudal epidural injections in managing post lumbar surgery syndrome: 2-year follow-up of a randomized, controlled trial. </w:t>
      </w:r>
      <w:r w:rsidRPr="005B6F04">
        <w:rPr>
          <w:i/>
          <w:iCs/>
        </w:rPr>
        <w:t>J Pain Res</w:t>
      </w:r>
      <w:r w:rsidRPr="005B6F04">
        <w:t>. 2012;5:597</w:t>
      </w:r>
      <w:r w:rsidR="00B95BB7" w:rsidRPr="005B6F04">
        <w:t xml:space="preserve"> to </w:t>
      </w:r>
      <w:r w:rsidRPr="005B6F04">
        <w:t>608. doi:10.2147/JPR.S38999</w:t>
      </w:r>
      <w:r w:rsidR="00B30EF8" w:rsidRPr="00E8304E">
        <w:rPr>
          <w:rFonts w:ascii="Segoe UI" w:hAnsi="Segoe UI" w:cs="Segoe UI"/>
          <w:shd w:val="clear" w:color="auto" w:fill="FFFFFF"/>
        </w:rPr>
        <w:t xml:space="preserve"> </w:t>
      </w:r>
    </w:p>
    <w:p w14:paraId="1FA3C8CB" w14:textId="2BF67224" w:rsidR="00004C2D" w:rsidRPr="005B6F04" w:rsidRDefault="00912CAE" w:rsidP="00AF5623">
      <w:pPr>
        <w:pStyle w:val="ListParagraph"/>
        <w:numPr>
          <w:ilvl w:val="0"/>
          <w:numId w:val="23"/>
        </w:numPr>
        <w:ind w:left="360"/>
      </w:pPr>
      <w:r w:rsidRPr="005B6F04">
        <w:t>Richardson J, McGurgan P, Cheema S, Prasad R, Gupta S. Spinal endoscopy in chronic low back pain with radiculopathy. A prospective case series. </w:t>
      </w:r>
      <w:r w:rsidRPr="005B6F04">
        <w:rPr>
          <w:i/>
          <w:iCs/>
        </w:rPr>
        <w:t>Anaesthesia</w:t>
      </w:r>
      <w:r w:rsidRPr="005B6F04">
        <w:t>. 2001;56(5):454</w:t>
      </w:r>
      <w:r w:rsidR="00B95BB7" w:rsidRPr="005B6F04">
        <w:t xml:space="preserve"> to </w:t>
      </w:r>
      <w:r w:rsidRPr="005B6F04">
        <w:t>460. doi:10.1046/j.1365-2044.2001.01524-3.x</w:t>
      </w:r>
      <w:r w:rsidR="00B30EF8" w:rsidRPr="005B6F04">
        <w:t xml:space="preserve"> </w:t>
      </w:r>
    </w:p>
    <w:p w14:paraId="4590E7F5" w14:textId="40E5DF60" w:rsidR="007E523F" w:rsidRPr="005B6F04" w:rsidRDefault="007E523F" w:rsidP="00AF5623">
      <w:pPr>
        <w:pStyle w:val="ListParagraph"/>
        <w:numPr>
          <w:ilvl w:val="0"/>
          <w:numId w:val="23"/>
        </w:numPr>
        <w:ind w:left="360"/>
      </w:pPr>
      <w:r w:rsidRPr="005B6F04">
        <w:t>Health Technology Assessment. Percutaneous epidural adhesiolysis for chronic low back pain. Hayes</w:t>
      </w:r>
      <w:r w:rsidRPr="007E523F">
        <w:t xml:space="preserve">. </w:t>
      </w:r>
      <w:hyperlink r:id="rId16" w:history="1">
        <w:r w:rsidRPr="007E523F">
          <w:rPr>
            <w:rStyle w:val="Hyperlink"/>
          </w:rPr>
          <w:t>www.hayesinc.com</w:t>
        </w:r>
      </w:hyperlink>
      <w:r w:rsidRPr="007E523F">
        <w:t xml:space="preserve">. </w:t>
      </w:r>
      <w:r w:rsidRPr="005B6F04">
        <w:t xml:space="preserve">Published September 27, 2018 (annual review October 24, 2022). Accessed </w:t>
      </w:r>
      <w:r w:rsidR="00720676">
        <w:t>March 18, 2025</w:t>
      </w:r>
      <w:r w:rsidRPr="005B6F04">
        <w:t xml:space="preserve">.  </w:t>
      </w:r>
    </w:p>
    <w:p w14:paraId="695AD8C1" w14:textId="0B262ECF" w:rsidR="00004C2D" w:rsidRPr="005B6F04" w:rsidRDefault="00912CAE" w:rsidP="00E2679C">
      <w:pPr>
        <w:pStyle w:val="ListParagraph"/>
        <w:numPr>
          <w:ilvl w:val="0"/>
          <w:numId w:val="23"/>
        </w:numPr>
        <w:ind w:left="360"/>
      </w:pPr>
      <w:r w:rsidRPr="005B6F04">
        <w:t>Geurts JW, Kallewaard JW, Richardson J, Groen GJ. Targeted methylprednisolone acetate/hyaluronidase/clonidine injection after diagnostic epiduroscopy for chronic sciatica: a prospective, 1-year follow-up study. </w:t>
      </w:r>
      <w:r w:rsidRPr="005B6F04">
        <w:rPr>
          <w:i/>
          <w:iCs/>
        </w:rPr>
        <w:t>Reg Anesth Pain Med</w:t>
      </w:r>
      <w:r w:rsidRPr="005B6F04">
        <w:t>. 2002;27(4):343</w:t>
      </w:r>
      <w:r w:rsidR="00B95BB7" w:rsidRPr="005B6F04">
        <w:t xml:space="preserve"> to </w:t>
      </w:r>
      <w:r w:rsidRPr="005B6F04">
        <w:t>352. doi:10.1053/rapm.2002.27175</w:t>
      </w:r>
      <w:r w:rsidR="00EA4F27" w:rsidRPr="005B6F04">
        <w:t xml:space="preserve"> </w:t>
      </w:r>
    </w:p>
    <w:p w14:paraId="5D3A491D" w14:textId="26C148FB" w:rsidR="00004C2D" w:rsidRPr="005B6F04" w:rsidRDefault="00912CAE" w:rsidP="00E2679C">
      <w:pPr>
        <w:pStyle w:val="ListParagraph"/>
        <w:numPr>
          <w:ilvl w:val="0"/>
          <w:numId w:val="23"/>
        </w:numPr>
        <w:ind w:left="360"/>
      </w:pPr>
      <w:r w:rsidRPr="005B6F04">
        <w:t>Donato AD, Fontana C, Pinto R, Beltrutti D, Pinto G. The effectiveness of endoscopic epidurolysis in treatment of degenerative chronic low back pain: a prospective analysis and follow-up at 48 months. </w:t>
      </w:r>
      <w:r w:rsidRPr="005B6F04">
        <w:rPr>
          <w:i/>
          <w:iCs/>
        </w:rPr>
        <w:t>Acta Neurochir Suppl</w:t>
      </w:r>
      <w:r w:rsidRPr="005B6F04">
        <w:t>. 2011;108:67</w:t>
      </w:r>
      <w:r w:rsidR="00B95BB7" w:rsidRPr="005B6F04">
        <w:t xml:space="preserve"> to </w:t>
      </w:r>
      <w:r w:rsidRPr="005B6F04">
        <w:t>73. doi:10.1007/978-3-211-99370-5_11</w:t>
      </w:r>
      <w:r w:rsidR="00A1345E" w:rsidRPr="005B6F04">
        <w:t xml:space="preserve"> </w:t>
      </w:r>
    </w:p>
    <w:p w14:paraId="2013D80C" w14:textId="757C5331" w:rsidR="00004C2D" w:rsidRPr="005B6F04" w:rsidRDefault="004264E0" w:rsidP="00E2679C">
      <w:pPr>
        <w:pStyle w:val="ListParagraph"/>
        <w:numPr>
          <w:ilvl w:val="0"/>
          <w:numId w:val="23"/>
        </w:numPr>
        <w:ind w:left="360"/>
      </w:pPr>
      <w:r w:rsidRPr="005B6F04">
        <w:t>Manchikanti L, Boswell MV, Rivera JJ, et al. [ISRCTN 16558617] A randomized, controlled trial of spinal endoscopic adhesiolysis in chronic refractory low back and lower extremity pain. </w:t>
      </w:r>
      <w:r w:rsidRPr="005B6F04">
        <w:rPr>
          <w:i/>
          <w:iCs/>
        </w:rPr>
        <w:t>BMC Anesthesiol</w:t>
      </w:r>
      <w:r w:rsidRPr="005B6F04">
        <w:t>. 2005;5:10. Published 2005 Jul 6. doi:10.1186/1471-2253-5-10</w:t>
      </w:r>
      <w:r w:rsidR="009A07CB" w:rsidRPr="005B6F04">
        <w:t xml:space="preserve"> </w:t>
      </w:r>
    </w:p>
    <w:p w14:paraId="3453F729" w14:textId="21F1CEEC" w:rsidR="00004C2D" w:rsidRPr="005B6F04" w:rsidRDefault="006C78FC" w:rsidP="00E2679C">
      <w:pPr>
        <w:pStyle w:val="ListParagraph"/>
        <w:numPr>
          <w:ilvl w:val="0"/>
          <w:numId w:val="23"/>
        </w:numPr>
        <w:ind w:left="360"/>
      </w:pPr>
      <w:r w:rsidRPr="005B6F04">
        <w:t>Helm S, Hayek SM, Colson J, et al. Spinal endoscopic adhesiolysis in post lumbar surgery syndrome: an update of assessment of the evidence. </w:t>
      </w:r>
      <w:r w:rsidRPr="005B6F04">
        <w:rPr>
          <w:i/>
          <w:iCs/>
        </w:rPr>
        <w:t>Pain Physician</w:t>
      </w:r>
      <w:r w:rsidRPr="005B6F04">
        <w:t>. 2013;16(2 Suppl):SE125</w:t>
      </w:r>
      <w:r w:rsidR="009B45E7" w:rsidRPr="005B6F04">
        <w:t xml:space="preserve"> to </w:t>
      </w:r>
      <w:r w:rsidRPr="005B6F04">
        <w:t>SE150.</w:t>
      </w:r>
      <w:r w:rsidR="00E96521" w:rsidRPr="005B6F04">
        <w:t xml:space="preserve"> </w:t>
      </w:r>
    </w:p>
    <w:p w14:paraId="143DBF95" w14:textId="3A63A8DA" w:rsidR="00004C2D" w:rsidRPr="005B6F04" w:rsidRDefault="006C78FC" w:rsidP="00E2679C">
      <w:pPr>
        <w:pStyle w:val="ListParagraph"/>
        <w:numPr>
          <w:ilvl w:val="0"/>
          <w:numId w:val="23"/>
        </w:numPr>
        <w:ind w:left="360"/>
      </w:pPr>
      <w:r w:rsidRPr="005B6F04">
        <w:t>Manchikanti L, Abdi S, Atluri S, et al. An update of comprehensive evidence-based guidelines for interventional techniques in chronic spinal pain. Part II: guidance and recommendations. </w:t>
      </w:r>
      <w:r w:rsidRPr="005B6F04">
        <w:rPr>
          <w:i/>
          <w:iCs/>
        </w:rPr>
        <w:t>Pain Physician</w:t>
      </w:r>
      <w:r w:rsidRPr="005B6F04">
        <w:t>. 2013;16(2 Suppl):S49</w:t>
      </w:r>
      <w:r w:rsidR="00B95BB7" w:rsidRPr="005B6F04">
        <w:t xml:space="preserve"> to </w:t>
      </w:r>
      <w:r w:rsidRPr="005B6F04">
        <w:t>S283.</w:t>
      </w:r>
      <w:r w:rsidR="00F8087D" w:rsidRPr="005B6F04">
        <w:t xml:space="preserve"> </w:t>
      </w:r>
    </w:p>
    <w:p w14:paraId="1FEB68E2" w14:textId="3FC20791" w:rsidR="00004C2D" w:rsidRPr="005B6F04" w:rsidRDefault="00004C2D" w:rsidP="00E2679C">
      <w:pPr>
        <w:pStyle w:val="Default"/>
        <w:numPr>
          <w:ilvl w:val="0"/>
          <w:numId w:val="23"/>
        </w:numPr>
        <w:ind w:left="360"/>
        <w:rPr>
          <w:rFonts w:ascii="Times New Roman" w:hAnsi="Times New Roman" w:cs="Times New Roman"/>
          <w:color w:val="auto"/>
        </w:rPr>
      </w:pPr>
      <w:r w:rsidRPr="005B6F04">
        <w:rPr>
          <w:rFonts w:ascii="Times New Roman" w:hAnsi="Times New Roman" w:cs="Times New Roman"/>
          <w:color w:val="auto"/>
        </w:rPr>
        <w:t>National Institute for</w:t>
      </w:r>
      <w:r w:rsidR="00EF062B" w:rsidRPr="005B6F04">
        <w:rPr>
          <w:rFonts w:ascii="Times New Roman" w:hAnsi="Times New Roman" w:cs="Times New Roman"/>
          <w:color w:val="auto"/>
        </w:rPr>
        <w:t xml:space="preserve"> Health and Care Excellence</w:t>
      </w:r>
      <w:r w:rsidRPr="005B6F04">
        <w:rPr>
          <w:rFonts w:ascii="Times New Roman" w:hAnsi="Times New Roman" w:cs="Times New Roman"/>
          <w:color w:val="auto"/>
        </w:rPr>
        <w:t>.</w:t>
      </w:r>
      <w:r w:rsidR="00EF062B" w:rsidRPr="005B6F04">
        <w:rPr>
          <w:rFonts w:ascii="Times New Roman" w:hAnsi="Times New Roman" w:cs="Times New Roman"/>
          <w:color w:val="auto"/>
        </w:rPr>
        <w:t xml:space="preserve"> Therapeutic endoscopic division of epidural adhesions. </w:t>
      </w:r>
      <w:r w:rsidRPr="005B6F04">
        <w:rPr>
          <w:rFonts w:ascii="Times New Roman" w:hAnsi="Times New Roman" w:cs="Times New Roman"/>
          <w:color w:val="auto"/>
        </w:rPr>
        <w:t>Interventional procedure</w:t>
      </w:r>
      <w:r w:rsidR="00EF062B" w:rsidRPr="005B6F04">
        <w:rPr>
          <w:rFonts w:ascii="Times New Roman" w:hAnsi="Times New Roman" w:cs="Times New Roman"/>
          <w:color w:val="auto"/>
        </w:rPr>
        <w:t>s</w:t>
      </w:r>
      <w:r w:rsidRPr="005B6F04">
        <w:rPr>
          <w:rFonts w:ascii="Times New Roman" w:hAnsi="Times New Roman" w:cs="Times New Roman"/>
          <w:color w:val="auto"/>
        </w:rPr>
        <w:t xml:space="preserve"> guidance </w:t>
      </w:r>
      <w:r w:rsidR="00EF062B" w:rsidRPr="005B6F04">
        <w:rPr>
          <w:rFonts w:ascii="Times New Roman" w:hAnsi="Times New Roman" w:cs="Times New Roman"/>
          <w:color w:val="auto"/>
        </w:rPr>
        <w:t>[</w:t>
      </w:r>
      <w:r w:rsidRPr="005B6F04">
        <w:rPr>
          <w:rFonts w:ascii="Times New Roman" w:hAnsi="Times New Roman" w:cs="Times New Roman"/>
          <w:color w:val="auto"/>
        </w:rPr>
        <w:t>IPG333</w:t>
      </w:r>
      <w:r w:rsidR="00EF062B" w:rsidRPr="005B6F04">
        <w:rPr>
          <w:rFonts w:ascii="Times New Roman" w:hAnsi="Times New Roman" w:cs="Times New Roman"/>
          <w:color w:val="auto"/>
        </w:rPr>
        <w:t xml:space="preserve">]. </w:t>
      </w:r>
      <w:hyperlink r:id="rId17" w:history="1">
        <w:r w:rsidR="00EF062B" w:rsidRPr="00D65705">
          <w:rPr>
            <w:rStyle w:val="Hyperlink"/>
            <w:rFonts w:ascii="Times New Roman" w:hAnsi="Times New Roman"/>
          </w:rPr>
          <w:t>https://www.nice.org.uk/guidance/ipg333</w:t>
        </w:r>
      </w:hyperlink>
      <w:r w:rsidR="00EF062B">
        <w:rPr>
          <w:rFonts w:ascii="Times New Roman" w:hAnsi="Times New Roman" w:cs="Times New Roman"/>
          <w:color w:val="auto"/>
        </w:rPr>
        <w:t xml:space="preserve">. </w:t>
      </w:r>
      <w:r w:rsidR="00EF062B" w:rsidRPr="005B6F04">
        <w:rPr>
          <w:rFonts w:ascii="Times New Roman" w:hAnsi="Times New Roman" w:cs="Times New Roman"/>
          <w:color w:val="auto"/>
        </w:rPr>
        <w:t xml:space="preserve">Published February 24, 2010. Accessed </w:t>
      </w:r>
      <w:r w:rsidR="00AF12C9">
        <w:rPr>
          <w:rFonts w:ascii="Times New Roman" w:hAnsi="Times New Roman" w:cs="Times New Roman"/>
          <w:color w:val="auto"/>
        </w:rPr>
        <w:t>March 18, 2025</w:t>
      </w:r>
    </w:p>
    <w:p w14:paraId="252370F5" w14:textId="50DA0ED4" w:rsidR="000228D5" w:rsidRPr="00E8304E" w:rsidRDefault="00A10428" w:rsidP="005C39DC">
      <w:pPr>
        <w:pStyle w:val="Default"/>
        <w:numPr>
          <w:ilvl w:val="0"/>
          <w:numId w:val="23"/>
        </w:numPr>
        <w:ind w:left="360"/>
        <w:rPr>
          <w:rFonts w:ascii="Times New Roman" w:hAnsi="Times New Roman" w:cs="Times New Roman"/>
          <w:color w:val="auto"/>
        </w:rPr>
      </w:pPr>
      <w:r w:rsidRPr="005B6F04">
        <w:rPr>
          <w:rFonts w:ascii="Times New Roman" w:hAnsi="Times New Roman" w:cs="Times New Roman"/>
          <w:color w:val="auto"/>
        </w:rPr>
        <w:t>Manchi</w:t>
      </w:r>
      <w:r w:rsidR="00B81189" w:rsidRPr="005B6F04">
        <w:rPr>
          <w:rFonts w:ascii="Times New Roman" w:hAnsi="Times New Roman" w:cs="Times New Roman"/>
          <w:color w:val="auto"/>
        </w:rPr>
        <w:t>kanti L,</w:t>
      </w:r>
      <w:r w:rsidRPr="005B6F04">
        <w:rPr>
          <w:rFonts w:ascii="Times New Roman" w:hAnsi="Times New Roman" w:cs="Times New Roman"/>
          <w:color w:val="auto"/>
        </w:rPr>
        <w:t xml:space="preserve"> </w:t>
      </w:r>
      <w:r w:rsidR="00B81189" w:rsidRPr="005B6F04">
        <w:rPr>
          <w:rFonts w:ascii="Times New Roman" w:hAnsi="Times New Roman" w:cs="Times New Roman"/>
          <w:color w:val="auto"/>
        </w:rPr>
        <w:t>Knezevic NN, Navani A, et al. Epidural Interventions in the Management of Chronic Spinal Pain: American Society of Interventional Pain Physicians (ASIPP) Comprehensive Evidence-Based Guidelines. </w:t>
      </w:r>
      <w:r w:rsidR="00B81189" w:rsidRPr="005B6F04">
        <w:rPr>
          <w:rFonts w:ascii="Times New Roman" w:hAnsi="Times New Roman" w:cs="Times New Roman"/>
          <w:i/>
          <w:iCs/>
          <w:color w:val="auto"/>
        </w:rPr>
        <w:t>Pain Physician</w:t>
      </w:r>
      <w:r w:rsidR="00B81189" w:rsidRPr="005B6F04">
        <w:rPr>
          <w:rFonts w:ascii="Times New Roman" w:hAnsi="Times New Roman" w:cs="Times New Roman"/>
          <w:color w:val="auto"/>
        </w:rPr>
        <w:t>. 2021;24(S1):S27 to S208.</w:t>
      </w:r>
      <w:r w:rsidR="00ED3DE3" w:rsidRPr="00E8304E">
        <w:rPr>
          <w:rFonts w:ascii="Segoe UI" w:hAnsi="Segoe UI" w:cs="Segoe UI"/>
          <w:color w:val="auto"/>
          <w:shd w:val="clear" w:color="auto" w:fill="FFFFFF"/>
        </w:rPr>
        <w:t xml:space="preserve"> </w:t>
      </w:r>
    </w:p>
    <w:p w14:paraId="3445B59D" w14:textId="59C29F1B" w:rsidR="001B7A94" w:rsidRPr="005B6F04" w:rsidRDefault="00B81189" w:rsidP="005C39DC">
      <w:pPr>
        <w:pStyle w:val="Default"/>
        <w:numPr>
          <w:ilvl w:val="0"/>
          <w:numId w:val="23"/>
        </w:numPr>
        <w:ind w:left="360"/>
        <w:rPr>
          <w:rFonts w:ascii="Times New Roman" w:hAnsi="Times New Roman" w:cs="Times New Roman"/>
          <w:color w:val="auto"/>
        </w:rPr>
      </w:pPr>
      <w:r w:rsidRPr="00E8304E">
        <w:rPr>
          <w:rFonts w:ascii="Times New Roman" w:hAnsi="Times New Roman" w:cs="Times New Roman"/>
          <w:color w:val="auto"/>
          <w:shd w:val="clear" w:color="auto" w:fill="FFFFFF"/>
        </w:rPr>
        <w:t>Rapčan R, Kočan L, Mláka J, et al. A Randomized, Multicenter, Double-Blind, Parallel Pilot Study Assessing the Effect of Mechanical Adhesiolysis vs Adhesiolysis with Corticosteroid and Hyaluronidase Administration into the Epidural Space During Epiduroscopy. </w:t>
      </w:r>
      <w:r w:rsidRPr="00E8304E">
        <w:rPr>
          <w:rFonts w:ascii="Times New Roman" w:hAnsi="Times New Roman" w:cs="Times New Roman"/>
          <w:i/>
          <w:iCs/>
          <w:color w:val="auto"/>
          <w:shd w:val="clear" w:color="auto" w:fill="FFFFFF"/>
        </w:rPr>
        <w:t>Pain Med</w:t>
      </w:r>
      <w:r w:rsidRPr="00E8304E">
        <w:rPr>
          <w:rFonts w:ascii="Times New Roman" w:hAnsi="Times New Roman" w:cs="Times New Roman"/>
          <w:color w:val="auto"/>
          <w:shd w:val="clear" w:color="auto" w:fill="FFFFFF"/>
        </w:rPr>
        <w:t>. 2018;19(7):1436 to 1444. doi:10.1093/pm/pnx328</w:t>
      </w:r>
    </w:p>
    <w:p w14:paraId="5BB12C16" w14:textId="32503E6B" w:rsidR="000228D5" w:rsidRPr="005B6F04" w:rsidRDefault="006C78FC" w:rsidP="001E6C1F">
      <w:pPr>
        <w:pStyle w:val="Default"/>
        <w:numPr>
          <w:ilvl w:val="0"/>
          <w:numId w:val="23"/>
        </w:numPr>
        <w:ind w:left="360"/>
        <w:rPr>
          <w:rFonts w:ascii="Times New Roman" w:hAnsi="Times New Roman" w:cs="Times New Roman"/>
          <w:color w:val="auto"/>
        </w:rPr>
      </w:pPr>
      <w:r w:rsidRPr="005B6F04">
        <w:rPr>
          <w:rFonts w:ascii="Times New Roman" w:hAnsi="Times New Roman" w:cs="Times New Roman"/>
          <w:color w:val="auto"/>
        </w:rPr>
        <w:t xml:space="preserve">Choi EJ, Yoo YJ, Lee PB, Kim YC, Lee SC, Moon JY. A Retrospective Study to Evaluate the Effect of Concentration of Hypertonic Saline on Efficacy and Safety of Epidural </w:t>
      </w:r>
      <w:r w:rsidRPr="005B6F04">
        <w:rPr>
          <w:rFonts w:ascii="Times New Roman" w:hAnsi="Times New Roman" w:cs="Times New Roman"/>
          <w:color w:val="auto"/>
        </w:rPr>
        <w:lastRenderedPageBreak/>
        <w:t>Adhesiolysis. </w:t>
      </w:r>
      <w:r w:rsidRPr="005B6F04">
        <w:rPr>
          <w:rFonts w:ascii="Times New Roman" w:hAnsi="Times New Roman" w:cs="Times New Roman"/>
          <w:i/>
          <w:iCs/>
          <w:color w:val="auto"/>
        </w:rPr>
        <w:t>Anesth Analg</w:t>
      </w:r>
      <w:r w:rsidRPr="005B6F04">
        <w:rPr>
          <w:rFonts w:ascii="Times New Roman" w:hAnsi="Times New Roman" w:cs="Times New Roman"/>
          <w:color w:val="auto"/>
        </w:rPr>
        <w:t>. 2017;124(6):2021</w:t>
      </w:r>
      <w:r w:rsidR="00B95BB7" w:rsidRPr="005B6F04">
        <w:rPr>
          <w:rFonts w:ascii="Times New Roman" w:hAnsi="Times New Roman" w:cs="Times New Roman"/>
          <w:color w:val="auto"/>
        </w:rPr>
        <w:t xml:space="preserve"> to </w:t>
      </w:r>
      <w:r w:rsidRPr="005B6F04">
        <w:rPr>
          <w:rFonts w:ascii="Times New Roman" w:hAnsi="Times New Roman" w:cs="Times New Roman"/>
          <w:color w:val="auto"/>
        </w:rPr>
        <w:t xml:space="preserve">2029. </w:t>
      </w:r>
      <w:r w:rsidR="00E96521" w:rsidRPr="005B6F04">
        <w:rPr>
          <w:rFonts w:ascii="Times New Roman" w:hAnsi="Times New Roman" w:cs="Times New Roman"/>
          <w:color w:val="auto"/>
        </w:rPr>
        <w:t>d</w:t>
      </w:r>
      <w:r w:rsidRPr="005B6F04">
        <w:rPr>
          <w:rFonts w:ascii="Times New Roman" w:hAnsi="Times New Roman" w:cs="Times New Roman"/>
          <w:color w:val="auto"/>
        </w:rPr>
        <w:t>oi:10.1213/ANE.0000000000001925</w:t>
      </w:r>
      <w:r w:rsidR="00FD2D5A" w:rsidRPr="005B6F04">
        <w:rPr>
          <w:rFonts w:ascii="Times New Roman" w:hAnsi="Times New Roman" w:cs="Times New Roman"/>
          <w:color w:val="auto"/>
        </w:rPr>
        <w:t xml:space="preserve"> </w:t>
      </w:r>
    </w:p>
    <w:p w14:paraId="77D75AC0" w14:textId="4453EC20" w:rsidR="007C7596" w:rsidRPr="005B6F04" w:rsidRDefault="006C78FC" w:rsidP="0038006A">
      <w:pPr>
        <w:pStyle w:val="Default"/>
        <w:numPr>
          <w:ilvl w:val="0"/>
          <w:numId w:val="23"/>
        </w:numPr>
        <w:ind w:left="360"/>
        <w:rPr>
          <w:rFonts w:ascii="Times New Roman" w:hAnsi="Times New Roman" w:cs="Times New Roman"/>
          <w:color w:val="auto"/>
        </w:rPr>
      </w:pPr>
      <w:r w:rsidRPr="005B6F04">
        <w:rPr>
          <w:rFonts w:ascii="Times New Roman" w:hAnsi="Times New Roman" w:cs="Times New Roman"/>
          <w:color w:val="auto"/>
        </w:rPr>
        <w:t>Tuijp SJ, Van Zundert J, De Vooght P, et al. Does the Use of Epiduroscopic Lysis of Adhesions Reduce the Need for Spinal Cord Stimulation in Failed Back Surgery Syndrome? A Short-Term Pilot Study. </w:t>
      </w:r>
      <w:r w:rsidRPr="005B6F04">
        <w:rPr>
          <w:rFonts w:ascii="Times New Roman" w:hAnsi="Times New Roman" w:cs="Times New Roman"/>
          <w:i/>
          <w:iCs/>
          <w:color w:val="auto"/>
        </w:rPr>
        <w:t>Pain Pract</w:t>
      </w:r>
      <w:r w:rsidRPr="005B6F04">
        <w:rPr>
          <w:rFonts w:ascii="Times New Roman" w:hAnsi="Times New Roman" w:cs="Times New Roman"/>
          <w:color w:val="auto"/>
        </w:rPr>
        <w:t>. 2018;18(7):839</w:t>
      </w:r>
      <w:r w:rsidR="00B95BB7" w:rsidRPr="005B6F04">
        <w:rPr>
          <w:rFonts w:ascii="Times New Roman" w:hAnsi="Times New Roman" w:cs="Times New Roman"/>
          <w:color w:val="auto"/>
        </w:rPr>
        <w:t xml:space="preserve"> to </w:t>
      </w:r>
      <w:r w:rsidRPr="005B6F04">
        <w:rPr>
          <w:rFonts w:ascii="Times New Roman" w:hAnsi="Times New Roman" w:cs="Times New Roman"/>
          <w:color w:val="auto"/>
        </w:rPr>
        <w:t xml:space="preserve">844. </w:t>
      </w:r>
      <w:r w:rsidR="00E96521" w:rsidRPr="005B6F04">
        <w:rPr>
          <w:rFonts w:ascii="Times New Roman" w:hAnsi="Times New Roman" w:cs="Times New Roman"/>
          <w:color w:val="auto"/>
        </w:rPr>
        <w:t>d</w:t>
      </w:r>
      <w:r w:rsidRPr="005B6F04">
        <w:rPr>
          <w:rFonts w:ascii="Times New Roman" w:hAnsi="Times New Roman" w:cs="Times New Roman"/>
          <w:color w:val="auto"/>
        </w:rPr>
        <w:t>oi:10.1111/papr.12681</w:t>
      </w:r>
      <w:r w:rsidR="009E1478" w:rsidRPr="005B6F04">
        <w:rPr>
          <w:rFonts w:ascii="Times New Roman" w:hAnsi="Times New Roman" w:cs="Times New Roman"/>
          <w:color w:val="auto"/>
        </w:rPr>
        <w:t xml:space="preserve"> </w:t>
      </w:r>
    </w:p>
    <w:p w14:paraId="1BC177A8" w14:textId="77777777" w:rsidR="00004C2D" w:rsidRPr="00963062" w:rsidRDefault="00004C2D" w:rsidP="00963062"/>
    <w:p w14:paraId="68181DE7" w14:textId="77777777" w:rsidR="00004C2D" w:rsidRPr="00BF732B" w:rsidRDefault="00004C2D" w:rsidP="007431FB">
      <w:pPr>
        <w:rPr>
          <w:b/>
          <w:u w:val="single"/>
        </w:rPr>
      </w:pPr>
      <w:bookmarkStart w:id="2" w:name="Important_Reminder"/>
      <w:r w:rsidRPr="00BF732B">
        <w:rPr>
          <w:b/>
          <w:bCs/>
          <w:u w:val="single"/>
        </w:rPr>
        <w:t>Important Reminder</w:t>
      </w:r>
      <w:bookmarkEnd w:id="2"/>
    </w:p>
    <w:p w14:paraId="004017C4" w14:textId="77777777" w:rsidR="00004C2D" w:rsidRPr="00BF732B" w:rsidRDefault="00004C2D" w:rsidP="007431FB">
      <w:r w:rsidRPr="00BF732B">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BF732B">
        <w:rPr>
          <w:iCs/>
        </w:rPr>
        <w:t>The Health Plan</w:t>
      </w:r>
      <w:r w:rsidRPr="00BF732B">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35DC5C72" w14:textId="77777777" w:rsidR="00004C2D" w:rsidRPr="00BF732B" w:rsidRDefault="00004C2D" w:rsidP="007431FB"/>
    <w:p w14:paraId="61D35BA1" w14:textId="77777777" w:rsidR="00004C2D" w:rsidRPr="00BF732B" w:rsidRDefault="00004C2D" w:rsidP="007431FB">
      <w:r w:rsidRPr="00BF732B">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046F0C07" w14:textId="77777777" w:rsidR="00004C2D" w:rsidRPr="00BF732B" w:rsidRDefault="00004C2D" w:rsidP="007431FB"/>
    <w:p w14:paraId="332D2888" w14:textId="77777777" w:rsidR="00004C2D" w:rsidRPr="00BF732B" w:rsidRDefault="00004C2D" w:rsidP="007431FB">
      <w:pPr>
        <w:rPr>
          <w:color w:val="002868"/>
        </w:rPr>
      </w:pPr>
      <w:r w:rsidRPr="00BF732B">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6678C7E4" w14:textId="77777777" w:rsidR="00004C2D" w:rsidRPr="00BF732B" w:rsidRDefault="00004C2D" w:rsidP="007431FB"/>
    <w:p w14:paraId="4299518A" w14:textId="31D903DE" w:rsidR="00004C2D" w:rsidRPr="00BF732B" w:rsidRDefault="00004C2D" w:rsidP="007431FB">
      <w:r w:rsidRPr="00BF732B">
        <w:t xml:space="preserve">This clinical policy does not constitute medical advice, medical treatment or medical care. It is not intended to dictate to providers how to practice medicine. Providers are expected to exercise professional medical judgment in providing the most appropriate care, and are solely responsible for the medical advice and treatment of </w:t>
      </w:r>
      <w:r w:rsidR="0084421F">
        <w:t>member</w:t>
      </w:r>
      <w:r w:rsidR="008B4BAC">
        <w:t>s</w:t>
      </w:r>
      <w:r w:rsidR="0084421F">
        <w:t>/enrollee</w:t>
      </w:r>
      <w:r w:rsidRPr="00BF732B">
        <w:t xml:space="preserve">s. This clinical policy is not intended to recommend treatment for </w:t>
      </w:r>
      <w:r w:rsidR="0084421F">
        <w:t>member</w:t>
      </w:r>
      <w:r w:rsidR="008B4BAC">
        <w:t>s</w:t>
      </w:r>
      <w:r w:rsidR="0084421F">
        <w:t>/enrollee</w:t>
      </w:r>
      <w:r w:rsidRPr="00BF732B">
        <w:t xml:space="preserve">s. </w:t>
      </w:r>
      <w:r w:rsidR="0084421F">
        <w:t>Member</w:t>
      </w:r>
      <w:r w:rsidR="008B4BAC">
        <w:t>s</w:t>
      </w:r>
      <w:r w:rsidR="0084421F">
        <w:t>/enrollee</w:t>
      </w:r>
      <w:r w:rsidRPr="00BF732B">
        <w:t xml:space="preserve">s should consult with their treating physician in connection with diagnosis and treatment decisions. </w:t>
      </w:r>
    </w:p>
    <w:p w14:paraId="0EDA0190" w14:textId="77777777" w:rsidR="00004C2D" w:rsidRPr="00BF732B" w:rsidRDefault="00004C2D" w:rsidP="007431FB"/>
    <w:p w14:paraId="5C7AB067" w14:textId="6D761E08" w:rsidR="00004C2D" w:rsidRPr="00BF732B" w:rsidRDefault="00004C2D" w:rsidP="007431FB">
      <w:r w:rsidRPr="00BF732B">
        <w:t>Providers referred to in this clinical policy are independent contractors who exercise independent judgment and over whom the Health Plan has no control or right of control. Providers are not agents or employees of the Health Plan.</w:t>
      </w:r>
    </w:p>
    <w:p w14:paraId="69CE3702" w14:textId="77777777" w:rsidR="00004C2D" w:rsidRPr="00BF732B" w:rsidRDefault="00004C2D" w:rsidP="007431FB"/>
    <w:p w14:paraId="27212E88" w14:textId="676B168F" w:rsidR="00004C2D" w:rsidRPr="00BF732B" w:rsidRDefault="00004C2D" w:rsidP="007431FB">
      <w:r w:rsidRPr="00BF732B">
        <w:lastRenderedPageBreak/>
        <w:t xml:space="preserve">This clinical policy is the property of </w:t>
      </w:r>
      <w:r w:rsidRPr="00BF732B">
        <w:rPr>
          <w:iCs/>
        </w:rPr>
        <w:t>the Health Plan</w:t>
      </w:r>
      <w:r w:rsidRPr="00BF732B">
        <w:t xml:space="preserve">. Unauthorized copying, use, and distribution of this clinical policy or any information contained herein are strictly prohibited.  Providers, </w:t>
      </w:r>
      <w:r w:rsidR="0084421F">
        <w:t>member</w:t>
      </w:r>
      <w:r w:rsidR="008B4BAC">
        <w:t>s</w:t>
      </w:r>
      <w:r w:rsidR="0084421F">
        <w:t>/enrollee</w:t>
      </w:r>
      <w:r w:rsidRPr="00BF732B">
        <w:t xml:space="preserve">s and their representatives are bound to the terms and conditions expressed herein through the terms of their contracts. Where no such contract exists, providers, </w:t>
      </w:r>
      <w:r w:rsidR="0084421F">
        <w:t>member</w:t>
      </w:r>
      <w:r w:rsidR="008B4BAC">
        <w:t>s</w:t>
      </w:r>
      <w:r w:rsidR="0084421F">
        <w:t>/enrollee</w:t>
      </w:r>
      <w:r w:rsidRPr="00BF732B">
        <w:t xml:space="preserve">s and their representatives agree to be bound by such terms and conditions by providing services to </w:t>
      </w:r>
      <w:r w:rsidR="0084421F">
        <w:t>member</w:t>
      </w:r>
      <w:r w:rsidR="008B4BAC">
        <w:t>s</w:t>
      </w:r>
      <w:r w:rsidR="0084421F">
        <w:t>/enrollee</w:t>
      </w:r>
      <w:r w:rsidRPr="00BF732B">
        <w:t xml:space="preserve">s and/or submitting claims for payment for such services.  </w:t>
      </w:r>
    </w:p>
    <w:p w14:paraId="3F02D2FA" w14:textId="77777777" w:rsidR="00004C2D" w:rsidRPr="00BF732B" w:rsidRDefault="00004C2D" w:rsidP="007431FB">
      <w:pPr>
        <w:autoSpaceDE w:val="0"/>
        <w:autoSpaceDN w:val="0"/>
        <w:adjustRightInd w:val="0"/>
        <w:rPr>
          <w:color w:val="000000"/>
        </w:rPr>
      </w:pPr>
    </w:p>
    <w:p w14:paraId="6A6483CE" w14:textId="556BD10B" w:rsidR="00004C2D" w:rsidRPr="00BF732B" w:rsidRDefault="00004C2D" w:rsidP="007431FB">
      <w:pPr>
        <w:autoSpaceDE w:val="0"/>
        <w:autoSpaceDN w:val="0"/>
        <w:adjustRightInd w:val="0"/>
        <w:rPr>
          <w:color w:val="000000"/>
        </w:rPr>
      </w:pPr>
      <w:r w:rsidRPr="00BF732B">
        <w:rPr>
          <w:b/>
          <w:color w:val="000000"/>
        </w:rPr>
        <w:t xml:space="preserve">Note: For Medicaid </w:t>
      </w:r>
      <w:r w:rsidR="0084421F">
        <w:rPr>
          <w:b/>
          <w:color w:val="000000"/>
        </w:rPr>
        <w:t>member</w:t>
      </w:r>
      <w:r w:rsidR="008B4BAC">
        <w:rPr>
          <w:b/>
          <w:color w:val="000000"/>
        </w:rPr>
        <w:t>s</w:t>
      </w:r>
      <w:r w:rsidR="0084421F">
        <w:rPr>
          <w:b/>
          <w:color w:val="000000"/>
        </w:rPr>
        <w:t>/enrollee</w:t>
      </w:r>
      <w:r w:rsidRPr="00BF732B">
        <w:rPr>
          <w:b/>
          <w:color w:val="000000"/>
        </w:rPr>
        <w:t>s</w:t>
      </w:r>
      <w:r w:rsidRPr="00BF732B">
        <w:rPr>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2D215E83" w14:textId="77777777" w:rsidR="00004C2D" w:rsidRPr="00BF732B" w:rsidRDefault="00004C2D" w:rsidP="007431FB"/>
    <w:p w14:paraId="743397E9" w14:textId="243F7CB9" w:rsidR="00004C2D" w:rsidRPr="00BF732B" w:rsidRDefault="00004C2D" w:rsidP="007431FB">
      <w:pPr>
        <w:autoSpaceDE w:val="0"/>
        <w:autoSpaceDN w:val="0"/>
        <w:adjustRightInd w:val="0"/>
        <w:rPr>
          <w:color w:val="000000"/>
        </w:rPr>
      </w:pPr>
      <w:r w:rsidRPr="00BF732B">
        <w:rPr>
          <w:b/>
          <w:bCs/>
          <w:color w:val="000000"/>
        </w:rPr>
        <w:t xml:space="preserve">Note: For Medicare </w:t>
      </w:r>
      <w:r w:rsidR="0084421F">
        <w:rPr>
          <w:b/>
          <w:bCs/>
          <w:color w:val="000000"/>
        </w:rPr>
        <w:t>member</w:t>
      </w:r>
      <w:r w:rsidR="008B4BAC">
        <w:rPr>
          <w:b/>
          <w:bCs/>
          <w:color w:val="000000"/>
        </w:rPr>
        <w:t>s</w:t>
      </w:r>
      <w:r w:rsidR="0084421F">
        <w:rPr>
          <w:b/>
          <w:bCs/>
          <w:color w:val="000000"/>
        </w:rPr>
        <w:t>/enrollee</w:t>
      </w:r>
      <w:r w:rsidRPr="00BF732B">
        <w:rPr>
          <w:b/>
          <w:bCs/>
          <w:color w:val="000000"/>
        </w:rPr>
        <w:t xml:space="preserve">s, </w:t>
      </w:r>
      <w:r w:rsidRPr="00BF732B">
        <w:rPr>
          <w:color w:val="000000"/>
        </w:rPr>
        <w:t>to ensure consistency with the Medicare National Coverage Determinations (NCD) and Local Coverage Determinations (LCD), all applicable NCDs</w:t>
      </w:r>
      <w:r w:rsidR="002D5028" w:rsidRPr="00BF732B">
        <w:rPr>
          <w:color w:val="000000"/>
        </w:rPr>
        <w:t xml:space="preserve">, </w:t>
      </w:r>
      <w:r w:rsidRPr="00BF732B">
        <w:rPr>
          <w:color w:val="000000"/>
        </w:rPr>
        <w:t>LCDs</w:t>
      </w:r>
      <w:r w:rsidR="00045F3B" w:rsidRPr="00BF732B">
        <w:rPr>
          <w:color w:val="000000"/>
        </w:rPr>
        <w:t>, and Medicare Coverage Articles</w:t>
      </w:r>
      <w:r w:rsidRPr="00BF732B">
        <w:rPr>
          <w:color w:val="000000"/>
        </w:rPr>
        <w:t xml:space="preserve"> should be reviewed </w:t>
      </w:r>
      <w:r w:rsidRPr="00BF732B">
        <w:rPr>
          <w:color w:val="000000"/>
          <w:u w:val="single"/>
        </w:rPr>
        <w:t>prior to</w:t>
      </w:r>
      <w:r w:rsidRPr="00BF732B">
        <w:rPr>
          <w:color w:val="000000"/>
        </w:rPr>
        <w:t xml:space="preserve"> applying the criteria set forth in this clinical policy. Refer to the CMS website at </w:t>
      </w:r>
      <w:hyperlink r:id="rId18" w:history="1">
        <w:r w:rsidRPr="00BF732B">
          <w:rPr>
            <w:color w:val="000000"/>
            <w:u w:val="single"/>
          </w:rPr>
          <w:t>http://www.cms.gov</w:t>
        </w:r>
      </w:hyperlink>
      <w:r w:rsidRPr="00BF732B">
        <w:rPr>
          <w:color w:val="000000"/>
        </w:rPr>
        <w:t xml:space="preserve"> for additional information. </w:t>
      </w:r>
    </w:p>
    <w:p w14:paraId="7A57BB0E" w14:textId="77777777" w:rsidR="00004C2D" w:rsidRPr="00BF732B" w:rsidRDefault="00004C2D" w:rsidP="007431FB">
      <w:pPr>
        <w:rPr>
          <w:iCs/>
        </w:rPr>
      </w:pPr>
    </w:p>
    <w:p w14:paraId="12AFFA34" w14:textId="11A92C1B" w:rsidR="00004C2D" w:rsidRPr="00BF732B" w:rsidRDefault="00004C2D" w:rsidP="007431FB">
      <w:pPr>
        <w:rPr>
          <w:iCs/>
        </w:rPr>
      </w:pPr>
      <w:r w:rsidRPr="00BF732B">
        <w:rPr>
          <w:iCs/>
        </w:rPr>
        <w:t>©201</w:t>
      </w:r>
      <w:r w:rsidR="001B1454">
        <w:rPr>
          <w:iCs/>
        </w:rPr>
        <w:t>8</w:t>
      </w:r>
      <w:r w:rsidRPr="00BF732B">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Pr="00BF732B">
        <w:rPr>
          <w:iCs/>
          <w:vertAlign w:val="superscript"/>
        </w:rPr>
        <w:t>®</w:t>
      </w:r>
      <w:r w:rsidRPr="00BF732B">
        <w:rPr>
          <w:iCs/>
        </w:rPr>
        <w:t xml:space="preserve"> and Centene Corporation</w:t>
      </w:r>
      <w:r w:rsidRPr="00BF732B">
        <w:rPr>
          <w:iCs/>
          <w:vertAlign w:val="superscript"/>
        </w:rPr>
        <w:t>®</w:t>
      </w:r>
      <w:r w:rsidRPr="00BF732B">
        <w:rPr>
          <w:iCs/>
        </w:rPr>
        <w:t xml:space="preserve"> are registered trademarks exclusively owned by Centene Corporation.</w:t>
      </w:r>
    </w:p>
    <w:p w14:paraId="041E68F2" w14:textId="77777777" w:rsidR="00004C2D" w:rsidRDefault="00004C2D" w:rsidP="00AF5490"/>
    <w:sectPr w:rsidR="00004C2D"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FF839" w14:textId="77777777" w:rsidR="00AD038F" w:rsidRDefault="00AD038F">
      <w:r>
        <w:separator/>
      </w:r>
    </w:p>
  </w:endnote>
  <w:endnote w:type="continuationSeparator" w:id="0">
    <w:p w14:paraId="36762025" w14:textId="77777777" w:rsidR="00AD038F" w:rsidRDefault="00AD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E676" w14:textId="77777777" w:rsidR="00C37AF3" w:rsidRDefault="00C37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E0EE2" w14:textId="5B691D71" w:rsidR="00004C2D" w:rsidRPr="00D574CA" w:rsidRDefault="00004C2D" w:rsidP="00D574CA">
    <w:pPr>
      <w:pStyle w:val="Footer"/>
      <w:jc w:val="center"/>
    </w:pPr>
    <w:r>
      <w:t xml:space="preserve">Page </w:t>
    </w:r>
    <w:r>
      <w:rPr>
        <w:b/>
        <w:bCs/>
      </w:rPr>
      <w:fldChar w:fldCharType="begin"/>
    </w:r>
    <w:r>
      <w:rPr>
        <w:b/>
        <w:bCs/>
      </w:rPr>
      <w:instrText xml:space="preserve"> PAGE </w:instrText>
    </w:r>
    <w:r>
      <w:rPr>
        <w:b/>
        <w:bCs/>
      </w:rPr>
      <w:fldChar w:fldCharType="separate"/>
    </w:r>
    <w:r w:rsidR="00213A69">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213A69">
      <w:rPr>
        <w:b/>
        <w:bCs/>
        <w:noProof/>
      </w:rPr>
      <w:t>5</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C476" w14:textId="7C6A269B" w:rsidR="00004C2D" w:rsidRDefault="00004C2D" w:rsidP="002C6AAB">
    <w:pPr>
      <w:pStyle w:val="Footer"/>
      <w:jc w:val="center"/>
    </w:pPr>
    <w:r>
      <w:t xml:space="preserve">Page </w:t>
    </w:r>
    <w:r w:rsidR="00832385">
      <w:fldChar w:fldCharType="begin"/>
    </w:r>
    <w:r w:rsidR="00832385">
      <w:instrText xml:space="preserve"> PAGE   \* MERGEFORMAT </w:instrText>
    </w:r>
    <w:r w:rsidR="00832385">
      <w:fldChar w:fldCharType="separate"/>
    </w:r>
    <w:r w:rsidR="00213A69">
      <w:rPr>
        <w:noProof/>
      </w:rPr>
      <w:t>1</w:t>
    </w:r>
    <w:r w:rsidR="00832385">
      <w:rPr>
        <w:noProof/>
      </w:rPr>
      <w:fldChar w:fldCharType="end"/>
    </w:r>
    <w:r>
      <w:t xml:space="preserve"> of </w:t>
    </w:r>
    <w:r w:rsidR="008E7BB0">
      <w:rPr>
        <w:noProof/>
      </w:rPr>
      <w:fldChar w:fldCharType="begin"/>
    </w:r>
    <w:r w:rsidR="008E7BB0">
      <w:rPr>
        <w:noProof/>
      </w:rPr>
      <w:instrText xml:space="preserve"> NUMPAGES   \* MERGEFORMAT </w:instrText>
    </w:r>
    <w:r w:rsidR="008E7BB0">
      <w:rPr>
        <w:noProof/>
      </w:rPr>
      <w:fldChar w:fldCharType="separate"/>
    </w:r>
    <w:r w:rsidR="00213A69">
      <w:rPr>
        <w:noProof/>
      </w:rPr>
      <w:t>5</w:t>
    </w:r>
    <w:r w:rsidR="008E7BB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A5B4F" w14:textId="77777777" w:rsidR="00AD038F" w:rsidRDefault="00AD038F">
      <w:r>
        <w:separator/>
      </w:r>
    </w:p>
  </w:footnote>
  <w:footnote w:type="continuationSeparator" w:id="0">
    <w:p w14:paraId="1D52421B" w14:textId="77777777" w:rsidR="00AD038F" w:rsidRDefault="00AD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B2D04" w14:textId="77777777" w:rsidR="00C37AF3" w:rsidRDefault="00C37A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878F" w14:textId="77777777" w:rsidR="00004C2D" w:rsidRPr="00B777AF" w:rsidRDefault="00004C2D"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sidR="009E189A">
      <w:rPr>
        <w:noProof/>
        <w:color w:val="00548C"/>
      </w:rPr>
      <w:drawing>
        <wp:inline distT="0" distB="0" distL="0" distR="0" wp14:anchorId="43FA3D47" wp14:editId="720D97F1">
          <wp:extent cx="904875" cy="238125"/>
          <wp:effectExtent l="0" t="0" r="9525" b="9525"/>
          <wp:docPr id="7" name="Picture 7"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p>
  <w:p w14:paraId="0AE655F0" w14:textId="77777777" w:rsidR="00004C2D" w:rsidRPr="00B777AF" w:rsidRDefault="00004C2D" w:rsidP="00B777AF">
    <w:pPr>
      <w:rPr>
        <w:color w:val="00548C"/>
      </w:rPr>
    </w:pPr>
    <w:r>
      <w:rPr>
        <w:rFonts w:ascii="Times New Roman Bold" w:hAnsi="Times New Roman Bold"/>
        <w:b/>
        <w:bCs/>
        <w:color w:val="00548C"/>
      </w:rPr>
      <w:t>Lysis of Epidural Lesions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811B" w14:textId="77777777" w:rsidR="00004C2D" w:rsidRDefault="009E189A" w:rsidP="00B777AF">
    <w:pPr>
      <w:pStyle w:val="Header"/>
      <w:jc w:val="right"/>
    </w:pPr>
    <w:r>
      <w:rPr>
        <w:noProof/>
      </w:rPr>
      <w:drawing>
        <wp:inline distT="0" distB="0" distL="0" distR="0" wp14:anchorId="0E8AFFE0" wp14:editId="0586E9A7">
          <wp:extent cx="1362075" cy="342900"/>
          <wp:effectExtent l="0" t="0" r="9525" b="0"/>
          <wp:docPr id="8" name="Picture 8"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1E24"/>
    <w:multiLevelType w:val="hybridMultilevel"/>
    <w:tmpl w:val="81A2A1DA"/>
    <w:lvl w:ilvl="0" w:tplc="B192D97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225B96"/>
    <w:multiLevelType w:val="hybridMultilevel"/>
    <w:tmpl w:val="47BA0342"/>
    <w:lvl w:ilvl="0" w:tplc="68E0D2B4">
      <w:start w:val="1"/>
      <w:numFmt w:val="upperRoman"/>
      <w:lvlText w:val="%1."/>
      <w:lvlJc w:val="left"/>
      <w:pPr>
        <w:ind w:left="1080" w:hanging="720"/>
      </w:pPr>
      <w:rPr>
        <w:rFonts w:cs="Times New Roman" w:hint="default"/>
        <w:b/>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8E7697"/>
    <w:multiLevelType w:val="hybridMultilevel"/>
    <w:tmpl w:val="96D856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31E0E99"/>
    <w:multiLevelType w:val="hybridMultilevel"/>
    <w:tmpl w:val="5FFA82B8"/>
    <w:lvl w:ilvl="0" w:tplc="04090019">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hint="default"/>
        <w:sz w:val="2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1E7A6984"/>
    <w:multiLevelType w:val="hybridMultilevel"/>
    <w:tmpl w:val="387EA7BC"/>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500B2"/>
    <w:multiLevelType w:val="hybridMultilevel"/>
    <w:tmpl w:val="CB5AF886"/>
    <w:lvl w:ilvl="0" w:tplc="6CC06064">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6A01436"/>
    <w:multiLevelType w:val="hybridMultilevel"/>
    <w:tmpl w:val="D236E140"/>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75F0A"/>
    <w:multiLevelType w:val="hybridMultilevel"/>
    <w:tmpl w:val="D236E140"/>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51B1E"/>
    <w:multiLevelType w:val="hybridMultilevel"/>
    <w:tmpl w:val="B204E92A"/>
    <w:lvl w:ilvl="0" w:tplc="26CA68AC">
      <w:start w:val="1"/>
      <w:numFmt w:val="upperRoman"/>
      <w:lvlText w:val="%1."/>
      <w:lvlJc w:val="left"/>
      <w:pPr>
        <w:ind w:left="720" w:hanging="360"/>
      </w:pPr>
      <w:rPr>
        <w:rFonts w:cs="Times New Roman" w:hint="default"/>
        <w:b/>
      </w:rPr>
    </w:lvl>
    <w:lvl w:ilvl="1" w:tplc="56CC320A">
      <w:start w:val="1"/>
      <w:numFmt w:val="upperLetter"/>
      <w:lvlText w:val="%2."/>
      <w:lvlJc w:val="left"/>
      <w:pPr>
        <w:ind w:left="1440" w:hanging="360"/>
      </w:pPr>
      <w:rPr>
        <w:rFonts w:cs="Times New Roman"/>
        <w:b/>
      </w:rPr>
    </w:lvl>
    <w:lvl w:ilvl="2" w:tplc="B0D8E88E">
      <w:start w:val="1"/>
      <w:numFmt w:val="decimal"/>
      <w:lvlText w:val="%3."/>
      <w:lvlJc w:val="left"/>
      <w:pPr>
        <w:ind w:left="2160" w:hanging="180"/>
      </w:pPr>
      <w:rPr>
        <w:rFonts w:cs="Times New Roman"/>
        <w:b/>
      </w:rPr>
    </w:lvl>
    <w:lvl w:ilvl="3" w:tplc="04090019">
      <w:start w:val="1"/>
      <w:numFmt w:val="lowerLetter"/>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31497053"/>
    <w:multiLevelType w:val="hybridMultilevel"/>
    <w:tmpl w:val="BE262ED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586063C"/>
    <w:multiLevelType w:val="hybridMultilevel"/>
    <w:tmpl w:val="04382478"/>
    <w:lvl w:ilvl="0" w:tplc="5C220D9E">
      <w:start w:val="1"/>
      <w:numFmt w:val="decimal"/>
      <w:lvlText w:val="%1."/>
      <w:lvlJc w:val="left"/>
      <w:pPr>
        <w:ind w:left="720" w:hanging="360"/>
      </w:pPr>
      <w:rPr>
        <w:rFonts w:cs="Times New Roman" w:hint="default"/>
        <w:b w:val="0"/>
      </w:rPr>
    </w:lvl>
    <w:lvl w:ilvl="1" w:tplc="6CC06064">
      <w:start w:val="1"/>
      <w:numFmt w:val="lowerLetter"/>
      <w:lvlText w:val="%2."/>
      <w:lvlJc w:val="left"/>
      <w:pPr>
        <w:ind w:left="1440" w:hanging="360"/>
      </w:pPr>
      <w:rPr>
        <w:rFonts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B68E6"/>
    <w:multiLevelType w:val="hybridMultilevel"/>
    <w:tmpl w:val="F330294A"/>
    <w:lvl w:ilvl="0" w:tplc="D0FE5CC8">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3" w15:restartNumberingAfterBreak="0">
    <w:nsid w:val="3A231C77"/>
    <w:multiLevelType w:val="hybridMultilevel"/>
    <w:tmpl w:val="553682CE"/>
    <w:lvl w:ilvl="0" w:tplc="A244BB9A">
      <w:start w:val="1"/>
      <w:numFmt w:val="upperLetter"/>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3EBE345C"/>
    <w:multiLevelType w:val="hybridMultilevel"/>
    <w:tmpl w:val="387EA7BC"/>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A41E35"/>
    <w:multiLevelType w:val="hybridMultilevel"/>
    <w:tmpl w:val="292836F6"/>
    <w:lvl w:ilvl="0" w:tplc="8ADA6946">
      <w:start w:val="2"/>
      <w:numFmt w:val="upperRoman"/>
      <w:lvlText w:val="%1."/>
      <w:lvlJc w:val="left"/>
      <w:pPr>
        <w:ind w:left="1080" w:hanging="72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4D365D0"/>
    <w:multiLevelType w:val="hybridMultilevel"/>
    <w:tmpl w:val="D55A7940"/>
    <w:lvl w:ilvl="0" w:tplc="F85C9D98">
      <w:start w:val="1"/>
      <w:numFmt w:val="upperLetter"/>
      <w:lvlText w:val="%1."/>
      <w:lvlJc w:val="left"/>
      <w:pPr>
        <w:ind w:left="720" w:hanging="360"/>
      </w:pPr>
      <w:rPr>
        <w:rFonts w:cs="Times New Roman"/>
        <w:b w:val="0"/>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50746AA"/>
    <w:multiLevelType w:val="hybridMultilevel"/>
    <w:tmpl w:val="7B9A4726"/>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D1434D"/>
    <w:multiLevelType w:val="hybridMultilevel"/>
    <w:tmpl w:val="3806A6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F600535"/>
    <w:multiLevelType w:val="hybridMultilevel"/>
    <w:tmpl w:val="0A58192A"/>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7D1E3D0A"/>
    <w:multiLevelType w:val="hybridMultilevel"/>
    <w:tmpl w:val="861A07CA"/>
    <w:lvl w:ilvl="0" w:tplc="6BAC0802">
      <w:start w:val="1"/>
      <w:numFmt w:val="upperRoman"/>
      <w:lvlText w:val="%1."/>
      <w:lvlJc w:val="left"/>
      <w:pPr>
        <w:ind w:left="720" w:hanging="360"/>
      </w:pPr>
      <w:rPr>
        <w:rFonts w:cs="Times New Roman" w:hint="default"/>
        <w:b/>
        <w:i w:val="0"/>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011758242">
    <w:abstractNumId w:val="22"/>
  </w:num>
  <w:num w:numId="2" w16cid:durableId="936062400">
    <w:abstractNumId w:val="1"/>
  </w:num>
  <w:num w:numId="3" w16cid:durableId="81994075">
    <w:abstractNumId w:val="9"/>
  </w:num>
  <w:num w:numId="4" w16cid:durableId="2075933290">
    <w:abstractNumId w:val="12"/>
  </w:num>
  <w:num w:numId="5" w16cid:durableId="275990530">
    <w:abstractNumId w:val="13"/>
  </w:num>
  <w:num w:numId="6" w16cid:durableId="1135609901">
    <w:abstractNumId w:val="18"/>
  </w:num>
  <w:num w:numId="7" w16cid:durableId="1847015340">
    <w:abstractNumId w:val="19"/>
  </w:num>
  <w:num w:numId="8" w16cid:durableId="525488410">
    <w:abstractNumId w:val="3"/>
  </w:num>
  <w:num w:numId="9" w16cid:durableId="1309895440">
    <w:abstractNumId w:val="16"/>
  </w:num>
  <w:num w:numId="10" w16cid:durableId="829448744">
    <w:abstractNumId w:val="7"/>
  </w:num>
  <w:num w:numId="11" w16cid:durableId="1036196333">
    <w:abstractNumId w:val="21"/>
  </w:num>
  <w:num w:numId="12" w16cid:durableId="1691830345">
    <w:abstractNumId w:val="11"/>
  </w:num>
  <w:num w:numId="13" w16cid:durableId="1207717457">
    <w:abstractNumId w:val="10"/>
  </w:num>
  <w:num w:numId="14" w16cid:durableId="153767888">
    <w:abstractNumId w:val="5"/>
  </w:num>
  <w:num w:numId="15" w16cid:durableId="170410898">
    <w:abstractNumId w:val="8"/>
  </w:num>
  <w:num w:numId="16" w16cid:durableId="2019841909">
    <w:abstractNumId w:val="20"/>
  </w:num>
  <w:num w:numId="17" w16cid:durableId="320815734">
    <w:abstractNumId w:val="17"/>
  </w:num>
  <w:num w:numId="18" w16cid:durableId="211502259">
    <w:abstractNumId w:val="14"/>
  </w:num>
  <w:num w:numId="19" w16cid:durableId="1229000999">
    <w:abstractNumId w:val="6"/>
  </w:num>
  <w:num w:numId="20" w16cid:durableId="1079210374">
    <w:abstractNumId w:val="4"/>
  </w:num>
  <w:num w:numId="21" w16cid:durableId="2144301510">
    <w:abstractNumId w:val="15"/>
  </w:num>
  <w:num w:numId="22" w16cid:durableId="652224370">
    <w:abstractNumId w:val="2"/>
  </w:num>
  <w:num w:numId="23" w16cid:durableId="2073380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4C2D"/>
    <w:rsid w:val="00013FC4"/>
    <w:rsid w:val="000228D5"/>
    <w:rsid w:val="00023C3B"/>
    <w:rsid w:val="00032D3F"/>
    <w:rsid w:val="00045F3B"/>
    <w:rsid w:val="000465DE"/>
    <w:rsid w:val="0004733E"/>
    <w:rsid w:val="00060509"/>
    <w:rsid w:val="000614DF"/>
    <w:rsid w:val="0008212D"/>
    <w:rsid w:val="00082F89"/>
    <w:rsid w:val="00083740"/>
    <w:rsid w:val="00085329"/>
    <w:rsid w:val="00094136"/>
    <w:rsid w:val="000961FF"/>
    <w:rsid w:val="000A1AC7"/>
    <w:rsid w:val="000A7A06"/>
    <w:rsid w:val="000B10F2"/>
    <w:rsid w:val="000B36B0"/>
    <w:rsid w:val="000B36BC"/>
    <w:rsid w:val="000C2EA8"/>
    <w:rsid w:val="000F10C2"/>
    <w:rsid w:val="001012C0"/>
    <w:rsid w:val="00107556"/>
    <w:rsid w:val="001148A8"/>
    <w:rsid w:val="00125BC5"/>
    <w:rsid w:val="00130936"/>
    <w:rsid w:val="0013380E"/>
    <w:rsid w:val="0013444B"/>
    <w:rsid w:val="00142952"/>
    <w:rsid w:val="0014316D"/>
    <w:rsid w:val="00143949"/>
    <w:rsid w:val="00152630"/>
    <w:rsid w:val="00153CBB"/>
    <w:rsid w:val="00163BEC"/>
    <w:rsid w:val="001642F4"/>
    <w:rsid w:val="00165E50"/>
    <w:rsid w:val="00170B14"/>
    <w:rsid w:val="001735C2"/>
    <w:rsid w:val="001818D7"/>
    <w:rsid w:val="00183667"/>
    <w:rsid w:val="00185104"/>
    <w:rsid w:val="00192516"/>
    <w:rsid w:val="00194A99"/>
    <w:rsid w:val="001962BE"/>
    <w:rsid w:val="00196689"/>
    <w:rsid w:val="00196935"/>
    <w:rsid w:val="0019746F"/>
    <w:rsid w:val="001A203A"/>
    <w:rsid w:val="001B1454"/>
    <w:rsid w:val="001B2DF7"/>
    <w:rsid w:val="001B7A94"/>
    <w:rsid w:val="001C1562"/>
    <w:rsid w:val="001C3DEF"/>
    <w:rsid w:val="001D0D34"/>
    <w:rsid w:val="001D70D4"/>
    <w:rsid w:val="001E6C1F"/>
    <w:rsid w:val="001E7D12"/>
    <w:rsid w:val="001F56DD"/>
    <w:rsid w:val="0020675F"/>
    <w:rsid w:val="00207C84"/>
    <w:rsid w:val="00213A69"/>
    <w:rsid w:val="00220736"/>
    <w:rsid w:val="00230FE4"/>
    <w:rsid w:val="00233651"/>
    <w:rsid w:val="002347C3"/>
    <w:rsid w:val="002363BB"/>
    <w:rsid w:val="0024425D"/>
    <w:rsid w:val="00244DF3"/>
    <w:rsid w:val="002473F9"/>
    <w:rsid w:val="0024751C"/>
    <w:rsid w:val="00250E5E"/>
    <w:rsid w:val="00254020"/>
    <w:rsid w:val="0025452A"/>
    <w:rsid w:val="00283672"/>
    <w:rsid w:val="00285997"/>
    <w:rsid w:val="002962A8"/>
    <w:rsid w:val="002A39EE"/>
    <w:rsid w:val="002A7758"/>
    <w:rsid w:val="002B0582"/>
    <w:rsid w:val="002B10ED"/>
    <w:rsid w:val="002C607C"/>
    <w:rsid w:val="002C6AAB"/>
    <w:rsid w:val="002C6AFD"/>
    <w:rsid w:val="002C75F2"/>
    <w:rsid w:val="002D019A"/>
    <w:rsid w:val="002D5028"/>
    <w:rsid w:val="002E48E7"/>
    <w:rsid w:val="003020CB"/>
    <w:rsid w:val="003140D6"/>
    <w:rsid w:val="00325099"/>
    <w:rsid w:val="00332728"/>
    <w:rsid w:val="00336E37"/>
    <w:rsid w:val="00344BCC"/>
    <w:rsid w:val="00350F22"/>
    <w:rsid w:val="00374300"/>
    <w:rsid w:val="003747D2"/>
    <w:rsid w:val="0038006A"/>
    <w:rsid w:val="003840CC"/>
    <w:rsid w:val="0038573B"/>
    <w:rsid w:val="0039338A"/>
    <w:rsid w:val="003A2707"/>
    <w:rsid w:val="003B3C41"/>
    <w:rsid w:val="003C723A"/>
    <w:rsid w:val="003D4719"/>
    <w:rsid w:val="003D6568"/>
    <w:rsid w:val="003D7BE7"/>
    <w:rsid w:val="003F3D44"/>
    <w:rsid w:val="003F7066"/>
    <w:rsid w:val="00415EA3"/>
    <w:rsid w:val="004264E0"/>
    <w:rsid w:val="00456D0C"/>
    <w:rsid w:val="0046414D"/>
    <w:rsid w:val="00472C6C"/>
    <w:rsid w:val="00480C09"/>
    <w:rsid w:val="00482D6D"/>
    <w:rsid w:val="00487926"/>
    <w:rsid w:val="00491953"/>
    <w:rsid w:val="00493710"/>
    <w:rsid w:val="00495794"/>
    <w:rsid w:val="00496BCF"/>
    <w:rsid w:val="004979C0"/>
    <w:rsid w:val="00497AED"/>
    <w:rsid w:val="004A5C20"/>
    <w:rsid w:val="004C38B0"/>
    <w:rsid w:val="004E0B99"/>
    <w:rsid w:val="004E1B40"/>
    <w:rsid w:val="004E306E"/>
    <w:rsid w:val="004F6394"/>
    <w:rsid w:val="00504F3B"/>
    <w:rsid w:val="00505830"/>
    <w:rsid w:val="00507DC0"/>
    <w:rsid w:val="005103B8"/>
    <w:rsid w:val="005144C0"/>
    <w:rsid w:val="0051577B"/>
    <w:rsid w:val="00522D15"/>
    <w:rsid w:val="00536F55"/>
    <w:rsid w:val="005423D4"/>
    <w:rsid w:val="00545035"/>
    <w:rsid w:val="005537B0"/>
    <w:rsid w:val="00554E8C"/>
    <w:rsid w:val="0056049F"/>
    <w:rsid w:val="00566E6E"/>
    <w:rsid w:val="005776FD"/>
    <w:rsid w:val="00582E96"/>
    <w:rsid w:val="00583376"/>
    <w:rsid w:val="005B6F04"/>
    <w:rsid w:val="005B70EC"/>
    <w:rsid w:val="005C17DF"/>
    <w:rsid w:val="005C3607"/>
    <w:rsid w:val="005C39DC"/>
    <w:rsid w:val="005C48E1"/>
    <w:rsid w:val="005D009F"/>
    <w:rsid w:val="005D21EB"/>
    <w:rsid w:val="005D5146"/>
    <w:rsid w:val="005D5515"/>
    <w:rsid w:val="005D69AC"/>
    <w:rsid w:val="005D6C30"/>
    <w:rsid w:val="005D7B81"/>
    <w:rsid w:val="005E117C"/>
    <w:rsid w:val="005E411E"/>
    <w:rsid w:val="005F5279"/>
    <w:rsid w:val="00600FD9"/>
    <w:rsid w:val="00602176"/>
    <w:rsid w:val="0061429C"/>
    <w:rsid w:val="00616C08"/>
    <w:rsid w:val="00625BB3"/>
    <w:rsid w:val="006348DB"/>
    <w:rsid w:val="006474BB"/>
    <w:rsid w:val="00651702"/>
    <w:rsid w:val="00657756"/>
    <w:rsid w:val="00657F29"/>
    <w:rsid w:val="006664E9"/>
    <w:rsid w:val="006665AB"/>
    <w:rsid w:val="00673270"/>
    <w:rsid w:val="00674A0D"/>
    <w:rsid w:val="00696FC3"/>
    <w:rsid w:val="0069756A"/>
    <w:rsid w:val="006A7845"/>
    <w:rsid w:val="006B26EA"/>
    <w:rsid w:val="006B7596"/>
    <w:rsid w:val="006C22A0"/>
    <w:rsid w:val="006C2AED"/>
    <w:rsid w:val="006C58E5"/>
    <w:rsid w:val="006C74DF"/>
    <w:rsid w:val="006C78FC"/>
    <w:rsid w:val="006D1D83"/>
    <w:rsid w:val="006D5F50"/>
    <w:rsid w:val="006E2063"/>
    <w:rsid w:val="006E52C7"/>
    <w:rsid w:val="006F4D70"/>
    <w:rsid w:val="006F6F00"/>
    <w:rsid w:val="00720676"/>
    <w:rsid w:val="00727D49"/>
    <w:rsid w:val="00740FB6"/>
    <w:rsid w:val="007431FB"/>
    <w:rsid w:val="00744250"/>
    <w:rsid w:val="00746A77"/>
    <w:rsid w:val="00753341"/>
    <w:rsid w:val="00770B65"/>
    <w:rsid w:val="00772075"/>
    <w:rsid w:val="00775635"/>
    <w:rsid w:val="007764CE"/>
    <w:rsid w:val="00777786"/>
    <w:rsid w:val="00781AF1"/>
    <w:rsid w:val="007919CE"/>
    <w:rsid w:val="0079505E"/>
    <w:rsid w:val="00796B02"/>
    <w:rsid w:val="007A0BCC"/>
    <w:rsid w:val="007B07AE"/>
    <w:rsid w:val="007B50D0"/>
    <w:rsid w:val="007B5968"/>
    <w:rsid w:val="007C7596"/>
    <w:rsid w:val="007D148F"/>
    <w:rsid w:val="007D4801"/>
    <w:rsid w:val="007D4F23"/>
    <w:rsid w:val="007E09EA"/>
    <w:rsid w:val="007E523F"/>
    <w:rsid w:val="007F1F19"/>
    <w:rsid w:val="007F76DD"/>
    <w:rsid w:val="00802184"/>
    <w:rsid w:val="00802A12"/>
    <w:rsid w:val="00815B05"/>
    <w:rsid w:val="00821C4C"/>
    <w:rsid w:val="0082286E"/>
    <w:rsid w:val="00825A5A"/>
    <w:rsid w:val="00832385"/>
    <w:rsid w:val="00842245"/>
    <w:rsid w:val="0084421F"/>
    <w:rsid w:val="00846A2A"/>
    <w:rsid w:val="00851149"/>
    <w:rsid w:val="00857C10"/>
    <w:rsid w:val="00873DFE"/>
    <w:rsid w:val="00875924"/>
    <w:rsid w:val="00877EC7"/>
    <w:rsid w:val="008810FE"/>
    <w:rsid w:val="00896E94"/>
    <w:rsid w:val="008A4808"/>
    <w:rsid w:val="008A72AE"/>
    <w:rsid w:val="008B0705"/>
    <w:rsid w:val="008B0F94"/>
    <w:rsid w:val="008B2E73"/>
    <w:rsid w:val="008B4BAC"/>
    <w:rsid w:val="008B710F"/>
    <w:rsid w:val="008C6B3A"/>
    <w:rsid w:val="008C7B3A"/>
    <w:rsid w:val="008E7BB0"/>
    <w:rsid w:val="008F42A8"/>
    <w:rsid w:val="008F5C62"/>
    <w:rsid w:val="00902C9B"/>
    <w:rsid w:val="009054CB"/>
    <w:rsid w:val="00912CAE"/>
    <w:rsid w:val="009135E0"/>
    <w:rsid w:val="00915CA4"/>
    <w:rsid w:val="00942A94"/>
    <w:rsid w:val="00950820"/>
    <w:rsid w:val="00961071"/>
    <w:rsid w:val="00963062"/>
    <w:rsid w:val="00964367"/>
    <w:rsid w:val="009710BA"/>
    <w:rsid w:val="009735FA"/>
    <w:rsid w:val="00977ECA"/>
    <w:rsid w:val="00980A76"/>
    <w:rsid w:val="00982180"/>
    <w:rsid w:val="009927AA"/>
    <w:rsid w:val="009928B2"/>
    <w:rsid w:val="009A07CB"/>
    <w:rsid w:val="009A3F4A"/>
    <w:rsid w:val="009B09F8"/>
    <w:rsid w:val="009B45E7"/>
    <w:rsid w:val="009C5853"/>
    <w:rsid w:val="009C61B2"/>
    <w:rsid w:val="009C7AC4"/>
    <w:rsid w:val="009D5928"/>
    <w:rsid w:val="009E1478"/>
    <w:rsid w:val="009E189A"/>
    <w:rsid w:val="009E3837"/>
    <w:rsid w:val="009E6F29"/>
    <w:rsid w:val="009F0E38"/>
    <w:rsid w:val="009F6018"/>
    <w:rsid w:val="00A100E0"/>
    <w:rsid w:val="00A10428"/>
    <w:rsid w:val="00A12843"/>
    <w:rsid w:val="00A1345E"/>
    <w:rsid w:val="00A1550B"/>
    <w:rsid w:val="00A20F73"/>
    <w:rsid w:val="00A2739F"/>
    <w:rsid w:val="00A35515"/>
    <w:rsid w:val="00A41969"/>
    <w:rsid w:val="00A541CE"/>
    <w:rsid w:val="00A54882"/>
    <w:rsid w:val="00A60413"/>
    <w:rsid w:val="00A73F46"/>
    <w:rsid w:val="00A747B6"/>
    <w:rsid w:val="00A75FC8"/>
    <w:rsid w:val="00A76652"/>
    <w:rsid w:val="00A76A01"/>
    <w:rsid w:val="00A83658"/>
    <w:rsid w:val="00A85489"/>
    <w:rsid w:val="00A87B1F"/>
    <w:rsid w:val="00AA336E"/>
    <w:rsid w:val="00AA428E"/>
    <w:rsid w:val="00AA7C00"/>
    <w:rsid w:val="00AB29A1"/>
    <w:rsid w:val="00AB62E3"/>
    <w:rsid w:val="00AB64A0"/>
    <w:rsid w:val="00AC2066"/>
    <w:rsid w:val="00AC436E"/>
    <w:rsid w:val="00AC4B1F"/>
    <w:rsid w:val="00AD038F"/>
    <w:rsid w:val="00AD1AA6"/>
    <w:rsid w:val="00AD5C56"/>
    <w:rsid w:val="00AE16A8"/>
    <w:rsid w:val="00AF12C9"/>
    <w:rsid w:val="00AF1F2A"/>
    <w:rsid w:val="00AF30EF"/>
    <w:rsid w:val="00AF5490"/>
    <w:rsid w:val="00AF5623"/>
    <w:rsid w:val="00B14A25"/>
    <w:rsid w:val="00B20AC2"/>
    <w:rsid w:val="00B21920"/>
    <w:rsid w:val="00B30EF8"/>
    <w:rsid w:val="00B3699A"/>
    <w:rsid w:val="00B435CA"/>
    <w:rsid w:val="00B4633B"/>
    <w:rsid w:val="00B47ACD"/>
    <w:rsid w:val="00B62BE1"/>
    <w:rsid w:val="00B62C40"/>
    <w:rsid w:val="00B72E17"/>
    <w:rsid w:val="00B73830"/>
    <w:rsid w:val="00B777AF"/>
    <w:rsid w:val="00B81189"/>
    <w:rsid w:val="00B81789"/>
    <w:rsid w:val="00B81DB7"/>
    <w:rsid w:val="00B82630"/>
    <w:rsid w:val="00B92DF1"/>
    <w:rsid w:val="00B95BB7"/>
    <w:rsid w:val="00BC0F22"/>
    <w:rsid w:val="00BC5505"/>
    <w:rsid w:val="00BE3E9A"/>
    <w:rsid w:val="00BF0F86"/>
    <w:rsid w:val="00BF4150"/>
    <w:rsid w:val="00BF732B"/>
    <w:rsid w:val="00C01AA6"/>
    <w:rsid w:val="00C06257"/>
    <w:rsid w:val="00C079B0"/>
    <w:rsid w:val="00C10DF0"/>
    <w:rsid w:val="00C14250"/>
    <w:rsid w:val="00C2297C"/>
    <w:rsid w:val="00C22C97"/>
    <w:rsid w:val="00C256D7"/>
    <w:rsid w:val="00C37AF3"/>
    <w:rsid w:val="00C54036"/>
    <w:rsid w:val="00C64BB4"/>
    <w:rsid w:val="00C72E40"/>
    <w:rsid w:val="00C73CF5"/>
    <w:rsid w:val="00C73D5E"/>
    <w:rsid w:val="00C75BD4"/>
    <w:rsid w:val="00C8329D"/>
    <w:rsid w:val="00C871E8"/>
    <w:rsid w:val="00C96847"/>
    <w:rsid w:val="00CA53B9"/>
    <w:rsid w:val="00CA5C08"/>
    <w:rsid w:val="00CC24B7"/>
    <w:rsid w:val="00CE01F8"/>
    <w:rsid w:val="00CE1CDA"/>
    <w:rsid w:val="00CF2624"/>
    <w:rsid w:val="00D173FE"/>
    <w:rsid w:val="00D23BED"/>
    <w:rsid w:val="00D26ECA"/>
    <w:rsid w:val="00D33AEB"/>
    <w:rsid w:val="00D36448"/>
    <w:rsid w:val="00D42FE8"/>
    <w:rsid w:val="00D522A6"/>
    <w:rsid w:val="00D574CA"/>
    <w:rsid w:val="00D61EA0"/>
    <w:rsid w:val="00D71BC4"/>
    <w:rsid w:val="00D71BFB"/>
    <w:rsid w:val="00D71CCA"/>
    <w:rsid w:val="00D829E9"/>
    <w:rsid w:val="00D91E33"/>
    <w:rsid w:val="00DA2D8D"/>
    <w:rsid w:val="00DB1DE9"/>
    <w:rsid w:val="00DB7073"/>
    <w:rsid w:val="00DC31B5"/>
    <w:rsid w:val="00DC4C36"/>
    <w:rsid w:val="00DC4D00"/>
    <w:rsid w:val="00DD025A"/>
    <w:rsid w:val="00DD6ADB"/>
    <w:rsid w:val="00DD7D7A"/>
    <w:rsid w:val="00DE18E2"/>
    <w:rsid w:val="00DE303D"/>
    <w:rsid w:val="00DF2DA8"/>
    <w:rsid w:val="00E0400D"/>
    <w:rsid w:val="00E2679C"/>
    <w:rsid w:val="00E31CF6"/>
    <w:rsid w:val="00E51E9A"/>
    <w:rsid w:val="00E63C17"/>
    <w:rsid w:val="00E7516C"/>
    <w:rsid w:val="00E77D8B"/>
    <w:rsid w:val="00E8304E"/>
    <w:rsid w:val="00E91DD8"/>
    <w:rsid w:val="00E945F1"/>
    <w:rsid w:val="00E96521"/>
    <w:rsid w:val="00E97C17"/>
    <w:rsid w:val="00EA3809"/>
    <w:rsid w:val="00EA4F27"/>
    <w:rsid w:val="00EA5447"/>
    <w:rsid w:val="00EA6186"/>
    <w:rsid w:val="00EC0654"/>
    <w:rsid w:val="00EC197B"/>
    <w:rsid w:val="00ED0A0D"/>
    <w:rsid w:val="00ED3DE3"/>
    <w:rsid w:val="00EF062B"/>
    <w:rsid w:val="00EF3690"/>
    <w:rsid w:val="00F01E28"/>
    <w:rsid w:val="00F03D5E"/>
    <w:rsid w:val="00F03DC0"/>
    <w:rsid w:val="00F05EB7"/>
    <w:rsid w:val="00F14FB0"/>
    <w:rsid w:val="00F21D31"/>
    <w:rsid w:val="00F23C5D"/>
    <w:rsid w:val="00F2705D"/>
    <w:rsid w:val="00F422E1"/>
    <w:rsid w:val="00F543E2"/>
    <w:rsid w:val="00F54FB6"/>
    <w:rsid w:val="00F67BBD"/>
    <w:rsid w:val="00F71F8E"/>
    <w:rsid w:val="00F74762"/>
    <w:rsid w:val="00F8087D"/>
    <w:rsid w:val="00F91367"/>
    <w:rsid w:val="00F95133"/>
    <w:rsid w:val="00FB0592"/>
    <w:rsid w:val="00FB139B"/>
    <w:rsid w:val="00FB44B3"/>
    <w:rsid w:val="00FB454C"/>
    <w:rsid w:val="00FC24DE"/>
    <w:rsid w:val="00FD2D5A"/>
    <w:rsid w:val="00FD4EA9"/>
    <w:rsid w:val="00FD7D02"/>
    <w:rsid w:val="00FE290A"/>
    <w:rsid w:val="00FF4265"/>
    <w:rsid w:val="00FF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C797B9"/>
  <w15:docId w15:val="{833A996A-0235-4840-919A-2004231B8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E28"/>
    <w:rPr>
      <w:sz w:val="24"/>
      <w:szCs w:val="24"/>
    </w:rPr>
  </w:style>
  <w:style w:type="paragraph" w:styleId="Heading1">
    <w:name w:val="heading 1"/>
    <w:basedOn w:val="Normal"/>
    <w:next w:val="Normal"/>
    <w:link w:val="Heading1Char"/>
    <w:uiPriority w:val="99"/>
    <w:qFormat/>
    <w:rsid w:val="00F01E28"/>
    <w:pPr>
      <w:keepNext/>
      <w:outlineLvl w:val="0"/>
    </w:pPr>
    <w:rPr>
      <w:b/>
      <w:bCs/>
      <w:sz w:val="20"/>
      <w:szCs w:val="12"/>
    </w:rPr>
  </w:style>
  <w:style w:type="paragraph" w:styleId="Heading2">
    <w:name w:val="heading 2"/>
    <w:basedOn w:val="Normal"/>
    <w:next w:val="Normal"/>
    <w:link w:val="Heading2Char"/>
    <w:uiPriority w:val="99"/>
    <w:qFormat/>
    <w:rsid w:val="00657F29"/>
    <w:pPr>
      <w:keepNext/>
      <w:outlineLvl w:val="1"/>
    </w:pPr>
    <w:rPr>
      <w:b/>
      <w:bCs/>
    </w:rPr>
  </w:style>
  <w:style w:type="paragraph" w:styleId="Heading3">
    <w:name w:val="heading 3"/>
    <w:basedOn w:val="Normal"/>
    <w:next w:val="Normal"/>
    <w:link w:val="Heading3Char"/>
    <w:uiPriority w:val="99"/>
    <w:qFormat/>
    <w:rsid w:val="00F01E28"/>
    <w:pPr>
      <w:keepNext/>
      <w:outlineLvl w:val="2"/>
    </w:pPr>
    <w:rPr>
      <w:b/>
      <w:bCs/>
    </w:rPr>
  </w:style>
  <w:style w:type="paragraph" w:styleId="Heading4">
    <w:name w:val="heading 4"/>
    <w:basedOn w:val="Normal"/>
    <w:next w:val="Normal"/>
    <w:link w:val="Heading4Char"/>
    <w:uiPriority w:val="99"/>
    <w:qFormat/>
    <w:rsid w:val="00F01E28"/>
    <w:pPr>
      <w:keepNext/>
      <w:jc w:val="center"/>
      <w:outlineLvl w:val="3"/>
    </w:pPr>
    <w:rPr>
      <w:b/>
      <w:bCs/>
    </w:rPr>
  </w:style>
  <w:style w:type="paragraph" w:styleId="Heading5">
    <w:name w:val="heading 5"/>
    <w:basedOn w:val="Normal"/>
    <w:next w:val="Normal"/>
    <w:link w:val="Heading5Char"/>
    <w:uiPriority w:val="99"/>
    <w:qFormat/>
    <w:rsid w:val="00F01E28"/>
    <w:pPr>
      <w:keepNext/>
      <w:outlineLvl w:val="4"/>
    </w:pPr>
    <w:rPr>
      <w:b/>
      <w:szCs w:val="20"/>
    </w:rPr>
  </w:style>
  <w:style w:type="paragraph" w:styleId="Heading6">
    <w:name w:val="heading 6"/>
    <w:basedOn w:val="Normal"/>
    <w:next w:val="Normal"/>
    <w:link w:val="Heading6Char"/>
    <w:uiPriority w:val="99"/>
    <w:qFormat/>
    <w:rsid w:val="00F01E28"/>
    <w:pPr>
      <w:keepNext/>
      <w:tabs>
        <w:tab w:val="num" w:pos="0"/>
      </w:tabs>
      <w:jc w:val="center"/>
      <w:outlineLvl w:val="5"/>
    </w:pPr>
    <w:rPr>
      <w:b/>
      <w:szCs w:val="20"/>
    </w:rPr>
  </w:style>
  <w:style w:type="paragraph" w:styleId="Heading7">
    <w:name w:val="heading 7"/>
    <w:basedOn w:val="Normal"/>
    <w:next w:val="Normal"/>
    <w:link w:val="Heading7Char"/>
    <w:uiPriority w:val="99"/>
    <w:qFormat/>
    <w:rsid w:val="00F01E28"/>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EA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657F29"/>
    <w:rPr>
      <w:b/>
      <w:bCs/>
      <w:sz w:val="24"/>
      <w:szCs w:val="24"/>
    </w:rPr>
  </w:style>
  <w:style w:type="character" w:customStyle="1" w:styleId="Heading3Char">
    <w:name w:val="Heading 3 Char"/>
    <w:basedOn w:val="DefaultParagraphFont"/>
    <w:link w:val="Heading3"/>
    <w:uiPriority w:val="9"/>
    <w:semiHidden/>
    <w:rsid w:val="00D72EA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72EAA"/>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D72EAA"/>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D72EAA"/>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D72EAA"/>
    <w:rPr>
      <w:rFonts w:asciiTheme="minorHAnsi" w:eastAsiaTheme="minorEastAsia" w:hAnsiTheme="minorHAnsi" w:cstheme="minorBidi"/>
      <w:sz w:val="24"/>
      <w:szCs w:val="24"/>
    </w:rPr>
  </w:style>
  <w:style w:type="paragraph" w:styleId="Header">
    <w:name w:val="header"/>
    <w:basedOn w:val="Normal"/>
    <w:link w:val="HeaderChar"/>
    <w:uiPriority w:val="99"/>
    <w:rsid w:val="00F01E28"/>
    <w:pPr>
      <w:tabs>
        <w:tab w:val="center" w:pos="4320"/>
        <w:tab w:val="right" w:pos="8640"/>
      </w:tabs>
    </w:pPr>
  </w:style>
  <w:style w:type="character" w:customStyle="1" w:styleId="HeaderChar">
    <w:name w:val="Header Char"/>
    <w:basedOn w:val="DefaultParagraphFont"/>
    <w:link w:val="Header"/>
    <w:uiPriority w:val="99"/>
    <w:semiHidden/>
    <w:rsid w:val="00D72EAA"/>
    <w:rPr>
      <w:sz w:val="24"/>
      <w:szCs w:val="24"/>
    </w:rPr>
  </w:style>
  <w:style w:type="paragraph" w:styleId="Footer">
    <w:name w:val="footer"/>
    <w:basedOn w:val="Normal"/>
    <w:link w:val="FooterChar"/>
    <w:uiPriority w:val="99"/>
    <w:rsid w:val="00F01E28"/>
    <w:pPr>
      <w:tabs>
        <w:tab w:val="center" w:pos="4320"/>
        <w:tab w:val="right" w:pos="8640"/>
      </w:tabs>
    </w:pPr>
  </w:style>
  <w:style w:type="character" w:customStyle="1" w:styleId="FooterChar">
    <w:name w:val="Footer Char"/>
    <w:basedOn w:val="DefaultParagraphFont"/>
    <w:link w:val="Footer"/>
    <w:uiPriority w:val="99"/>
    <w:locked/>
    <w:rsid w:val="00D574CA"/>
    <w:rPr>
      <w:sz w:val="24"/>
    </w:rPr>
  </w:style>
  <w:style w:type="paragraph" w:styleId="Title">
    <w:name w:val="Title"/>
    <w:basedOn w:val="Normal"/>
    <w:link w:val="TitleChar"/>
    <w:uiPriority w:val="99"/>
    <w:qFormat/>
    <w:rsid w:val="00F01E28"/>
    <w:pPr>
      <w:jc w:val="center"/>
    </w:pPr>
    <w:rPr>
      <w:b/>
      <w:bCs/>
      <w:szCs w:val="20"/>
    </w:rPr>
  </w:style>
  <w:style w:type="character" w:customStyle="1" w:styleId="TitleChar">
    <w:name w:val="Title Char"/>
    <w:basedOn w:val="DefaultParagraphFont"/>
    <w:link w:val="Title"/>
    <w:uiPriority w:val="10"/>
    <w:rsid w:val="00D72EAA"/>
    <w:rPr>
      <w:rFonts w:asciiTheme="majorHAnsi" w:eastAsiaTheme="majorEastAsia" w:hAnsiTheme="majorHAnsi" w:cstheme="majorBidi"/>
      <w:b/>
      <w:bCs/>
      <w:kern w:val="28"/>
      <w:sz w:val="32"/>
      <w:szCs w:val="32"/>
    </w:rPr>
  </w:style>
  <w:style w:type="character" w:customStyle="1" w:styleId="EmailStyle20">
    <w:name w:val="EmailStyle20"/>
    <w:uiPriority w:val="99"/>
    <w:rsid w:val="00F01E28"/>
    <w:rPr>
      <w:rFonts w:ascii="Arial" w:hAnsi="Arial"/>
      <w:color w:val="000000"/>
      <w:sz w:val="20"/>
    </w:rPr>
  </w:style>
  <w:style w:type="paragraph" w:styleId="NormalWeb">
    <w:name w:val="Normal (Web)"/>
    <w:basedOn w:val="Normal"/>
    <w:uiPriority w:val="99"/>
    <w:rsid w:val="00F01E28"/>
    <w:pPr>
      <w:spacing w:before="100" w:beforeAutospacing="1" w:after="100" w:afterAutospacing="1"/>
    </w:pPr>
    <w:rPr>
      <w:rFonts w:ascii="Arial Unicode MS" w:hAnsi="Arial Unicode MS" w:cs="Arial Unicode MS"/>
    </w:rPr>
  </w:style>
  <w:style w:type="character" w:styleId="Strong">
    <w:name w:val="Strong"/>
    <w:basedOn w:val="DefaultParagraphFont"/>
    <w:uiPriority w:val="99"/>
    <w:qFormat/>
    <w:rsid w:val="00F01E28"/>
    <w:rPr>
      <w:rFonts w:cs="Times New Roman"/>
      <w:b/>
    </w:rPr>
  </w:style>
  <w:style w:type="character" w:styleId="Hyperlink">
    <w:name w:val="Hyperlink"/>
    <w:basedOn w:val="DefaultParagraphFont"/>
    <w:uiPriority w:val="99"/>
    <w:rsid w:val="004E0B99"/>
    <w:rPr>
      <w:rFonts w:cs="Times New Roman"/>
      <w:color w:val="0000FF"/>
      <w:u w:val="single"/>
    </w:rPr>
  </w:style>
  <w:style w:type="character" w:styleId="FollowedHyperlink">
    <w:name w:val="FollowedHyperlink"/>
    <w:basedOn w:val="DefaultParagraphFont"/>
    <w:uiPriority w:val="99"/>
    <w:rsid w:val="00AF1F2A"/>
    <w:rPr>
      <w:rFonts w:cs="Times New Roman"/>
      <w:color w:val="800080"/>
      <w:u w:val="single"/>
    </w:rPr>
  </w:style>
  <w:style w:type="paragraph" w:styleId="BalloonText">
    <w:name w:val="Balloon Text"/>
    <w:basedOn w:val="Normal"/>
    <w:link w:val="BalloonTextChar"/>
    <w:uiPriority w:val="99"/>
    <w:semiHidden/>
    <w:rsid w:val="00A87B1F"/>
    <w:rPr>
      <w:rFonts w:ascii="Tahoma" w:hAnsi="Tahoma" w:cs="Tahoma"/>
      <w:sz w:val="16"/>
      <w:szCs w:val="16"/>
    </w:rPr>
  </w:style>
  <w:style w:type="character" w:customStyle="1" w:styleId="BalloonTextChar">
    <w:name w:val="Balloon Text Char"/>
    <w:basedOn w:val="DefaultParagraphFont"/>
    <w:link w:val="BalloonText"/>
    <w:uiPriority w:val="99"/>
    <w:semiHidden/>
    <w:rsid w:val="00D72EAA"/>
    <w:rPr>
      <w:sz w:val="0"/>
      <w:szCs w:val="0"/>
    </w:rPr>
  </w:style>
  <w:style w:type="table" w:styleId="TableTheme">
    <w:name w:val="Table Theme"/>
    <w:basedOn w:val="TableNormal"/>
    <w:uiPriority w:val="99"/>
    <w:rsid w:val="00D36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uiPriority w:val="99"/>
    <w:rsid w:val="00D574CA"/>
    <w:pPr>
      <w:widowControl w:val="0"/>
      <w:spacing w:after="200" w:line="276" w:lineRule="auto"/>
    </w:pPr>
    <w:rPr>
      <w:rFonts w:ascii="Arial Narrow" w:hAnsi="Arial Narrow"/>
      <w:noProof/>
      <w:color w:val="11406B"/>
      <w:sz w:val="48"/>
      <w:szCs w:val="48"/>
    </w:rPr>
  </w:style>
  <w:style w:type="table" w:styleId="LightList-Accent1">
    <w:name w:val="Light List Accent 1"/>
    <w:basedOn w:val="TableNormal"/>
    <w:uiPriority w:val="99"/>
    <w:rsid w:val="005423D4"/>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99"/>
    <w:rsid w:val="00B777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F3D44"/>
    <w:rPr>
      <w:rFonts w:cs="Times New Roman"/>
      <w:sz w:val="16"/>
      <w:szCs w:val="16"/>
    </w:rPr>
  </w:style>
  <w:style w:type="paragraph" w:styleId="CommentText">
    <w:name w:val="annotation text"/>
    <w:basedOn w:val="Normal"/>
    <w:link w:val="CommentTextChar"/>
    <w:uiPriority w:val="99"/>
    <w:rsid w:val="003F3D44"/>
    <w:rPr>
      <w:sz w:val="20"/>
      <w:szCs w:val="20"/>
    </w:rPr>
  </w:style>
  <w:style w:type="character" w:customStyle="1" w:styleId="CommentTextChar">
    <w:name w:val="Comment Text Char"/>
    <w:basedOn w:val="DefaultParagraphFont"/>
    <w:link w:val="CommentText"/>
    <w:uiPriority w:val="99"/>
    <w:locked/>
    <w:rsid w:val="003F3D44"/>
    <w:rPr>
      <w:rFonts w:cs="Times New Roman"/>
    </w:rPr>
  </w:style>
  <w:style w:type="paragraph" w:styleId="CommentSubject">
    <w:name w:val="annotation subject"/>
    <w:basedOn w:val="CommentText"/>
    <w:next w:val="CommentText"/>
    <w:link w:val="CommentSubjectChar"/>
    <w:uiPriority w:val="99"/>
    <w:rsid w:val="003F3D44"/>
    <w:rPr>
      <w:b/>
      <w:bCs/>
    </w:rPr>
  </w:style>
  <w:style w:type="character" w:customStyle="1" w:styleId="CommentSubjectChar">
    <w:name w:val="Comment Subject Char"/>
    <w:basedOn w:val="CommentTextChar"/>
    <w:link w:val="CommentSubject"/>
    <w:uiPriority w:val="99"/>
    <w:locked/>
    <w:rsid w:val="003F3D44"/>
    <w:rPr>
      <w:rFonts w:cs="Times New Roman"/>
      <w:b/>
      <w:bCs/>
    </w:rPr>
  </w:style>
  <w:style w:type="paragraph" w:styleId="ListParagraph">
    <w:name w:val="List Paragraph"/>
    <w:basedOn w:val="Normal"/>
    <w:uiPriority w:val="99"/>
    <w:qFormat/>
    <w:rsid w:val="00D522A6"/>
    <w:pPr>
      <w:ind w:left="720"/>
      <w:contextualSpacing/>
    </w:pPr>
  </w:style>
  <w:style w:type="paragraph" w:customStyle="1" w:styleId="Default">
    <w:name w:val="Default"/>
    <w:uiPriority w:val="99"/>
    <w:rsid w:val="00DF2DA8"/>
    <w:pPr>
      <w:autoSpaceDE w:val="0"/>
      <w:autoSpaceDN w:val="0"/>
      <w:adjustRightInd w:val="0"/>
    </w:pPr>
    <w:rPr>
      <w:rFonts w:ascii="Verdana" w:hAnsi="Verdana" w:cs="Verdana"/>
      <w:color w:val="000000"/>
      <w:sz w:val="24"/>
      <w:szCs w:val="24"/>
    </w:rPr>
  </w:style>
  <w:style w:type="character" w:customStyle="1" w:styleId="htbreferencefont">
    <w:name w:val="htbreferencefont"/>
    <w:basedOn w:val="DefaultParagraphFont"/>
    <w:uiPriority w:val="99"/>
    <w:rsid w:val="004C38B0"/>
    <w:rPr>
      <w:rFonts w:cs="Times New Roman"/>
    </w:rPr>
  </w:style>
  <w:style w:type="character" w:styleId="UnresolvedMention">
    <w:name w:val="Unresolved Mention"/>
    <w:basedOn w:val="DefaultParagraphFont"/>
    <w:uiPriority w:val="99"/>
    <w:semiHidden/>
    <w:unhideWhenUsed/>
    <w:rsid w:val="00EA5447"/>
    <w:rPr>
      <w:color w:val="605E5C"/>
      <w:shd w:val="clear" w:color="auto" w:fill="E1DFDD"/>
    </w:rPr>
  </w:style>
  <w:style w:type="paragraph" w:styleId="Revision">
    <w:name w:val="Revision"/>
    <w:hidden/>
    <w:uiPriority w:val="99"/>
    <w:semiHidden/>
    <w:rsid w:val="00B95B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879178">
      <w:marLeft w:val="0"/>
      <w:marRight w:val="0"/>
      <w:marTop w:val="0"/>
      <w:marBottom w:val="0"/>
      <w:divBdr>
        <w:top w:val="none" w:sz="0" w:space="0" w:color="auto"/>
        <w:left w:val="none" w:sz="0" w:space="0" w:color="auto"/>
        <w:bottom w:val="none" w:sz="0" w:space="0" w:color="auto"/>
        <w:right w:val="none" w:sz="0" w:space="0" w:color="auto"/>
      </w:divBdr>
    </w:div>
    <w:div w:id="1746879180">
      <w:marLeft w:val="0"/>
      <w:marRight w:val="0"/>
      <w:marTop w:val="0"/>
      <w:marBottom w:val="0"/>
      <w:divBdr>
        <w:top w:val="none" w:sz="0" w:space="0" w:color="auto"/>
        <w:left w:val="none" w:sz="0" w:space="0" w:color="auto"/>
        <w:bottom w:val="none" w:sz="0" w:space="0" w:color="auto"/>
        <w:right w:val="none" w:sz="0" w:space="0" w:color="auto"/>
      </w:divBdr>
      <w:divsChild>
        <w:div w:id="1746879179">
          <w:marLeft w:val="0"/>
          <w:marRight w:val="0"/>
          <w:marTop w:val="0"/>
          <w:marBottom w:val="0"/>
          <w:divBdr>
            <w:top w:val="none" w:sz="0" w:space="0" w:color="auto"/>
            <w:left w:val="none" w:sz="0" w:space="0" w:color="auto"/>
            <w:bottom w:val="none" w:sz="0" w:space="0" w:color="auto"/>
            <w:right w:val="none" w:sz="0" w:space="0" w:color="auto"/>
          </w:divBdr>
        </w:div>
        <w:div w:id="1746879182">
          <w:marLeft w:val="0"/>
          <w:marRight w:val="0"/>
          <w:marTop w:val="0"/>
          <w:marBottom w:val="0"/>
          <w:divBdr>
            <w:top w:val="none" w:sz="0" w:space="0" w:color="auto"/>
            <w:left w:val="none" w:sz="0" w:space="0" w:color="auto"/>
            <w:bottom w:val="none" w:sz="0" w:space="0" w:color="auto"/>
            <w:right w:val="none" w:sz="0" w:space="0" w:color="auto"/>
          </w:divBdr>
        </w:div>
      </w:divsChild>
    </w:div>
    <w:div w:id="1746879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cms.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nice.org.uk/guidance/ipg333" TargetMode="External"/><Relationship Id="rId2" Type="http://schemas.openxmlformats.org/officeDocument/2006/relationships/customXml" Target="../customXml/item2.xml"/><Relationship Id="rId16" Type="http://schemas.openxmlformats.org/officeDocument/2006/relationships/hyperlink" Target="http://www.hayesinc.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15DBC-62CB-4A9C-872B-0F809E1621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E24651-AB90-4A7C-8A48-1D24C3F9E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92C1C77-BBFE-4E31-B1F8-5F83D0A390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2655</Words>
  <Characters>15139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17759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subject/>
  <dc:creator>Centene User</dc:creator>
  <cp:keywords/>
  <dc:description/>
  <cp:lastModifiedBy>Tiffany Taylor</cp:lastModifiedBy>
  <cp:revision>2</cp:revision>
  <cp:lastPrinted>2015-06-25T20:16:00Z</cp:lastPrinted>
  <dcterms:created xsi:type="dcterms:W3CDTF">2026-01-08T13:04:00Z</dcterms:created>
  <dcterms:modified xsi:type="dcterms:W3CDTF">2026-01-08T13:04:00Z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2022-04-18T12:28:16Z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346eeb25-bf59-4337-afc7-380e8b7c7e83</vt:lpwstr>
  </property>
  <property fmtid="{D5CDD505-2E9C-101B-9397-08002B2CF9AE}" pid="8" name="MSIP_Label_5a776955-85f6-4fec-9553-96dd3e0373c4_ContentBits">
    <vt:lpwstr>0</vt:lpwstr>
  </property>
</Properties>
</file>